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356" w:type="dxa"/>
        <w:jc w:val="left"/>
        <w:tblInd w:w="0" w:type="dxa"/>
        <w:tblLayout w:type="fixed"/>
        <w:tblCellMar>
          <w:top w:w="28" w:type="dxa"/>
          <w:left w:w="28" w:type="dxa"/>
          <w:bottom w:w="28" w:type="dxa"/>
          <w:right w:w="28" w:type="dxa"/>
        </w:tblCellMar>
      </w:tblPr>
      <w:tblGrid>
        <w:gridCol w:w="124"/>
        <w:gridCol w:w="109"/>
        <w:gridCol w:w="109"/>
        <w:gridCol w:w="2637"/>
        <w:gridCol w:w="2637"/>
        <w:gridCol w:w="3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or</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001-33500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JAZZ PHARMACEUTICALS PUBLIC LIMITED COMPANY</w:t>
      </w:r>
    </w:p>
    <w:p>
      <w:pPr>
        <w:pStyle w:val="TextBody"/>
        <w:bidi w:val="0"/>
        <w:spacing w:lineRule="auto" w:line="288" w:before="0" w:after="0"/>
        <w:jc w:val="center"/>
        <w:rPr/>
      </w:pPr>
      <w:r>
        <w:rPr>
          <w:rFonts w:ascii="Times New Roman;serif" w:hAnsi="Times New Roman;serif"/>
          <w:b/>
          <w:color w:val="000000"/>
          <w:sz w:val="16"/>
        </w:rPr>
        <w:t>(Exact name of registrant as specified in its charter)</w:t>
      </w:r>
      <w:r>
        <w:rPr>
          <w:color w:val="000000"/>
        </w:rPr>
        <w:t> </w:t>
      </w:r>
    </w:p>
    <w:tbl>
      <w:tblPr>
        <w:tblW w:w="3854" w:type="dxa"/>
        <w:jc w:val="left"/>
        <w:tblInd w:w="0" w:type="dxa"/>
        <w:tblLayout w:type="fixed"/>
        <w:tblCellMar>
          <w:top w:w="28" w:type="dxa"/>
          <w:left w:w="28" w:type="dxa"/>
          <w:bottom w:w="28" w:type="dxa"/>
          <w:right w:w="28" w:type="dxa"/>
        </w:tblCellMar>
      </w:tblPr>
      <w:tblGrid>
        <w:gridCol w:w="857"/>
        <w:gridCol w:w="753"/>
        <w:gridCol w:w="760"/>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94"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98"/>
        <w:gridCol w:w="1098"/>
        <w:gridCol w:w="1554"/>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LLC </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July 27, 2026, 64,914,577 ordinary shares of the registrant, nominal value $0.0001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 FOR THE QUARTER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5"/>
        <w:gridCol w:w="491"/>
        <w:gridCol w:w="491"/>
        <w:gridCol w:w="2801"/>
        <w:gridCol w:w="2647"/>
        <w:gridCol w:w="2697"/>
        <w:gridCol w:w="149"/>
        <w:gridCol w:w="149"/>
        <w:gridCol w:w="215"/>
      </w:tblGrid>
      <w:tr>
        <w:trPr/>
        <w:tc>
          <w:tcPr>
            <w:tcW w:w="5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3">
              <w:r>
                <w:rPr>
                  <w:rStyle w:val="InternetLink"/>
                  <w:rFonts w:ascii="Times New Roman;serif" w:hAnsi="Times New Roman;serif"/>
                  <w:b/>
                  <w:color w:val="0000FF"/>
                  <w:sz w:val="20"/>
                  <w:u w:val="single"/>
                </w:rPr>
                <w:t>PART I – FINANCIAL INFORMATION</w:t>
              </w:r>
            </w:hyperlink>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0">
              <w:r>
                <w:rPr>
                  <w:rStyle w:val="InternetLink"/>
                  <w:rFonts w:ascii="Times New Roman;serif" w:hAnsi="Times New Roman;serif"/>
                  <w:b w:val="false"/>
                  <w:color w:val="0000FF"/>
                  <w:sz w:val="20"/>
                  <w:u w:val="single"/>
                </w:rPr>
                <w:t>Defined Terms and Products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0">
              <w:r>
                <w:rPr>
                  <w:rStyle w:val="InternetLink"/>
                  <w:rFonts w:ascii="Times New Roman;serif" w:hAnsi="Times New Roman;serif"/>
                  <w:b w:val="false"/>
                  <w:color w:val="0000FF"/>
                  <w:sz w:val="20"/>
                  <w:u w:val="single"/>
                </w:rPr>
                <w:t>3</w:t>
              </w:r>
            </w:hyperlink>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6">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6">
              <w:r>
                <w:rPr>
                  <w:rStyle w:val="InternetLink"/>
                  <w:rFonts w:ascii="Times New Roman;serif" w:hAnsi="Times New Roman;serif"/>
                  <w:b w:val="false"/>
                  <w:color w:val="0000FF"/>
                  <w:sz w:val="20"/>
                  <w:u w:val="single"/>
                </w:rPr>
                <w:t>7</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9">
              <w:r>
                <w:rPr>
                  <w:rStyle w:val="InternetLink"/>
                  <w:rFonts w:ascii="Times New Roman;serif" w:hAnsi="Times New Roman;serif"/>
                  <w:b w:val="false"/>
                  <w:color w:val="000080"/>
                  <w:sz w:val="20"/>
                  <w:u w:val="single"/>
                </w:rPr>
                <w:t xml:space="preserve">Condensed Consolidated Balance Sheets – </w:t>
              </w:r>
            </w:hyperlink>
            <w:hyperlink w:anchor="i716d1ef6485342438e7ec7ca3d2ab1ef_19">
              <w:r>
                <w:rPr>
                  <w:rStyle w:val="InternetLink"/>
                  <w:rFonts w:ascii="Times New Roman;serif" w:hAnsi="Times New Roman;serif"/>
                  <w:b w:val="false"/>
                  <w:color w:val="000080"/>
                  <w:sz w:val="20"/>
                  <w:u w:val="single"/>
                </w:rPr>
                <w:t>June</w:t>
              </w:r>
            </w:hyperlink>
            <w:hyperlink w:anchor="i716d1ef6485342438e7ec7ca3d2ab1ef_19">
              <w:r>
                <w:rPr>
                  <w:rStyle w:val="InternetLink"/>
                  <w:rFonts w:ascii="Times New Roman;serif" w:hAnsi="Times New Roman;serif"/>
                  <w:b w:val="false"/>
                  <w:color w:val="000080"/>
                  <w:sz w:val="20"/>
                  <w:u w:val="single"/>
                </w:rPr>
                <w:t xml:space="preserve"> 3</w:t>
              </w:r>
            </w:hyperlink>
            <w:hyperlink w:anchor="i716d1ef6485342438e7ec7ca3d2ab1ef_19">
              <w:r>
                <w:rPr>
                  <w:rStyle w:val="InternetLink"/>
                  <w:rFonts w:ascii="Times New Roman;serif" w:hAnsi="Times New Roman;serif"/>
                  <w:b w:val="false"/>
                  <w:color w:val="000080"/>
                  <w:sz w:val="20"/>
                  <w:u w:val="single"/>
                </w:rPr>
                <w:t>0</w:t>
              </w:r>
            </w:hyperlink>
            <w:hyperlink w:anchor="i716d1ef6485342438e7ec7ca3d2ab1ef_19">
              <w:r>
                <w:rPr>
                  <w:rStyle w:val="InternetLink"/>
                  <w:rFonts w:ascii="Times New Roman;serif" w:hAnsi="Times New Roman;serif"/>
                  <w:b w:val="false"/>
                  <w:color w:val="000080"/>
                  <w:sz w:val="20"/>
                  <w:u w:val="single"/>
                </w:rPr>
                <w:t>, 2026</w:t>
              </w:r>
            </w:hyperlink>
            <w:hyperlink w:anchor="i716d1ef6485342438e7ec7ca3d2ab1ef_19">
              <w:r>
                <w:rPr>
                  <w:rStyle w:val="InternetLink"/>
                  <w:rFonts w:ascii="Times New Roman;serif" w:hAnsi="Times New Roman;serif"/>
                  <w:b w:val="false"/>
                  <w:color w:val="000080"/>
                  <w:sz w:val="20"/>
                  <w:u w:val="single"/>
                </w:rPr>
                <w:t xml:space="preserve">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9">
              <w:r>
                <w:rPr>
                  <w:rStyle w:val="InternetLink"/>
                  <w:rFonts w:ascii="Times New Roman;serif" w:hAnsi="Times New Roman;serif"/>
                  <w:b w:val="false"/>
                  <w:color w:val="0000FF"/>
                  <w:sz w:val="20"/>
                  <w:u w:val="single"/>
                </w:rPr>
                <w:t>7</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22">
              <w:r>
                <w:rPr>
                  <w:rStyle w:val="InternetLink"/>
                  <w:rFonts w:ascii="Times New Roman;serif" w:hAnsi="Times New Roman;serif"/>
                  <w:b w:val="false"/>
                  <w:color w:val="000080"/>
                  <w:sz w:val="20"/>
                  <w:u w:val="single"/>
                </w:rPr>
                <w:t xml:space="preserve">Condensed Consolidated Statements of </w:t>
              </w:r>
            </w:hyperlink>
            <w:hyperlink w:anchor="i716d1ef6485342438e7ec7ca3d2ab1ef_22">
              <w:r>
                <w:rPr>
                  <w:rStyle w:val="InternetLink"/>
                  <w:rFonts w:ascii="Times New Roman;serif" w:hAnsi="Times New Roman;serif"/>
                  <w:b w:val="false"/>
                  <w:color w:val="000080"/>
                  <w:sz w:val="20"/>
                  <w:u w:val="single"/>
                </w:rPr>
                <w:t>Income (Loss)</w:t>
              </w:r>
            </w:hyperlink>
            <w:hyperlink w:anchor="i716d1ef6485342438e7ec7ca3d2ab1ef_22">
              <w:r>
                <w:rPr>
                  <w:rStyle w:val="InternetLink"/>
                  <w:rFonts w:ascii="Times New Roman;serif" w:hAnsi="Times New Roman;serif"/>
                  <w:b w:val="false"/>
                  <w:color w:val="000080"/>
                  <w:sz w:val="20"/>
                  <w:u w:val="single"/>
                </w:rPr>
                <w:t xml:space="preserve"> – Three </w:t>
              </w:r>
            </w:hyperlink>
            <w:hyperlink w:anchor="i716d1ef6485342438e7ec7ca3d2ab1ef_22">
              <w:r>
                <w:rPr>
                  <w:rStyle w:val="InternetLink"/>
                  <w:rFonts w:ascii="Times New Roman;serif" w:hAnsi="Times New Roman;serif"/>
                  <w:b w:val="false"/>
                  <w:color w:val="000080"/>
                  <w:sz w:val="20"/>
                  <w:u w:val="single"/>
                </w:rPr>
                <w:t xml:space="preserve">and Six </w:t>
              </w:r>
            </w:hyperlink>
            <w:hyperlink w:anchor="i716d1ef6485342438e7ec7ca3d2ab1ef_22">
              <w:r>
                <w:rPr>
                  <w:rStyle w:val="InternetLink"/>
                  <w:rFonts w:ascii="Times New Roman;serif" w:hAnsi="Times New Roman;serif"/>
                  <w:b w:val="false"/>
                  <w:color w:val="000080"/>
                  <w:sz w:val="20"/>
                  <w:u w:val="single"/>
                </w:rPr>
                <w:t xml:space="preserve">Months Ended </w:t>
              </w:r>
            </w:hyperlink>
            <w:hyperlink w:anchor="i716d1ef6485342438e7ec7ca3d2ab1ef_22">
              <w:r>
                <w:rPr>
                  <w:rStyle w:val="InternetLink"/>
                  <w:rFonts w:ascii="Times New Roman;serif" w:hAnsi="Times New Roman;serif"/>
                  <w:b w:val="false"/>
                  <w:color w:val="000080"/>
                  <w:sz w:val="20"/>
                  <w:u w:val="single"/>
                </w:rPr>
                <w:t>June</w:t>
              </w:r>
            </w:hyperlink>
            <w:hyperlink w:anchor="i716d1ef6485342438e7ec7ca3d2ab1ef_22">
              <w:r>
                <w:rPr>
                  <w:rStyle w:val="InternetLink"/>
                  <w:rFonts w:ascii="Times New Roman;serif" w:hAnsi="Times New Roman;serif"/>
                  <w:b w:val="false"/>
                  <w:color w:val="000080"/>
                  <w:sz w:val="20"/>
                  <w:u w:val="single"/>
                </w:rPr>
                <w:t xml:space="preserve"> 3</w:t>
              </w:r>
            </w:hyperlink>
            <w:hyperlink w:anchor="i716d1ef6485342438e7ec7ca3d2ab1ef_22">
              <w:r>
                <w:rPr>
                  <w:rStyle w:val="InternetLink"/>
                  <w:rFonts w:ascii="Times New Roman;serif" w:hAnsi="Times New Roman;serif"/>
                  <w:b w:val="false"/>
                  <w:color w:val="000080"/>
                  <w:sz w:val="20"/>
                  <w:u w:val="single"/>
                </w:rPr>
                <w:t>0</w:t>
              </w:r>
            </w:hyperlink>
            <w:hyperlink w:anchor="i716d1ef6485342438e7ec7ca3d2ab1ef_22">
              <w:r>
                <w:rPr>
                  <w:rStyle w:val="InternetLink"/>
                  <w:rFonts w:ascii="Times New Roman;serif" w:hAnsi="Times New Roman;serif"/>
                  <w:b w:val="false"/>
                  <w:color w:val="000080"/>
                  <w:sz w:val="20"/>
                  <w:u w:val="single"/>
                </w:rPr>
                <w:t>, 2026</w:t>
              </w:r>
            </w:hyperlink>
            <w:hyperlink w:anchor="i716d1ef6485342438e7ec7ca3d2ab1ef_22">
              <w:r>
                <w:rPr>
                  <w:rStyle w:val="InternetLink"/>
                  <w:rFonts w:ascii="Times New Roman;serif" w:hAnsi="Times New Roman;serif"/>
                  <w:b w:val="false"/>
                  <w:color w:val="000080"/>
                  <w:sz w:val="20"/>
                  <w:u w:val="single"/>
                </w:rPr>
                <w:t xml:space="preserve">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22">
              <w:r>
                <w:rPr>
                  <w:rStyle w:val="InternetLink"/>
                  <w:rFonts w:ascii="Times New Roman;serif" w:hAnsi="Times New Roman;serif"/>
                  <w:b w:val="false"/>
                  <w:color w:val="0000FF"/>
                  <w:sz w:val="20"/>
                  <w:u w:val="single"/>
                </w:rPr>
                <w:t>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25">
              <w:r>
                <w:rPr>
                  <w:rStyle w:val="InternetLink"/>
                  <w:rFonts w:ascii="Times New Roman;serif" w:hAnsi="Times New Roman;serif"/>
                  <w:b w:val="false"/>
                  <w:color w:val="000080"/>
                  <w:sz w:val="20"/>
                  <w:u w:val="single"/>
                </w:rPr>
                <w:t xml:space="preserve">Condensed Consolidated Statements of Comprehensive </w:t>
              </w:r>
            </w:hyperlink>
            <w:hyperlink w:anchor="i716d1ef6485342438e7ec7ca3d2ab1ef_25">
              <w:r>
                <w:rPr>
                  <w:rStyle w:val="InternetLink"/>
                  <w:rFonts w:ascii="Times New Roman;serif" w:hAnsi="Times New Roman;serif"/>
                  <w:b w:val="false"/>
                  <w:color w:val="000080"/>
                  <w:sz w:val="20"/>
                  <w:u w:val="single"/>
                </w:rPr>
                <w:t>Income</w:t>
              </w:r>
            </w:hyperlink>
            <w:hyperlink w:anchor="i716d1ef6485342438e7ec7ca3d2ab1ef_25">
              <w:r>
                <w:rPr>
                  <w:rStyle w:val="InternetLink"/>
                  <w:rFonts w:ascii="Times New Roman;serif" w:hAnsi="Times New Roman;serif"/>
                  <w:b w:val="false"/>
                  <w:color w:val="000080"/>
                  <w:sz w:val="20"/>
                  <w:u w:val="single"/>
                </w:rPr>
                <w:t xml:space="preserve"> (</w:t>
              </w:r>
            </w:hyperlink>
            <w:hyperlink w:anchor="i716d1ef6485342438e7ec7ca3d2ab1ef_25">
              <w:r>
                <w:rPr>
                  <w:rStyle w:val="InternetLink"/>
                  <w:rFonts w:ascii="Times New Roman;serif" w:hAnsi="Times New Roman;serif"/>
                  <w:b w:val="false"/>
                  <w:color w:val="000080"/>
                  <w:sz w:val="20"/>
                  <w:u w:val="single"/>
                </w:rPr>
                <w:t>L</w:t>
              </w:r>
            </w:hyperlink>
            <w:hyperlink w:anchor="i716d1ef6485342438e7ec7ca3d2ab1ef_25">
              <w:r>
                <w:rPr>
                  <w:rStyle w:val="InternetLink"/>
                  <w:rFonts w:ascii="Times New Roman;serif" w:hAnsi="Times New Roman;serif"/>
                  <w:b w:val="false"/>
                  <w:color w:val="000080"/>
                  <w:sz w:val="20"/>
                  <w:u w:val="single"/>
                </w:rPr>
                <w:t>oss)</w:t>
              </w:r>
            </w:hyperlink>
            <w:hyperlink w:anchor="i716d1ef6485342438e7ec7ca3d2ab1ef_25">
              <w:r>
                <w:rPr>
                  <w:rStyle w:val="InternetLink"/>
                  <w:rFonts w:ascii="Times New Roman;serif" w:hAnsi="Times New Roman;serif"/>
                  <w:b w:val="false"/>
                  <w:color w:val="000080"/>
                  <w:sz w:val="20"/>
                  <w:u w:val="single"/>
                </w:rPr>
                <w:t xml:space="preserve"> – Three</w:t>
              </w:r>
            </w:hyperlink>
            <w:hyperlink w:anchor="i716d1ef6485342438e7ec7ca3d2ab1ef_25">
              <w:r>
                <w:rPr>
                  <w:rStyle w:val="InternetLink"/>
                  <w:rFonts w:ascii="Times New Roman;serif" w:hAnsi="Times New Roman;serif"/>
                  <w:b w:val="false"/>
                  <w:color w:val="000080"/>
                  <w:sz w:val="20"/>
                  <w:u w:val="single"/>
                </w:rPr>
                <w:t xml:space="preserve"> and Si</w:t>
              </w:r>
            </w:hyperlink>
            <w:hyperlink w:anchor="i716d1ef6485342438e7ec7ca3d2ab1ef_25">
              <w:r>
                <w:rPr>
                  <w:rStyle w:val="InternetLink"/>
                  <w:rFonts w:ascii="Times New Roman;serif" w:hAnsi="Times New Roman;serif"/>
                  <w:b w:val="false"/>
                  <w:color w:val="000080"/>
                  <w:sz w:val="20"/>
                  <w:u w:val="single"/>
                </w:rPr>
                <w:t>x</w:t>
              </w:r>
            </w:hyperlink>
            <w:hyperlink w:anchor="i716d1ef6485342438e7ec7ca3d2ab1ef_25">
              <w:r>
                <w:rPr>
                  <w:rStyle w:val="InternetLink"/>
                  <w:rFonts w:ascii="Times New Roman;serif" w:hAnsi="Times New Roman;serif"/>
                  <w:b w:val="false"/>
                  <w:color w:val="000080"/>
                  <w:sz w:val="20"/>
                  <w:u w:val="single"/>
                </w:rPr>
                <w:t xml:space="preserve"> Months Ended </w:t>
              </w:r>
            </w:hyperlink>
            <w:hyperlink w:anchor="i716d1ef6485342438e7ec7ca3d2ab1ef_25">
              <w:r>
                <w:rPr>
                  <w:rStyle w:val="InternetLink"/>
                  <w:rFonts w:ascii="Times New Roman;serif" w:hAnsi="Times New Roman;serif"/>
                  <w:b w:val="false"/>
                  <w:color w:val="000080"/>
                  <w:sz w:val="20"/>
                  <w:u w:val="single"/>
                </w:rPr>
                <w:t>June</w:t>
              </w:r>
            </w:hyperlink>
            <w:hyperlink w:anchor="i716d1ef6485342438e7ec7ca3d2ab1ef_25">
              <w:r>
                <w:rPr>
                  <w:rStyle w:val="InternetLink"/>
                  <w:rFonts w:ascii="Times New Roman;serif" w:hAnsi="Times New Roman;serif"/>
                  <w:b w:val="false"/>
                  <w:color w:val="000080"/>
                  <w:sz w:val="20"/>
                  <w:u w:val="single"/>
                </w:rPr>
                <w:t xml:space="preserve"> 3</w:t>
              </w:r>
            </w:hyperlink>
            <w:hyperlink w:anchor="i716d1ef6485342438e7ec7ca3d2ab1ef_25">
              <w:r>
                <w:rPr>
                  <w:rStyle w:val="InternetLink"/>
                  <w:rFonts w:ascii="Times New Roman;serif" w:hAnsi="Times New Roman;serif"/>
                  <w:b w:val="false"/>
                  <w:color w:val="000080"/>
                  <w:sz w:val="20"/>
                  <w:u w:val="single"/>
                </w:rPr>
                <w:t>0</w:t>
              </w:r>
            </w:hyperlink>
            <w:hyperlink w:anchor="i716d1ef6485342438e7ec7ca3d2ab1ef_25">
              <w:r>
                <w:rPr>
                  <w:rStyle w:val="InternetLink"/>
                  <w:rFonts w:ascii="Times New Roman;serif" w:hAnsi="Times New Roman;serif"/>
                  <w:b w:val="false"/>
                  <w:color w:val="000080"/>
                  <w:sz w:val="20"/>
                  <w:u w:val="single"/>
                </w:rPr>
                <w:t>, 2026</w:t>
              </w:r>
            </w:hyperlink>
            <w:hyperlink w:anchor="i716d1ef6485342438e7ec7ca3d2ab1ef_25">
              <w:r>
                <w:rPr>
                  <w:rStyle w:val="InternetLink"/>
                  <w:rFonts w:ascii="Times New Roman;serif" w:hAnsi="Times New Roman;serif"/>
                  <w:b w:val="false"/>
                  <w:color w:val="000080"/>
                  <w:sz w:val="20"/>
                  <w:u w:val="single"/>
                </w:rPr>
                <w:t xml:space="preserve">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25">
              <w:r>
                <w:rPr>
                  <w:rStyle w:val="InternetLink"/>
                  <w:rFonts w:ascii="Times New Roman;serif" w:hAnsi="Times New Roman;serif"/>
                  <w:b w:val="false"/>
                  <w:color w:val="0000FF"/>
                  <w:sz w:val="20"/>
                  <w:u w:val="single"/>
                </w:rPr>
                <w:t>9</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28">
              <w:r>
                <w:rPr>
                  <w:rStyle w:val="InternetLink"/>
                  <w:rFonts w:ascii="Times New Roman;serif" w:hAnsi="Times New Roman;serif"/>
                  <w:b w:val="false"/>
                  <w:color w:val="000080"/>
                  <w:sz w:val="20"/>
                  <w:u w:val="single"/>
                </w:rPr>
                <w:t>Condensed Consolidated Statements of Shareholders’ Equity – Three</w:t>
              </w:r>
            </w:hyperlink>
            <w:hyperlink w:anchor="i716d1ef6485342438e7ec7ca3d2ab1ef_28">
              <w:r>
                <w:rPr>
                  <w:rStyle w:val="InternetLink"/>
                  <w:rFonts w:ascii="Times New Roman;serif" w:hAnsi="Times New Roman;serif"/>
                  <w:b w:val="false"/>
                  <w:color w:val="000080"/>
                  <w:sz w:val="20"/>
                  <w:u w:val="single"/>
                </w:rPr>
                <w:t xml:space="preserve"> and Six</w:t>
              </w:r>
            </w:hyperlink>
            <w:hyperlink w:anchor="i716d1ef6485342438e7ec7ca3d2ab1ef_28">
              <w:r>
                <w:rPr>
                  <w:rStyle w:val="InternetLink"/>
                  <w:rFonts w:ascii="Times New Roman;serif" w:hAnsi="Times New Roman;serif"/>
                  <w:b w:val="false"/>
                  <w:color w:val="000080"/>
                  <w:sz w:val="20"/>
                  <w:u w:val="single"/>
                </w:rPr>
                <w:t xml:space="preserve"> Months Ended </w:t>
              </w:r>
            </w:hyperlink>
            <w:hyperlink w:anchor="i716d1ef6485342438e7ec7ca3d2ab1ef_28">
              <w:r>
                <w:rPr>
                  <w:rStyle w:val="InternetLink"/>
                  <w:rFonts w:ascii="Times New Roman;serif" w:hAnsi="Times New Roman;serif"/>
                  <w:b w:val="false"/>
                  <w:color w:val="000080"/>
                  <w:sz w:val="20"/>
                  <w:u w:val="single"/>
                </w:rPr>
                <w:t>June</w:t>
              </w:r>
            </w:hyperlink>
            <w:hyperlink w:anchor="i716d1ef6485342438e7ec7ca3d2ab1ef_28">
              <w:r>
                <w:rPr>
                  <w:rStyle w:val="InternetLink"/>
                  <w:rFonts w:ascii="Times New Roman;serif" w:hAnsi="Times New Roman;serif"/>
                  <w:b w:val="false"/>
                  <w:color w:val="000080"/>
                  <w:sz w:val="20"/>
                  <w:u w:val="single"/>
                </w:rPr>
                <w:t xml:space="preserve"> </w:t>
              </w:r>
            </w:hyperlink>
            <w:hyperlink w:anchor="i716d1ef6485342438e7ec7ca3d2ab1ef_28">
              <w:r>
                <w:rPr>
                  <w:rStyle w:val="InternetLink"/>
                  <w:rFonts w:ascii="Times New Roman;serif" w:hAnsi="Times New Roman;serif"/>
                  <w:b w:val="false"/>
                  <w:color w:val="000080"/>
                  <w:sz w:val="20"/>
                  <w:u w:val="single"/>
                </w:rPr>
                <w:t>3</w:t>
              </w:r>
            </w:hyperlink>
            <w:hyperlink w:anchor="i716d1ef6485342438e7ec7ca3d2ab1ef_28">
              <w:r>
                <w:rPr>
                  <w:rStyle w:val="InternetLink"/>
                  <w:rFonts w:ascii="Times New Roman;serif" w:hAnsi="Times New Roman;serif"/>
                  <w:b w:val="false"/>
                  <w:color w:val="000080"/>
                  <w:sz w:val="20"/>
                  <w:u w:val="single"/>
                </w:rPr>
                <w:t>0</w:t>
              </w:r>
            </w:hyperlink>
            <w:hyperlink w:anchor="i716d1ef6485342438e7ec7ca3d2ab1ef_28">
              <w:r>
                <w:rPr>
                  <w:rStyle w:val="InternetLink"/>
                  <w:rFonts w:ascii="Times New Roman;serif" w:hAnsi="Times New Roman;serif"/>
                  <w:b w:val="false"/>
                  <w:color w:val="000080"/>
                  <w:sz w:val="20"/>
                  <w:u w:val="single"/>
                </w:rPr>
                <w:t>, 2026</w:t>
              </w:r>
            </w:hyperlink>
            <w:hyperlink w:anchor="i716d1ef6485342438e7ec7ca3d2ab1ef_28">
              <w:r>
                <w:rPr>
                  <w:rStyle w:val="InternetLink"/>
                  <w:rFonts w:ascii="Times New Roman;serif" w:hAnsi="Times New Roman;serif"/>
                  <w:b w:val="false"/>
                  <w:color w:val="000080"/>
                  <w:sz w:val="20"/>
                  <w:u w:val="single"/>
                </w:rPr>
                <w:t xml:space="preserve">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28">
              <w:r>
                <w:rPr>
                  <w:rStyle w:val="InternetLink"/>
                  <w:rFonts w:ascii="Times New Roman;serif" w:hAnsi="Times New Roman;serif"/>
                  <w:b w:val="false"/>
                  <w:color w:val="0000FF"/>
                  <w:sz w:val="20"/>
                  <w:u w:val="single"/>
                </w:rPr>
                <w:t>10</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34">
              <w:r>
                <w:rPr>
                  <w:rStyle w:val="InternetLink"/>
                  <w:rFonts w:ascii="Times New Roman;serif" w:hAnsi="Times New Roman;serif"/>
                  <w:b w:val="false"/>
                  <w:color w:val="000080"/>
                  <w:sz w:val="20"/>
                  <w:u w:val="single"/>
                </w:rPr>
                <w:t xml:space="preserve">Condensed Consolidated Statements of Cash Flows – Three </w:t>
              </w:r>
            </w:hyperlink>
            <w:hyperlink w:anchor="i716d1ef6485342438e7ec7ca3d2ab1ef_34">
              <w:r>
                <w:rPr>
                  <w:rStyle w:val="InternetLink"/>
                  <w:rFonts w:ascii="Times New Roman;serif" w:hAnsi="Times New Roman;serif"/>
                  <w:b w:val="false"/>
                  <w:color w:val="000080"/>
                  <w:sz w:val="20"/>
                  <w:u w:val="single"/>
                </w:rPr>
                <w:t xml:space="preserve">and Six </w:t>
              </w:r>
            </w:hyperlink>
            <w:hyperlink w:anchor="i716d1ef6485342438e7ec7ca3d2ab1ef_34">
              <w:r>
                <w:rPr>
                  <w:rStyle w:val="InternetLink"/>
                  <w:rFonts w:ascii="Times New Roman;serif" w:hAnsi="Times New Roman;serif"/>
                  <w:b w:val="false"/>
                  <w:color w:val="000080"/>
                  <w:sz w:val="20"/>
                  <w:u w:val="single"/>
                </w:rPr>
                <w:t xml:space="preserve">Months Ended </w:t>
              </w:r>
            </w:hyperlink>
            <w:hyperlink w:anchor="i716d1ef6485342438e7ec7ca3d2ab1ef_34">
              <w:r>
                <w:rPr>
                  <w:rStyle w:val="InternetLink"/>
                  <w:rFonts w:ascii="Times New Roman;serif" w:hAnsi="Times New Roman;serif"/>
                  <w:b w:val="false"/>
                  <w:color w:val="000080"/>
                  <w:sz w:val="20"/>
                  <w:u w:val="single"/>
                </w:rPr>
                <w:t>June</w:t>
              </w:r>
            </w:hyperlink>
            <w:hyperlink w:anchor="i716d1ef6485342438e7ec7ca3d2ab1ef_34">
              <w:r>
                <w:rPr>
                  <w:rStyle w:val="InternetLink"/>
                  <w:rFonts w:ascii="Times New Roman;serif" w:hAnsi="Times New Roman;serif"/>
                  <w:b w:val="false"/>
                  <w:color w:val="000080"/>
                  <w:sz w:val="20"/>
                  <w:u w:val="single"/>
                </w:rPr>
                <w:t xml:space="preserve"> </w:t>
              </w:r>
            </w:hyperlink>
            <w:hyperlink w:anchor="i716d1ef6485342438e7ec7ca3d2ab1ef_34">
              <w:r>
                <w:rPr>
                  <w:rStyle w:val="InternetLink"/>
                  <w:rFonts w:ascii="Times New Roman;serif" w:hAnsi="Times New Roman;serif"/>
                  <w:b w:val="false"/>
                  <w:color w:val="000080"/>
                  <w:sz w:val="20"/>
                  <w:u w:val="single"/>
                </w:rPr>
                <w:t>30</w:t>
              </w:r>
            </w:hyperlink>
            <w:hyperlink w:anchor="i716d1ef6485342438e7ec7ca3d2ab1ef_34">
              <w:r>
                <w:rPr>
                  <w:rStyle w:val="InternetLink"/>
                  <w:rFonts w:ascii="Times New Roman;serif" w:hAnsi="Times New Roman;serif"/>
                  <w:b w:val="false"/>
                  <w:color w:val="000080"/>
                  <w:sz w:val="20"/>
                  <w:u w:val="single"/>
                </w:rPr>
                <w:t>, 2026</w:t>
              </w:r>
            </w:hyperlink>
            <w:hyperlink w:anchor="i716d1ef6485342438e7ec7ca3d2ab1ef_34">
              <w:r>
                <w:rPr>
                  <w:rStyle w:val="InternetLink"/>
                  <w:rFonts w:ascii="Times New Roman;serif" w:hAnsi="Times New Roman;serif"/>
                  <w:b w:val="false"/>
                  <w:color w:val="000080"/>
                  <w:sz w:val="20"/>
                  <w:u w:val="single"/>
                </w:rPr>
                <w:t xml:space="preserve">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34">
              <w:r>
                <w:rPr>
                  <w:rStyle w:val="InternetLink"/>
                  <w:rFonts w:ascii="Times New Roman;serif" w:hAnsi="Times New Roman;serif"/>
                  <w:b w:val="false"/>
                  <w:color w:val="0000FF"/>
                  <w:sz w:val="20"/>
                  <w:u w:val="single"/>
                </w:rPr>
                <w:t>12</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37">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37">
              <w:r>
                <w:rPr>
                  <w:rStyle w:val="InternetLink"/>
                  <w:rFonts w:ascii="Times New Roman;serif" w:hAnsi="Times New Roman;serif"/>
                  <w:b w:val="false"/>
                  <w:color w:val="0000FF"/>
                  <w:sz w:val="20"/>
                  <w:u w:val="single"/>
                </w:rPr>
                <w:t>13</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30</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30">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30">
              <w:r>
                <w:rPr>
                  <w:rStyle w:val="InternetLink"/>
                  <w:rFonts w:ascii="Times New Roman;serif" w:hAnsi="Times New Roman;serif"/>
                  <w:b w:val="false"/>
                  <w:color w:val="0000FF"/>
                  <w:sz w:val="20"/>
                  <w:u w:val="single"/>
                </w:rPr>
                <w:t>47</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33">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33">
              <w:r>
                <w:rPr>
                  <w:rStyle w:val="InternetLink"/>
                  <w:rFonts w:ascii="Times New Roman;serif" w:hAnsi="Times New Roman;serif"/>
                  <w:b w:val="false"/>
                  <w:color w:val="0000FF"/>
                  <w:sz w:val="20"/>
                  <w:u w:val="single"/>
                </w:rPr>
                <w:t>47</w:t>
              </w:r>
            </w:hyperlink>
          </w:p>
        </w:tc>
      </w:tr>
      <w:tr>
        <w:trPr/>
        <w:tc>
          <w:tcPr>
            <w:tcW w:w="96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36">
              <w:r>
                <w:rPr>
                  <w:rStyle w:val="InternetLink"/>
                  <w:rFonts w:ascii="Times New Roman;serif" w:hAnsi="Times New Roman;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39">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39">
              <w:r>
                <w:rPr>
                  <w:rStyle w:val="InternetLink"/>
                  <w:rFonts w:ascii="Times New Roman;serif" w:hAnsi="Times New Roman;serif"/>
                  <w:b w:val="false"/>
                  <w:color w:val="0000FF"/>
                  <w:sz w:val="20"/>
                  <w:u w:val="single"/>
                </w:rPr>
                <w:t>48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51">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51">
              <w:r>
                <w:rPr>
                  <w:rStyle w:val="InternetLink"/>
                  <w:rFonts w:ascii="Times New Roman;serif" w:hAnsi="Times New Roman;serif"/>
                  <w:b w:val="false"/>
                  <w:color w:val="0000FF"/>
                  <w:sz w:val="20"/>
                  <w:u w:val="single"/>
                </w:rPr>
                <w:t>48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78">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78">
              <w:r>
                <w:rPr>
                  <w:rStyle w:val="InternetLink"/>
                  <w:rFonts w:ascii="Times New Roman;serif" w:hAnsi="Times New Roman;serif"/>
                  <w:b w:val="false"/>
                  <w:color w:val="0000FF"/>
                  <w:sz w:val="20"/>
                  <w:u w:val="single"/>
                </w:rPr>
                <w:t>48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81">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81">
              <w:r>
                <w:rPr>
                  <w:rStyle w:val="InternetLink"/>
                  <w:rFonts w:ascii="Times New Roman;serif" w:hAnsi="Times New Roman;serif"/>
                  <w:b w:val="false"/>
                  <w:color w:val="0000FF"/>
                  <w:sz w:val="20"/>
                  <w:u w:val="single"/>
                </w:rPr>
                <w:t>48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814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814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87">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87">
              <w:r>
                <w:rPr>
                  <w:rStyle w:val="InternetLink"/>
                  <w:rFonts w:ascii="Times New Roman;serif" w:hAnsi="Times New Roman;serif"/>
                  <w:b w:val="false"/>
                  <w:color w:val="0000FF"/>
                  <w:sz w:val="20"/>
                  <w:u w:val="single"/>
                </w:rPr>
                <w:t>50</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16d1ef6485342438e7ec7ca3d2ab1ef_190">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16d1ef6485342438e7ec7ca3d2ab1ef_190">
              <w:r>
                <w:rPr>
                  <w:rStyle w:val="InternetLink"/>
                  <w:rFonts w:ascii="Times New Roman;serif" w:hAnsi="Times New Roman;serif"/>
                  <w:b w:val="false"/>
                  <w:color w:val="0000FF"/>
                  <w:sz w:val="20"/>
                  <w:u w:val="single"/>
                </w:rPr>
                <w:t>51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Defined Terms and Products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Defined terms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several terms in this Form 10-Q, including but not limited to those that are finance, regulation and disease-state related as well as names of other companies, which are given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8"/>
        <w:gridCol w:w="521"/>
        <w:gridCol w:w="494"/>
        <w:gridCol w:w="2672"/>
        <w:gridCol w:w="2397"/>
        <w:gridCol w:w="3413"/>
      </w:tblGrid>
      <w:tr>
        <w:trPr/>
        <w:tc>
          <w:tcPr>
            <w:tcW w:w="70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exchangeable senior notes due 2026</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3.125% exchangeable senior notes due 2030</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AbCellera</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AbCellera Biologics Inc.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generic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Alkermes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Alkermes plc</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acute lymphoblastic leukemia</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Almaject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Almaject Inc., Alvogen, Inc., and Alvogen PB Research and Development LLC</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Agreement</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amended to include the Repricing Amendment No. 1, the Repricing Amendment No. 2 and Amendment No. 3</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amended to increase the Initial Revolving Credit Facility to $885.0 million and extend the maturity date</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3</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November 2024</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Amneal</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Amneal Pharmaceuticals LLC</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NDA</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Ascent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Ascent Pharmaceuticals, Inc.</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 Specialty Healthcare LLC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Avadel</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Avadel Pharmaceuticals plc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Axsome</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Axsome Therapeutics, Inc.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License Application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BTC</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biliary tract cancers</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BTD</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Breakthrough Therapy designation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CBD</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cannabidiol</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Inc.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Acquisition</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acquisition of Chimerix on April 21, 2025</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ClpP</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mitochondrial caseinolytic protease P</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CNX Therapeutics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CNX Therapeutics Limited</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CRC</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colorectal cancer</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entered into on May 5, 2021, by and among us, Jazz Lux, and certain of our other subsidiaries, as borrowers, the lenders and issuing banks from time to time party thereto, Bank of America, N.A., as administrative agent and U.S. Bank Trust Company, National Association, as collateral trustee</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Drug Enforcement Administration</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Term Loan</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former seven-year $3.1 billion term loan B facility under the Credit Agreement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DRD2</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dopamine D2 receptor</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Dravet syndrome</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Commission</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excessive daytime sleepiness</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ANDA Filers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Padagis US LLC; Apotex Inc.; API Pharma Tech LLC and InvaGen; Lupin Limited; Taro Pharmaceutical Industries Ltd.; Zenara Pharma Private Limited and Biophore Pharma, Inc.; MSN Laboratories Pvt. Ltd. and MSN Pharmaceuticals, Inc.; Alkem Laboratories Ltd.; and Ascent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ES-SCLC</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extensive-stage small cell lung cancer</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2007 Employee Stock Purchase Plan</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Express Scripts Specialty Distribution Services,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917"/>
        <w:gridCol w:w="805"/>
        <w:gridCol w:w="787"/>
        <w:gridCol w:w="2355"/>
        <w:gridCol w:w="2204"/>
        <w:gridCol w:w="3137"/>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7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tremor</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now repaid seven-year €625.0 million term loan B facility under the Credit Agreement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Exchangeable Senior Notes</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our 2026 Notes and 2030 Notes</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step-up expense</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acquisition accounting inventory fair value step-up expense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Act</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Finance (No. 2) Act of 2023</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gram</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GEA</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gastroesophageal adenocarcinoma</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Granules</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Granules India Limited</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 Pharmaceuticals plc</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 Acquisition</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acquisition of GW in May 2021</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HER2</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epidermal growth factor receptor 2</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HHS</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Health and Human Services</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Hikma</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Hikma Pharmaceuticals PLC</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IFNα</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interferon alpha</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IH</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idiopathic hypersomnia</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IHC3+</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immunohistochemistry 3+</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intramuscular</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NDA</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Revolving Credit Facility</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five-year $500.0 million revolving credit facility under the Credit Agreement entered into in May 2021</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InvaGen</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InvaGen Pharmaceuticals, Inc.</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Investments</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Investments I Limited</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Lux</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Financing Lux S.à.r.l.</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LBL</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lymphoblastic lymphoma</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LGS</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Lennox-Gastaut syndrome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Lupin</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Lupin Inc.</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MAPK</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mitogen-activated protein kinase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MDS</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Myelodysplastic Syndrome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MFN</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Most-Favored-Nation</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milligram</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mGEA</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metastatic gastroesophageal adenocarcinoma</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MHRA</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Medicines and Healthcare products Regulatory Agency</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Zoki</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Zoki Pharmaceutical Co., Ltd.</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ODE</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Orphan Drug Exclusivity in the U.S.</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for Economic Co-operation and Development</w:t>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7696"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 Book</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FDA’s publication “Approved Drug Products with Therapeutic Equivalence Evaluations”</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overall survival</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w:t>
            </w:r>
          </w:p>
        </w:tc>
        <w:tc>
          <w:tcPr>
            <w:tcW w:w="7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Pharmaceutical, Inc.</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Patheon</w:t>
            </w:r>
          </w:p>
        </w:tc>
        <w:tc>
          <w:tcPr>
            <w:tcW w:w="7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Patheon Pharmaceuticals Inc., together with its affiliates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581"/>
        <w:gridCol w:w="473"/>
        <w:gridCol w:w="492"/>
        <w:gridCol w:w="2585"/>
        <w:gridCol w:w="2585"/>
        <w:gridCol w:w="3489"/>
      </w:tblGrid>
      <w:tr>
        <w:trPr/>
        <w:tc>
          <w:tcPr>
            <w:tcW w:w="5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PBMs</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 managers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PD-L1</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programmed death-ligand 1</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PDUFA</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PharmaMar</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Mar, S.A.</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Pillar Two</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OECD framework proposal to implement a two-pillar plan on global tax reform, including a global minimum tax rate of 15% for large multinational corporations on a jurisdiction-by-jurisdiction basis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PRV</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review voucher</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Qilu</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Qilu Pharmaceutical (Hainan) Co., Ltd.</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 ended June 30, 2026</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Redx</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Redx Pharma plc</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REMS</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evaluation and mitigation strategy</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Repricing Amendment No.1</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January 2024</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Repricing Amendment No.2</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July 2024</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Program</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share repurchase program announced on July 31, 2024</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RK Pharma</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RK Pharma, Inc., Apicore US LLC, Archis Pharma LLC, Vgyaan Pharmaceuticals LLC, Dr. Reddy's Laboratories, Inc.</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RTOR</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Real-Time Oncology Review</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Saniona</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Saniona A/S</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BLA</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SCLC</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cell lung cancer</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issued $1.5 billion in aggregate principal amount of 4.375% senior secured notes, due 2029</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T-DXd</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trastuzumab deruxtecan</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Takeda</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Takeda Pharmaceutical Company Limited</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Pharmaceuticals, Inc.</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B-1 Dollar Term Loans</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entry into the Repricing Amendment No.1, the then outstanding Dollar Term Loan was refinanced into a new tranche of U.S. dollar term loans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B-2 Dollar Term Loans</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entry into the Repricing Amendment No.2, the then outstanding Tranche B-1 Dollar Term Loans were refinanced into a new tranche of U.S. dollar term loans</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 Pharma</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 Pharma, Inc.</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TSC</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tuberous sclerosis complex</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USAO</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Attorney's Office</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USPTO</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Patent and Trademark Office</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Werewolf</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Werewolf Therapeutics, Inc.</w:t>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865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ANDA Filers</w:t>
            </w:r>
          </w:p>
        </w:tc>
        <w:tc>
          <w:tcPr>
            <w:tcW w:w="8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Sandoz Inc., InvaGen, CIPLA USA, Inc., CIPLA (EU) Limited, CIPLA Limited, Zydus Lifesciences Global FZE, Zydus Pharmaceuticals (USA) Inc., Zydus Lifesciences Limited, RK Pharma, MSN Pharmaceuticals Inc., MSN Laboratories PVT. LTD., Qilu Pharmaceutical (Hainan) Co. Ltd., and Qilu Pharma, Inc. </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Zymeworks</w:t>
            </w:r>
          </w:p>
        </w:tc>
        <w:tc>
          <w:tcPr>
            <w:tcW w:w="8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Zymeworks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brand names of our products, our delivery devices and certain of our product candidates and their associated generic names are given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4"/>
        <w:gridCol w:w="329"/>
        <w:gridCol w:w="333"/>
        <w:gridCol w:w="2699"/>
        <w:gridCol w:w="2667"/>
        <w:gridCol w:w="3803"/>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 (delivery technology platform)</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Defitelio</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Defitelio® (defibrotide sodium), Defitelio® (defibrotide)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 oral solution, Epidyolex® (the trade name in Europe and other countries outside the U.S. for Epidiolex)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Modeyso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(dordaviprone)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(asparaginase erwinia chrysanthemi (recombinant)-rywn), Enrylaze® (the trade name in Europe and other countries outside the U.S. and Canada for Rylaze)</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Sativex*</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Sativex® (nabiximols) oral solution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 (daunorubicin and cytarabine) liposome for injection, Vyxeos® liposomal 44 mg/100 mg powder for concentrate for solution for infusion</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 (sodium oxybate) oral solution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 (calcium, magnesium, potassium, and sodium oxybates) oral solution</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(lurbinectedin)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 (zanidatamab-hrii)</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31, 2025, we completed the sale of Sativex to CNX Therapeutics.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own or have rights to various copyrights, trademarks, and trade names used in our business in the U.S. and/or other countries, including the following: Jazz Pharmaceuticals</w:t>
      </w:r>
      <w:r>
        <w:rPr>
          <w:rFonts w:ascii="Times New Roman;serif" w:hAnsi="Times New Roman;serif"/>
          <w:b w:val="false"/>
          <w:color w:val="000000"/>
          <w:sz w:val="13"/>
        </w:rPr>
        <w:t>®</w:t>
      </w:r>
      <w:r>
        <w:rPr>
          <w:rFonts w:ascii="Times New Roman;serif" w:hAnsi="Times New Roman;serif"/>
          <w:b w:val="false"/>
          <w:color w:val="000000"/>
          <w:sz w:val="20"/>
        </w:rPr>
        <w:t>, Xywav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(calcium, magnesium, potassium, and sodium oxybates) oral solution, Xyrem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(sodium oxybate) oral solution, Epidiolex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(cannabidiol) oral solution, Epidyolex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trade name in Europe and other countries outside the U.S. for Epidiolex), Ziihera® (zanidatamab-hrii), Modeyso</w:t>
      </w:r>
      <w:r>
        <w:rPr>
          <w:rFonts w:ascii="Times New Roman;serif" w:hAnsi="Times New Roman;serif"/>
          <w:b w:val="false"/>
          <w:color w:val="000000"/>
          <w:sz w:val="13"/>
        </w:rPr>
        <w:t xml:space="preserve">TM </w:t>
      </w:r>
      <w:r>
        <w:rPr>
          <w:rFonts w:ascii="Times New Roman;serif" w:hAnsi="Times New Roman;serif"/>
          <w:b w:val="false"/>
          <w:color w:val="000000"/>
          <w:sz w:val="20"/>
        </w:rPr>
        <w:t>(dordaviprone), Zepzelca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(lurbinectedin), Rylaze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(asparaginase erwinia chrysanthemi (recombinant)-rywn), Enrylaze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trade name in Europe and other countries outside the U.S. and Canada for Rylaze), Defitelio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(defibrotide sodium), Defitelio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(defibrotide), Vyxeos</w:t>
      </w:r>
      <w:r>
        <w:rPr>
          <w:rFonts w:ascii="Times New Roman;serif" w:hAnsi="Times New Roman;serif"/>
          <w:b w:val="false"/>
          <w:color w:val="000000"/>
          <w:sz w:val="13"/>
        </w:rPr>
        <w:t xml:space="preserve">® </w:t>
      </w:r>
      <w:r>
        <w:rPr>
          <w:rFonts w:ascii="Times New Roman;serif" w:hAnsi="Times New Roman;serif"/>
          <w:b w:val="false"/>
          <w:color w:val="000000"/>
          <w:sz w:val="20"/>
        </w:rPr>
        <w:t>(daunorubicin and cytarabine) liposome for injection, Vyxeos</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(liposomal 44 mg/100 mg powder for concentrate for solution for infusion), and CombiPlex</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also includes trademarks, service marks and trade names of other companies. Trademarks, service marks and trade names appearing in this Quarterly Report on Form 10</w:t>
        <w:noBreakHyphen/>
        <w:t>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058" w:type="dxa"/>
        <w:jc w:val="center"/>
        <w:tblInd w:w="0" w:type="dxa"/>
        <w:tblLayout w:type="fixed"/>
        <w:tblCellMar>
          <w:top w:w="28" w:type="dxa"/>
          <w:left w:w="28" w:type="dxa"/>
          <w:bottom w:w="28" w:type="dxa"/>
          <w:right w:w="28" w:type="dxa"/>
        </w:tblCellMar>
      </w:tblPr>
      <w:tblGrid>
        <w:gridCol w:w="1556"/>
        <w:gridCol w:w="1372"/>
        <w:gridCol w:w="1376"/>
        <w:gridCol w:w="211"/>
        <w:gridCol w:w="871"/>
        <w:gridCol w:w="109"/>
        <w:gridCol w:w="109"/>
        <w:gridCol w:w="109"/>
        <w:gridCol w:w="109"/>
        <w:gridCol w:w="211"/>
        <w:gridCol w:w="871"/>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Non-voting euro deferred shares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redemption reserve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47"/>
        <w:gridCol w:w="1487"/>
        <w:gridCol w:w="1496"/>
        <w:gridCol w:w="211"/>
        <w:gridCol w:w="766"/>
        <w:gridCol w:w="109"/>
        <w:gridCol w:w="109"/>
        <w:gridCol w:w="109"/>
        <w:gridCol w:w="109"/>
        <w:gridCol w:w="211"/>
        <w:gridCol w:w="669"/>
        <w:gridCol w:w="109"/>
        <w:gridCol w:w="109"/>
        <w:gridCol w:w="109"/>
        <w:gridCol w:w="109"/>
        <w:gridCol w:w="211"/>
        <w:gridCol w:w="766"/>
        <w:gridCol w:w="109"/>
        <w:gridCol w:w="109"/>
        <w:gridCol w:w="109"/>
        <w:gridCol w:w="109"/>
        <w:gridCol w:w="211"/>
        <w:gridCol w:w="766"/>
        <w:gridCol w:w="156"/>
      </w:tblGrid>
      <w:tr>
        <w:trPr/>
        <w:tc>
          <w:tcPr>
            <w:tcW w:w="194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contract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(excluding amortization of acquired developed technologies)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priority review voucher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 (benefit) and equity in loss of investees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basic</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42"/>
        <w:gridCol w:w="1723"/>
        <w:gridCol w:w="1606"/>
        <w:gridCol w:w="211"/>
        <w:gridCol w:w="616"/>
        <w:gridCol w:w="109"/>
        <w:gridCol w:w="109"/>
        <w:gridCol w:w="109"/>
        <w:gridCol w:w="109"/>
        <w:gridCol w:w="211"/>
        <w:gridCol w:w="647"/>
        <w:gridCol w:w="109"/>
        <w:gridCol w:w="109"/>
        <w:gridCol w:w="109"/>
        <w:gridCol w:w="109"/>
        <w:gridCol w:w="211"/>
        <w:gridCol w:w="616"/>
        <w:gridCol w:w="109"/>
        <w:gridCol w:w="109"/>
        <w:gridCol w:w="109"/>
        <w:gridCol w:w="109"/>
        <w:gridCol w:w="211"/>
        <w:gridCol w:w="647"/>
        <w:gridCol w:w="156"/>
      </w:tblGrid>
      <w:tr>
        <w:trPr/>
        <w:tc>
          <w:tcPr>
            <w:tcW w:w="20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hedging activities, net of income tax expense of $—, $0.1 $— and $—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cash flow hedging activities reclassified from accumulated other comprehensive loss to interest expense, net of income tax (benefit) expense of $—, $0.1, $(0.1) and $0.2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271" w:type="dxa"/>
        <w:jc w:val="center"/>
        <w:tblInd w:w="0" w:type="dxa"/>
        <w:tblLayout w:type="fixed"/>
        <w:tblCellMar>
          <w:top w:w="28" w:type="dxa"/>
          <w:left w:w="28" w:type="dxa"/>
          <w:bottom w:w="28" w:type="dxa"/>
          <w:right w:w="28" w:type="dxa"/>
        </w:tblCellMar>
      </w:tblPr>
      <w:tblGrid>
        <w:gridCol w:w="747"/>
        <w:gridCol w:w="354"/>
        <w:gridCol w:w="355"/>
        <w:gridCol w:w="233"/>
        <w:gridCol w:w="233"/>
        <w:gridCol w:w="196"/>
        <w:gridCol w:w="109"/>
        <w:gridCol w:w="109"/>
        <w:gridCol w:w="109"/>
        <w:gridCol w:w="196"/>
        <w:gridCol w:w="406"/>
        <w:gridCol w:w="109"/>
        <w:gridCol w:w="109"/>
        <w:gridCol w:w="109"/>
        <w:gridCol w:w="109"/>
        <w:gridCol w:w="203"/>
        <w:gridCol w:w="203"/>
        <w:gridCol w:w="196"/>
        <w:gridCol w:w="109"/>
        <w:gridCol w:w="109"/>
        <w:gridCol w:w="109"/>
        <w:gridCol w:w="206"/>
        <w:gridCol w:w="376"/>
        <w:gridCol w:w="109"/>
        <w:gridCol w:w="109"/>
        <w:gridCol w:w="109"/>
        <w:gridCol w:w="109"/>
        <w:gridCol w:w="280"/>
        <w:gridCol w:w="538"/>
        <w:gridCol w:w="158"/>
        <w:gridCol w:w="109"/>
        <w:gridCol w:w="109"/>
        <w:gridCol w:w="109"/>
        <w:gridCol w:w="196"/>
        <w:gridCol w:w="691"/>
        <w:gridCol w:w="109"/>
        <w:gridCol w:w="109"/>
        <w:gridCol w:w="109"/>
        <w:gridCol w:w="109"/>
        <w:gridCol w:w="272"/>
        <w:gridCol w:w="792"/>
        <w:gridCol w:w="152"/>
        <w:gridCol w:w="109"/>
        <w:gridCol w:w="109"/>
        <w:gridCol w:w="109"/>
        <w:gridCol w:w="196"/>
        <w:gridCol w:w="691"/>
        <w:gridCol w:w="109"/>
        <w:gridCol w:w="109"/>
        <w:gridCol w:w="109"/>
        <w:gridCol w:w="109"/>
        <w:gridCol w:w="109"/>
        <w:gridCol w:w="109"/>
        <w:gridCol w:w="109"/>
        <w:gridCol w:w="109"/>
        <w:gridCol w:w="109"/>
        <w:gridCol w:w="109"/>
        <w:gridCol w:w="109"/>
        <w:gridCol w:w="109"/>
        <w:gridCol w:w="109"/>
        <w:gridCol w:w="109"/>
        <w:gridCol w:w="109"/>
        <w:gridCol w:w="109"/>
        <w:gridCol w:w="196"/>
        <w:gridCol w:w="691"/>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2026 Notes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under employee stock purchase plan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(662.5)</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271" w:type="dxa"/>
        <w:jc w:val="center"/>
        <w:tblInd w:w="0" w:type="dxa"/>
        <w:tblLayout w:type="fixed"/>
        <w:tblCellMar>
          <w:top w:w="28" w:type="dxa"/>
          <w:left w:w="28" w:type="dxa"/>
          <w:bottom w:w="28" w:type="dxa"/>
          <w:right w:w="28" w:type="dxa"/>
        </w:tblCellMar>
      </w:tblPr>
      <w:tblGrid>
        <w:gridCol w:w="747"/>
        <w:gridCol w:w="354"/>
        <w:gridCol w:w="355"/>
        <w:gridCol w:w="233"/>
        <w:gridCol w:w="233"/>
        <w:gridCol w:w="196"/>
        <w:gridCol w:w="109"/>
        <w:gridCol w:w="109"/>
        <w:gridCol w:w="109"/>
        <w:gridCol w:w="196"/>
        <w:gridCol w:w="406"/>
        <w:gridCol w:w="109"/>
        <w:gridCol w:w="109"/>
        <w:gridCol w:w="109"/>
        <w:gridCol w:w="109"/>
        <w:gridCol w:w="203"/>
        <w:gridCol w:w="203"/>
        <w:gridCol w:w="196"/>
        <w:gridCol w:w="109"/>
        <w:gridCol w:w="109"/>
        <w:gridCol w:w="109"/>
        <w:gridCol w:w="206"/>
        <w:gridCol w:w="376"/>
        <w:gridCol w:w="109"/>
        <w:gridCol w:w="109"/>
        <w:gridCol w:w="109"/>
        <w:gridCol w:w="109"/>
        <w:gridCol w:w="280"/>
        <w:gridCol w:w="538"/>
        <w:gridCol w:w="158"/>
        <w:gridCol w:w="109"/>
        <w:gridCol w:w="109"/>
        <w:gridCol w:w="109"/>
        <w:gridCol w:w="196"/>
        <w:gridCol w:w="691"/>
        <w:gridCol w:w="109"/>
        <w:gridCol w:w="109"/>
        <w:gridCol w:w="109"/>
        <w:gridCol w:w="109"/>
        <w:gridCol w:w="272"/>
        <w:gridCol w:w="792"/>
        <w:gridCol w:w="152"/>
        <w:gridCol w:w="109"/>
        <w:gridCol w:w="109"/>
        <w:gridCol w:w="109"/>
        <w:gridCol w:w="196"/>
        <w:gridCol w:w="691"/>
        <w:gridCol w:w="109"/>
        <w:gridCol w:w="109"/>
        <w:gridCol w:w="109"/>
        <w:gridCol w:w="109"/>
        <w:gridCol w:w="109"/>
        <w:gridCol w:w="109"/>
        <w:gridCol w:w="109"/>
        <w:gridCol w:w="109"/>
        <w:gridCol w:w="109"/>
        <w:gridCol w:w="109"/>
        <w:gridCol w:w="109"/>
        <w:gridCol w:w="109"/>
        <w:gridCol w:w="109"/>
        <w:gridCol w:w="109"/>
        <w:gridCol w:w="109"/>
        <w:gridCol w:w="109"/>
        <w:gridCol w:w="196"/>
        <w:gridCol w:w="691"/>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under employee stock purchase plan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(485.8)</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shd w:fill="FFFFFF" w:val="clear"/>
        </w:rPr>
        <w:t>JAZZ</w:t>
      </w:r>
      <w:r>
        <w:rPr>
          <w:color w:val="000000"/>
        </w:rPr>
        <w:t xml:space="preserve"> </w:t>
      </w:r>
      <w:r>
        <w:rPr>
          <w:rFonts w:ascii="Times New Roman;serif" w:hAnsi="Times New Roman;serif"/>
          <w:b/>
          <w:color w:val="000000"/>
          <w:sz w:val="20"/>
        </w:rPr>
        <w:t>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9744" w:type="dxa"/>
        <w:jc w:val="left"/>
        <w:tblInd w:w="0" w:type="dxa"/>
        <w:tblLayout w:type="fixed"/>
        <w:tblCellMar>
          <w:top w:w="28" w:type="dxa"/>
          <w:left w:w="28" w:type="dxa"/>
          <w:bottom w:w="28" w:type="dxa"/>
          <w:right w:w="28" w:type="dxa"/>
        </w:tblCellMar>
      </w:tblPr>
      <w:tblGrid>
        <w:gridCol w:w="2608"/>
        <w:gridCol w:w="2288"/>
        <w:gridCol w:w="2304"/>
        <w:gridCol w:w="211"/>
        <w:gridCol w:w="766"/>
        <w:gridCol w:w="109"/>
        <w:gridCol w:w="109"/>
        <w:gridCol w:w="109"/>
        <w:gridCol w:w="109"/>
        <w:gridCol w:w="211"/>
        <w:gridCol w:w="766"/>
        <w:gridCol w:w="154"/>
      </w:tblGrid>
      <w:tr>
        <w:trPr/>
        <w:tc>
          <w:tcPr>
            <w:tcW w:w="260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Acquired in-process 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accounting inventory fair value step-up adjustment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losses on accounts receivable and inventory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sale of priority review voucher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transactions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maturity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 of priority review voucher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related to sale of priority review voucher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Acquired in-process 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 acquisition, net of cash acquired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investing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2026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employee withholding taxes related to share-based awards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equity incentive and purchase plans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 repurchases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The Company and Summary of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unless otherwise indicated or the context otherwise requires, all references to “Jazz Pharmaceuticals plc,” “the registrant,” “the Company,” “we,” “us,” and “our” refer to Jazz Pharmaceuticals plc and its consolidated subsidiaries. Throughout this Quarterly Report on Form 10-Q, all references to “ordinary shares” refer to Jazz Pharmaceuticals plc’s ordinary shares.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have been prepared following the requirements of the SEC for interim reporting. As permitted under those rules, certain footnotes and other financial information that are normally required by U.S. GAAP can be condensed or omitted. The information included in this Quarterly Report on Form 10</w:t>
        <w:noBreakHyphen/>
        <w:t>Q should be read in conjunction with our annual audited consolidated financial statements and accompanying notes included in our Annual Report on Form 10</w:t>
        <w:noBreakHyphen/>
        <w:t xml:space="preserve">K for the year ended December 31,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six months ended June 30, 2026, are not necessarily indicative of the results to be expected for the year ending December 31, 2026, for any other interim period or for any future period.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have not changed substantially from those previously described in our Annual Report on Form 10</w:t>
        <w:noBreakHyphen/>
        <w:t xml:space="preserve">K for the year ended December 31,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include the accounts of Jazz Pharmaceuticals plc and our subsidiaries. Intercompany transactions and balances have been eliminated.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Commencing in 2026, we changed the presentation of our financial statements and accompanying footnote disclosures from thousands to millions. This change did not materially impact previously reported financial information; however, certain prior period amounts have insignificant differences due to rounding.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operating segment is reported in a manner consistent with the internal reporting provided to the CODM. Our CODM has been identified as our President and Chief Executive Officer. We have determined that we operate in one business segment, which is the identification, development and commercialization of meaningful pharmaceutical products that address unmet medical needs. The CODM assesses segment performance and decides how to allocate resources for the segment based on net income (loss) and a measure of segment assets which are on the condensed consolidated statements of income (loss) and condensed consolidated balance sheet.</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Adoption of New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ASU 2024-04 was effective for the Company from January 1, 2026, and is effective on a prospective basis. The adoption did not have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recognition and disclosure framework for internal-use software costs, removing the previous “development stage” model and introducing a more judgment-based approach. The standard is effective for annual periods beginning after December 15, 2027, and interim periods within those annual periods. We are currently evaluating the impact of adopting this new accounting guidance.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Collaboration and License Agreement, Asset Purchase Agreement and Disposition</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Collaboration and License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2026, we entered into a preclinical research collaboration and license agreement with AbCellera, granting us rights to opt into exclusive, worldwide rights to develop and commercialize two initial next-generation T-cell engaging multispecific antibody programs. In addition, we may mutually agree to initiate up to three additional discovery programs, with a commitment to start one discovery program within 12 months.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we made an upfront payment of $56.0 million for the first two research programs, which was recorded as acquired IPR&amp;D expense in our consolidated statements of income (loss) for the three and six months ended June 30, 2026. An additional $28.0 million is due upon initiation of the third program. Should we exercise our option for development, AbCellera is eligible to receive up to $792.0 million per program in option fees, development, regulatory, and commercial sales milestone payments along with tiered royalties on net sales ranging from mid-single digits to low double-digits.</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Asset Purchase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an asset purchase agreement with Werewolf, under which we acquired all remaining rights to JZP898, a differentiated, conditionally-activated IFNα INDUKINE™ molecule. At closing, the original license and collaboration agreement entered into with Werewolf in May 2022 was terminated.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we made an upfront payment of $21.0 million, which was recorded as acquired IPR&amp;D expense in our consolidated statements of income (loss) for the three and six months ended June 30, 2026. Werewolf is eligible to receive a contingent milestone payment of $2.0 million upon consent to the partial assignment of a license agreement relating to the JZP898 program.</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Gain on sale of PRV</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January 2026, we completed the sale of our rare pediatric disease PRV for total cash consideration of $200.0 million. We received 50% of the post-tax proceeds with the remainder paid to the former stockholders of Oncoceutics, Inc., which was acquired by Chimerix in 2021. We received the PRV in connection with the approval of Modeyso by FDA for the treatment of adult and pediatric patients 1 year of age and older with diffuse midline glioma harboring an H3 K27M mutation in August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Upon closing, we recognized a pre-tax gain on disposal of $122.8 million in our consolidated statements of income (loss) in the six months ended June 30, 2026, representing the total cash consideration received of $200.0 million, less the post-tax proceeds paid to the former stockholders of Oncoceutics, Inc.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Cash and Available-for-Sale Securities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Cash, cash equivalents and investments consisted of the following (in millions):</w:t>
      </w:r>
      <w:r>
        <w:rPr>
          <w:color w:val="000000"/>
        </w:rPr>
        <w:t> </w:t>
      </w:r>
    </w:p>
    <w:tbl>
      <w:tblPr>
        <w:tblW w:w="9470" w:type="dxa"/>
        <w:jc w:val="left"/>
        <w:tblInd w:w="0" w:type="dxa"/>
        <w:tblLayout w:type="fixed"/>
        <w:tblCellMar>
          <w:top w:w="28" w:type="dxa"/>
          <w:left w:w="28" w:type="dxa"/>
          <w:bottom w:w="28" w:type="dxa"/>
          <w:right w:w="28" w:type="dxa"/>
        </w:tblCellMar>
      </w:tblPr>
      <w:tblGrid>
        <w:gridCol w:w="648"/>
        <w:gridCol w:w="570"/>
        <w:gridCol w:w="581"/>
        <w:gridCol w:w="211"/>
        <w:gridCol w:w="766"/>
        <w:gridCol w:w="109"/>
        <w:gridCol w:w="109"/>
        <w:gridCol w:w="109"/>
        <w:gridCol w:w="109"/>
        <w:gridCol w:w="257"/>
        <w:gridCol w:w="495"/>
        <w:gridCol w:w="134"/>
        <w:gridCol w:w="109"/>
        <w:gridCol w:w="109"/>
        <w:gridCol w:w="109"/>
        <w:gridCol w:w="257"/>
        <w:gridCol w:w="495"/>
        <w:gridCol w:w="134"/>
        <w:gridCol w:w="109"/>
        <w:gridCol w:w="109"/>
        <w:gridCol w:w="109"/>
        <w:gridCol w:w="211"/>
        <w:gridCol w:w="766"/>
        <w:gridCol w:w="109"/>
        <w:gridCol w:w="109"/>
        <w:gridCol w:w="109"/>
        <w:gridCol w:w="109"/>
        <w:gridCol w:w="211"/>
        <w:gridCol w:w="766"/>
        <w:gridCol w:w="109"/>
        <w:gridCol w:w="109"/>
        <w:gridCol w:w="109"/>
        <w:gridCol w:w="109"/>
        <w:gridCol w:w="216"/>
        <w:gridCol w:w="631"/>
        <w:gridCol w:w="159"/>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95" w:type="dxa"/>
        <w:jc w:val="left"/>
        <w:tblInd w:w="0" w:type="dxa"/>
        <w:tblLayout w:type="fixed"/>
        <w:tblCellMar>
          <w:top w:w="28" w:type="dxa"/>
          <w:left w:w="28" w:type="dxa"/>
          <w:bottom w:w="28" w:type="dxa"/>
          <w:right w:w="28" w:type="dxa"/>
        </w:tblCellMar>
      </w:tblPr>
      <w:tblGrid>
        <w:gridCol w:w="648"/>
        <w:gridCol w:w="570"/>
        <w:gridCol w:w="581"/>
        <w:gridCol w:w="211"/>
        <w:gridCol w:w="766"/>
        <w:gridCol w:w="109"/>
        <w:gridCol w:w="109"/>
        <w:gridCol w:w="109"/>
        <w:gridCol w:w="109"/>
        <w:gridCol w:w="257"/>
        <w:gridCol w:w="495"/>
        <w:gridCol w:w="134"/>
        <w:gridCol w:w="109"/>
        <w:gridCol w:w="109"/>
        <w:gridCol w:w="109"/>
        <w:gridCol w:w="257"/>
        <w:gridCol w:w="495"/>
        <w:gridCol w:w="134"/>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and </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w:t>
      </w:r>
      <w:r>
        <w:rPr>
          <w:rFonts w:ascii="Times New Roman;serif" w:hAnsi="Times New Roman;serif"/>
          <w:b w:val="false"/>
          <w:color w:val="000000"/>
          <w:sz w:val="20"/>
          <w:shd w:fill="FFFFFF" w:val="clear"/>
        </w:rPr>
        <w:t xml:space="preserve">Interest income from available-for-sale securities was </w:t>
      </w:r>
      <w:r>
        <w:rPr>
          <w:rFonts w:ascii="Times New Roman;serif" w:hAnsi="Times New Roman;serif"/>
          <w:b w:val="false"/>
          <w:color w:val="000000"/>
          <w:sz w:val="20"/>
        </w:rPr>
        <w:t>$25.3 million and</w:t>
      </w:r>
      <w:r>
        <w:rPr>
          <w:color w:val="000000"/>
          <w:shd w:fill="FFFFFF" w:val="clear"/>
        </w:rPr>
        <w:t xml:space="preserve"> </w:t>
      </w:r>
      <w:r>
        <w:rPr>
          <w:rFonts w:ascii="Times New Roman;serif" w:hAnsi="Times New Roman;serif"/>
          <w:b w:val="false"/>
          <w:color w:val="000000"/>
          <w:sz w:val="20"/>
        </w:rPr>
        <w:t>$48.7 million in the three and six months ended June 30, 2026, respectively, and $19.1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$46.8 million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the three and six months ended June 30, 2025, respectively.</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summarizes, by major security type, our available-for-sale securities and derivative contracts as of June 30, 2026 and December 31, 2025, that were measured at fair value on a recurring basis and were categorized using the fair value hierarchy (in millions):</w:t>
      </w:r>
      <w:r>
        <w:rPr>
          <w:color w:val="000000"/>
        </w:rPr>
        <w:t> </w:t>
      </w:r>
    </w:p>
    <w:tbl>
      <w:tblPr>
        <w:tblW w:w="10205" w:type="dxa"/>
        <w:jc w:val="left"/>
        <w:tblInd w:w="0" w:type="dxa"/>
        <w:tblLayout w:type="fixed"/>
        <w:tblCellMar>
          <w:top w:w="28" w:type="dxa"/>
          <w:left w:w="28" w:type="dxa"/>
          <w:bottom w:w="28" w:type="dxa"/>
          <w:right w:w="28" w:type="dxa"/>
        </w:tblCellMar>
      </w:tblPr>
      <w:tblGrid>
        <w:gridCol w:w="701"/>
        <w:gridCol w:w="618"/>
        <w:gridCol w:w="622"/>
        <w:gridCol w:w="220"/>
        <w:gridCol w:w="642"/>
        <w:gridCol w:w="114"/>
        <w:gridCol w:w="109"/>
        <w:gridCol w:w="109"/>
        <w:gridCol w:w="109"/>
        <w:gridCol w:w="211"/>
        <w:gridCol w:w="616"/>
        <w:gridCol w:w="109"/>
        <w:gridCol w:w="109"/>
        <w:gridCol w:w="109"/>
        <w:gridCol w:w="109"/>
        <w:gridCol w:w="109"/>
        <w:gridCol w:w="109"/>
        <w:gridCol w:w="211"/>
        <w:gridCol w:w="766"/>
        <w:gridCol w:w="109"/>
        <w:gridCol w:w="109"/>
        <w:gridCol w:w="109"/>
        <w:gridCol w:w="109"/>
        <w:gridCol w:w="220"/>
        <w:gridCol w:w="642"/>
        <w:gridCol w:w="114"/>
        <w:gridCol w:w="109"/>
        <w:gridCol w:w="109"/>
        <w:gridCol w:w="109"/>
        <w:gridCol w:w="211"/>
        <w:gridCol w:w="766"/>
        <w:gridCol w:w="109"/>
        <w:gridCol w:w="109"/>
        <w:gridCol w:w="109"/>
        <w:gridCol w:w="109"/>
        <w:gridCol w:w="109"/>
        <w:gridCol w:w="109"/>
        <w:gridCol w:w="211"/>
        <w:gridCol w:w="766"/>
        <w:gridCol w:w="156"/>
      </w:tblGrid>
      <w:tr>
        <w:trPr/>
        <w:tc>
          <w:tcPr>
            <w:tcW w:w="70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78" w:type="dxa"/>
            <w:gridSpan w:val="8"/>
            <w:tcBorders/>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the different levels of the fair value hierarchy in 2026 or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estimated fair values of the Secured Notes, the 2030 Notes and the Tranche B-2 Dollar Term Loans were $1.5 billion, $1.7 billion and $1.9 billion, respectively. As of December 31, 2025, the estimated fair values of the 2026 Notes, the 2030 Notes, the Secured Notes and the Tranche B-2 Dollar Term Loans were $1.2 billion, $1.3 billion, $1.5 billion and $1.9 billion, respectively. The fair value of each of these debt facilities was estimated using quoted market prices obtained from brokers (Level 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Derivative Instruments and Hedging Activities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w:t>
      </w:r>
      <w:r>
        <w:rPr>
          <w:rFonts w:ascii="Times New Roman;serif" w:hAnsi="Times New Roman;serif"/>
          <w:b w:val="false"/>
          <w:color w:val="000000"/>
          <w:sz w:val="20"/>
          <w:shd w:fill="FFFFFF" w:val="clear"/>
        </w:rPr>
        <w:t>As of June 30, 2026 and December 31, 2025, the notional amounts of foreign exchange contracts for which hedge accounting was not applied were $613.0 million</w:t>
      </w:r>
      <w:r>
        <w:rPr>
          <w:color w:val="000000"/>
        </w:rPr>
        <w:t xml:space="preserve"> </w:t>
      </w:r>
      <w:r>
        <w:rPr>
          <w:rFonts w:ascii="Times New Roman;serif" w:hAnsi="Times New Roman;serif"/>
          <w:b w:val="false"/>
          <w:color w:val="000000"/>
          <w:sz w:val="20"/>
        </w:rPr>
        <w:t>and $575.9 million,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foreign exchange gain (loss) in our condensed consolidated statements of income (loss) included the following gains (losses) associated with foreign exchange contracts not designated as hedging instruments (in millions):</w:t>
      </w:r>
    </w:p>
    <w:tbl>
      <w:tblPr>
        <w:tblW w:w="8775" w:type="dxa"/>
        <w:jc w:val="left"/>
        <w:tblInd w:w="0" w:type="dxa"/>
        <w:tblLayout w:type="fixed"/>
        <w:tblCellMar>
          <w:top w:w="28" w:type="dxa"/>
          <w:left w:w="28" w:type="dxa"/>
          <w:bottom w:w="28" w:type="dxa"/>
          <w:right w:w="28" w:type="dxa"/>
        </w:tblCellMar>
      </w:tblPr>
      <w:tblGrid>
        <w:gridCol w:w="1621"/>
        <w:gridCol w:w="1429"/>
        <w:gridCol w:w="1435"/>
        <w:gridCol w:w="211"/>
        <w:gridCol w:w="481"/>
        <w:gridCol w:w="109"/>
        <w:gridCol w:w="109"/>
        <w:gridCol w:w="109"/>
        <w:gridCol w:w="109"/>
        <w:gridCol w:w="211"/>
        <w:gridCol w:w="511"/>
        <w:gridCol w:w="109"/>
        <w:gridCol w:w="109"/>
        <w:gridCol w:w="109"/>
        <w:gridCol w:w="109"/>
        <w:gridCol w:w="211"/>
        <w:gridCol w:w="481"/>
        <w:gridCol w:w="109"/>
        <w:gridCol w:w="109"/>
        <w:gridCol w:w="109"/>
        <w:gridCol w:w="109"/>
        <w:gridCol w:w="211"/>
        <w:gridCol w:w="511"/>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Foreign Exchange Forward Contracts: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foreign exchange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fair value of outstanding derivatives (in millions):</w:t>
      </w:r>
    </w:p>
    <w:tbl>
      <w:tblPr>
        <w:tblW w:w="8145" w:type="dxa"/>
        <w:jc w:val="left"/>
        <w:tblInd w:w="0" w:type="dxa"/>
        <w:tblLayout w:type="fixed"/>
        <w:tblCellMar>
          <w:top w:w="28" w:type="dxa"/>
          <w:left w:w="28" w:type="dxa"/>
          <w:bottom w:w="28" w:type="dxa"/>
          <w:right w:w="28" w:type="dxa"/>
        </w:tblCellMar>
      </w:tblPr>
      <w:tblGrid>
        <w:gridCol w:w="1544"/>
        <w:gridCol w:w="1359"/>
        <w:gridCol w:w="1371"/>
        <w:gridCol w:w="559"/>
        <w:gridCol w:w="559"/>
        <w:gridCol w:w="561"/>
        <w:gridCol w:w="211"/>
        <w:gridCol w:w="406"/>
        <w:gridCol w:w="109"/>
        <w:gridCol w:w="109"/>
        <w:gridCol w:w="109"/>
        <w:gridCol w:w="109"/>
        <w:gridCol w:w="311"/>
        <w:gridCol w:w="599"/>
        <w:gridCol w:w="229"/>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 asset instruments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 liability instruments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and foreign exchange forward contracts subject to such provisions (in millions):</w:t>
      </w:r>
    </w:p>
    <w:tbl>
      <w:tblPr>
        <w:tblW w:w="10205" w:type="dxa"/>
        <w:jc w:val="left"/>
        <w:tblInd w:w="0" w:type="dxa"/>
        <w:tblLayout w:type="fixed"/>
        <w:tblCellMar>
          <w:top w:w="28" w:type="dxa"/>
          <w:left w:w="28" w:type="dxa"/>
          <w:bottom w:w="28" w:type="dxa"/>
          <w:right w:w="28" w:type="dxa"/>
        </w:tblCellMar>
      </w:tblPr>
      <w:tblGrid>
        <w:gridCol w:w="390"/>
        <w:gridCol w:w="343"/>
        <w:gridCol w:w="348"/>
        <w:gridCol w:w="368"/>
        <w:gridCol w:w="708"/>
        <w:gridCol w:w="192"/>
        <w:gridCol w:w="109"/>
        <w:gridCol w:w="109"/>
        <w:gridCol w:w="109"/>
        <w:gridCol w:w="422"/>
        <w:gridCol w:w="813"/>
        <w:gridCol w:w="220"/>
        <w:gridCol w:w="109"/>
        <w:gridCol w:w="109"/>
        <w:gridCol w:w="109"/>
        <w:gridCol w:w="480"/>
        <w:gridCol w:w="925"/>
        <w:gridCol w:w="250"/>
        <w:gridCol w:w="109"/>
        <w:gridCol w:w="109"/>
        <w:gridCol w:w="109"/>
        <w:gridCol w:w="368"/>
        <w:gridCol w:w="650"/>
        <w:gridCol w:w="138"/>
        <w:gridCol w:w="116"/>
        <w:gridCol w:w="116"/>
        <w:gridCol w:w="116"/>
        <w:gridCol w:w="383"/>
        <w:gridCol w:w="546"/>
        <w:gridCol w:w="146"/>
        <w:gridCol w:w="116"/>
        <w:gridCol w:w="116"/>
        <w:gridCol w:w="116"/>
        <w:gridCol w:w="225"/>
        <w:gridCol w:w="434"/>
        <w:gridCol w:w="17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Liabilities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2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Financial Instruments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Collateral Received (Pledged)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0"/>
        <w:gridCol w:w="343"/>
        <w:gridCol w:w="348"/>
        <w:gridCol w:w="368"/>
        <w:gridCol w:w="708"/>
        <w:gridCol w:w="192"/>
        <w:gridCol w:w="109"/>
        <w:gridCol w:w="109"/>
        <w:gridCol w:w="109"/>
        <w:gridCol w:w="422"/>
        <w:gridCol w:w="813"/>
        <w:gridCol w:w="220"/>
        <w:gridCol w:w="109"/>
        <w:gridCol w:w="109"/>
        <w:gridCol w:w="109"/>
        <w:gridCol w:w="480"/>
        <w:gridCol w:w="925"/>
        <w:gridCol w:w="250"/>
        <w:gridCol w:w="109"/>
        <w:gridCol w:w="109"/>
        <w:gridCol w:w="109"/>
        <w:gridCol w:w="368"/>
        <w:gridCol w:w="650"/>
        <w:gridCol w:w="138"/>
        <w:gridCol w:w="116"/>
        <w:gridCol w:w="116"/>
        <w:gridCol w:w="116"/>
        <w:gridCol w:w="383"/>
        <w:gridCol w:w="546"/>
        <w:gridCol w:w="146"/>
        <w:gridCol w:w="116"/>
        <w:gridCol w:w="116"/>
        <w:gridCol w:w="116"/>
        <w:gridCol w:w="225"/>
        <w:gridCol w:w="434"/>
        <w:gridCol w:w="17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Liabilities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2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Financial Instruments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Collateral Received (Pledged)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Inventories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Inventories consisted of the following (in millions):</w:t>
      </w:r>
      <w:r>
        <w:rPr>
          <w:color w:val="000000"/>
        </w:rPr>
        <w:t> </w:t>
      </w:r>
    </w:p>
    <w:tbl>
      <w:tblPr>
        <w:tblW w:w="3917" w:type="dxa"/>
        <w:jc w:val="left"/>
        <w:tblInd w:w="0" w:type="dxa"/>
        <w:tblLayout w:type="fixed"/>
        <w:tblCellMar>
          <w:top w:w="28" w:type="dxa"/>
          <w:left w:w="28" w:type="dxa"/>
          <w:bottom w:w="28" w:type="dxa"/>
          <w:right w:w="28" w:type="dxa"/>
        </w:tblCellMar>
      </w:tblPr>
      <w:tblGrid>
        <w:gridCol w:w="548"/>
        <w:gridCol w:w="481"/>
        <w:gridCol w:w="485"/>
        <w:gridCol w:w="211"/>
        <w:gridCol w:w="616"/>
        <w:gridCol w:w="109"/>
        <w:gridCol w:w="109"/>
        <w:gridCol w:w="109"/>
        <w:gridCol w:w="109"/>
        <w:gridCol w:w="245"/>
        <w:gridCol w:w="716"/>
        <w:gridCol w:w="17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inventories included $54.1 million related to the purchase accounting inventory fair value step-up on inventory acquired as part of our GW Acquisition. During the six months ended June 30, 2026, this fair value step-up was fully recognized in cost of product sales, and no related balance remained in inventory as of June 30, 2026.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Goodwill and Intangible Assets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gross carrying amount of goodwill was as follows (in millions):</w:t>
      </w:r>
    </w:p>
    <w:tbl>
      <w:tblPr>
        <w:tblW w:w="3725" w:type="dxa"/>
        <w:jc w:val="left"/>
        <w:tblInd w:w="0" w:type="dxa"/>
        <w:tblLayout w:type="fixed"/>
        <w:tblCellMar>
          <w:top w:w="28" w:type="dxa"/>
          <w:left w:w="28" w:type="dxa"/>
          <w:bottom w:w="28" w:type="dxa"/>
          <w:right w:w="28" w:type="dxa"/>
        </w:tblCellMar>
      </w:tblPr>
      <w:tblGrid>
        <w:gridCol w:w="939"/>
        <w:gridCol w:w="825"/>
        <w:gridCol w:w="830"/>
        <w:gridCol w:w="211"/>
        <w:gridCol w:w="76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gross carrying amounts and net book values of our intangible assets were as follows (in millions):</w:t>
      </w:r>
      <w:r>
        <w:rPr>
          <w:color w:val="000000"/>
        </w:rPr>
        <w:t> </w:t>
      </w:r>
    </w:p>
    <w:tbl>
      <w:tblPr>
        <w:tblW w:w="11105" w:type="dxa"/>
        <w:jc w:val="left"/>
        <w:tblInd w:w="0" w:type="dxa"/>
        <w:tblLayout w:type="fixed"/>
        <w:tblCellMar>
          <w:top w:w="28" w:type="dxa"/>
          <w:left w:w="28" w:type="dxa"/>
          <w:bottom w:w="28" w:type="dxa"/>
          <w:right w:w="28" w:type="dxa"/>
        </w:tblCellMar>
      </w:tblPr>
      <w:tblGrid>
        <w:gridCol w:w="589"/>
        <w:gridCol w:w="373"/>
        <w:gridCol w:w="374"/>
        <w:gridCol w:w="405"/>
        <w:gridCol w:w="405"/>
        <w:gridCol w:w="406"/>
        <w:gridCol w:w="109"/>
        <w:gridCol w:w="109"/>
        <w:gridCol w:w="109"/>
        <w:gridCol w:w="211"/>
        <w:gridCol w:w="766"/>
        <w:gridCol w:w="109"/>
        <w:gridCol w:w="109"/>
        <w:gridCol w:w="109"/>
        <w:gridCol w:w="109"/>
        <w:gridCol w:w="211"/>
        <w:gridCol w:w="781"/>
        <w:gridCol w:w="109"/>
        <w:gridCol w:w="109"/>
        <w:gridCol w:w="109"/>
        <w:gridCol w:w="109"/>
        <w:gridCol w:w="211"/>
        <w:gridCol w:w="766"/>
        <w:gridCol w:w="109"/>
        <w:gridCol w:w="109"/>
        <w:gridCol w:w="109"/>
        <w:gridCol w:w="109"/>
        <w:gridCol w:w="211"/>
        <w:gridCol w:w="766"/>
        <w:gridCol w:w="109"/>
        <w:gridCol w:w="109"/>
        <w:gridCol w:w="109"/>
        <w:gridCol w:w="109"/>
        <w:gridCol w:w="211"/>
        <w:gridCol w:w="781"/>
        <w:gridCol w:w="109"/>
        <w:gridCol w:w="109"/>
        <w:gridCol w:w="109"/>
        <w:gridCol w:w="109"/>
        <w:gridCol w:w="211"/>
        <w:gridCol w:w="76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Weighted-</w:t>
              <w:br/>
              <w:t>Average Useful</w:t>
              <w:br/>
              <w:t>Life</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technologies</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contracts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decrease in the gross carrying amount of intangible assets as of June 30, 2026, compared to December 31, 2025, primarily relates to the negative impact of foreign currency translation adjustments primarily due to the weakening of sterling against the U.S. dollar.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Based on finite-lived intangible assets recorded as of June 30, 2026, and assuming the underlying assets will not be impaired and that we will not change the expected lives of the assets, future amortization expenses were estimated as follows (in millions):</w:t>
      </w:r>
      <w:r>
        <w:rPr>
          <w:color w:val="000000"/>
        </w:rPr>
        <w:t> </w:t>
      </w:r>
    </w:p>
    <w:tbl>
      <w:tblPr>
        <w:tblW w:w="4589" w:type="dxa"/>
        <w:jc w:val="left"/>
        <w:tblInd w:w="0" w:type="dxa"/>
        <w:tblLayout w:type="fixed"/>
        <w:tblCellMar>
          <w:top w:w="28" w:type="dxa"/>
          <w:left w:w="28" w:type="dxa"/>
          <w:bottom w:w="28" w:type="dxa"/>
          <w:right w:w="28" w:type="dxa"/>
        </w:tblCellMar>
      </w:tblPr>
      <w:tblGrid>
        <w:gridCol w:w="748"/>
        <w:gridCol w:w="659"/>
        <w:gridCol w:w="662"/>
        <w:gridCol w:w="470"/>
        <w:gridCol w:w="1707"/>
        <w:gridCol w:w="343"/>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Amortization Expense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4,029.5 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Certain Balance Sheet Items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(in millions):</w:t>
      </w:r>
    </w:p>
    <w:tbl>
      <w:tblPr>
        <w:tblW w:w="6452" w:type="dxa"/>
        <w:jc w:val="left"/>
        <w:tblInd w:w="0" w:type="dxa"/>
        <w:tblLayout w:type="fixed"/>
        <w:tblCellMar>
          <w:top w:w="28" w:type="dxa"/>
          <w:left w:w="28" w:type="dxa"/>
          <w:bottom w:w="28" w:type="dxa"/>
          <w:right w:w="28" w:type="dxa"/>
        </w:tblCellMar>
      </w:tblPr>
      <w:tblGrid>
        <w:gridCol w:w="1467"/>
        <w:gridCol w:w="1288"/>
        <w:gridCol w:w="1294"/>
        <w:gridCol w:w="211"/>
        <w:gridCol w:w="616"/>
        <w:gridCol w:w="109"/>
        <w:gridCol w:w="109"/>
        <w:gridCol w:w="109"/>
        <w:gridCol w:w="109"/>
        <w:gridCol w:w="245"/>
        <w:gridCol w:w="716"/>
        <w:gridCol w:w="179"/>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 and machinery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(in millions): </w:t>
      </w:r>
    </w:p>
    <w:tbl>
      <w:tblPr>
        <w:tblW w:w="5716" w:type="dxa"/>
        <w:jc w:val="left"/>
        <w:tblInd w:w="0" w:type="dxa"/>
        <w:tblLayout w:type="fixed"/>
        <w:tblCellMar>
          <w:top w:w="28" w:type="dxa"/>
          <w:left w:w="28" w:type="dxa"/>
          <w:bottom w:w="28" w:type="dxa"/>
          <w:right w:w="28" w:type="dxa"/>
        </w:tblCellMar>
      </w:tblPr>
      <w:tblGrid>
        <w:gridCol w:w="1147"/>
        <w:gridCol w:w="1007"/>
        <w:gridCol w:w="1010"/>
        <w:gridCol w:w="211"/>
        <w:gridCol w:w="766"/>
        <w:gridCol w:w="109"/>
        <w:gridCol w:w="109"/>
        <w:gridCol w:w="109"/>
        <w:gridCol w:w="109"/>
        <w:gridCol w:w="212"/>
        <w:gridCol w:w="772"/>
        <w:gridCol w:w="155"/>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and other sales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Inventory-related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 accruals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development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construction-in-progress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Debt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our indebtedness (in millions):</w:t>
      </w:r>
    </w:p>
    <w:tbl>
      <w:tblPr>
        <w:tblW w:w="5417" w:type="dxa"/>
        <w:jc w:val="left"/>
        <w:tblInd w:w="0" w:type="dxa"/>
        <w:tblLayout w:type="fixed"/>
        <w:tblCellMar>
          <w:top w:w="28" w:type="dxa"/>
          <w:left w:w="28" w:type="dxa"/>
          <w:bottom w:w="28" w:type="dxa"/>
          <w:right w:w="28" w:type="dxa"/>
        </w:tblCellMar>
      </w:tblPr>
      <w:tblGrid>
        <w:gridCol w:w="1035"/>
        <w:gridCol w:w="908"/>
        <w:gridCol w:w="922"/>
        <w:gridCol w:w="211"/>
        <w:gridCol w:w="766"/>
        <w:gridCol w:w="109"/>
        <w:gridCol w:w="109"/>
        <w:gridCol w:w="109"/>
        <w:gridCol w:w="109"/>
        <w:gridCol w:w="212"/>
        <w:gridCol w:w="772"/>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2026 Notes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Secured Notes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current portion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Balance as of June 30, 2026 includes the 2030 Notes since the share price condition was met during the quarter ended June 30, 2026. Balance as of December 31, 2025 included the 2026 Notes since they matured in June 2026.</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were issued by Jazz Investments, or the Issuer, a 100%-owned finance subsidiary of Jazz Pharmaceuticals plc. The 2030 Notes are senior unsecured obligations of the Issuer and are fully and unconditionally guaranteed on a senior unsecured basis by Jazz Pharmaceuticals plc. No subsidiary of Jazz Pharmaceuticals plc guaranteed the 2030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total liability of the 2030 Notes is reflected net of issuance costs of $19.2 million which will be amortized over the term of the 2030 Notes. The effective interest rate of the 2030 Notes is 3.47%. During the three months ended June 30, 2026 and 2025, we recognized interest expense of $8.5 million, of which $7.8 million related to the contractual coupon rate and $0.7 million related to the amortization of debt issuance costs. During the six months ended June 30, 2026 and 2025, we recognized interest expense of $17.0 million, of which $15.6 million related to the contractual coupon rate and $1.4 million related to the amortization of debt issuance costs.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Prior to June 15, 2030, the 2030 Notes will be exchangeable only upon satisfaction of certain conditions, including a condition tied to our share price that is measured as of the end of each quarter, and during certain periods, and thereafter, at any time until the close of business on the second scheduled trading day immediately preceding the maturity date.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closing price of our ordinary shares exceeded 130% of the conversion price (approximately $153.05) of the 2030 Notes for more than 20 trading days of the last 30 consecutive trading days of the quarter. As a result, the share price condition was met and the 2030 Notes are exchangeable at the option of the holders during the quarter ended September 30, 2026. Accordingly, the carrying value of the 2030 Notes has been included in current liabilities in our condensed consolidated balance sheet as of June 30, 2026. As of the date of this filing, none of the 2030 Notes have been exchanged by the holders.</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2026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June 15, 2026, the maturity date for the 2026 Notes, we repaid the $1.0 billion aggregate principal amount and accrued and unpaid interest thereon and issued 1,890,193 ordinary shares representing the conversion premium.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 we recognized interest expense of $4.7 million, of which $4.2 million related to the contractual coupon rate and $0.5 million related to the amortization of debt issuance costs. During the three months ended June 30, 2025, we recognized interest expense of $5.6 million, of which $5.0 million related to the contractual coupon rate and $0.6 million related to the amortization of debt issuance costs. During the six months ended June 30, 2026, we recognized interest expense of $10.3 million, of which $9.2 million related to the contractual coupon rate and $1.1 million related to the amortization of debt issuance costs. During the six months ended June 30, 2025, we recognized interest expense of $11.1 million, of which $10.0 million related to the contractual coupon rate and $1.1 million related to the amortization of debt issuance costs.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Maturities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Scheduled maturities with respect to our long-term debt principal balances outstanding as of June 30, 2026, were as follows (in millions): </w:t>
      </w:r>
    </w:p>
    <w:tbl>
      <w:tblPr>
        <w:tblW w:w="4993" w:type="dxa"/>
        <w:jc w:val="center"/>
        <w:tblInd w:w="0" w:type="dxa"/>
        <w:tblLayout w:type="fixed"/>
        <w:tblCellMar>
          <w:top w:w="28" w:type="dxa"/>
          <w:left w:w="28" w:type="dxa"/>
          <w:bottom w:w="28" w:type="dxa"/>
          <w:right w:w="28" w:type="dxa"/>
        </w:tblCellMar>
      </w:tblPr>
      <w:tblGrid>
        <w:gridCol w:w="748"/>
        <w:gridCol w:w="659"/>
        <w:gridCol w:w="662"/>
        <w:gridCol w:w="545"/>
        <w:gridCol w:w="1981"/>
        <w:gridCol w:w="39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Scheduled Long-Term Debt Maturities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4,395.0 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w:t>
      </w:r>
      <w:r>
        <w:rPr>
          <w:color w:val="000000"/>
        </w:rPr>
        <w:t xml:space="preserve"> </w:t>
      </w:r>
      <w:r>
        <w:rPr>
          <w:rFonts w:ascii="Times New Roman;serif" w:hAnsi="Times New Roman;serif"/>
          <w:b w:val="false"/>
          <w:color w:val="000000"/>
          <w:sz w:val="20"/>
        </w:rPr>
        <w:t>Accordingly, we did not recognize any liabilities relating to these obligations as of June 30, 2026 and December 31, 2025. No assurances can be given that the covering insurers will not attempt to dispute the validity, applicability, or amount of coverage w</w:t>
      </w:r>
      <w:r>
        <w:rPr>
          <w:rFonts w:ascii="Times New Roman;serif" w:hAnsi="Times New Roman;serif"/>
          <w:b w:val="false"/>
          <w:color w:val="000000"/>
          <w:sz w:val="20"/>
          <w:shd w:fill="FFFFFF" w:val="clear"/>
        </w:rPr>
        <w:t>ithout expensive litigation against these insurers, in which case we may incur substantial liabilities as a result of these indemnification obligations.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involved in legal proceedings, including the following matters: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Patent Infringement Litigation</w:t>
      </w:r>
    </w:p>
    <w:p>
      <w:pPr>
        <w:pStyle w:val="TextBody"/>
        <w:bidi w:val="0"/>
        <w:spacing w:lineRule="auto" w:line="288" w:before="120" w:after="12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Xywav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2021, we filed a patent infringement suit against Lupin in the U.S.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pPr>
      <w:r>
        <w:rPr>
          <w:rFonts w:ascii="Times New Roman;serif" w:hAnsi="Times New Roman;serif"/>
          <w:b w:val="false"/>
          <w:color w:val="000000"/>
          <w:sz w:val="20"/>
        </w:rPr>
        <w:t>In June 2021, FDA recognized seven years of Orphan Drug Exclusivity for Xywav through July 21, 2027. In October</w:t>
      </w:r>
      <w:r>
        <w:rPr>
          <w:color w:val="000000"/>
          <w:shd w:fill="FFFFFF" w:val="clear"/>
        </w:rPr>
        <w:t> </w:t>
      </w:r>
      <w:r>
        <w:rPr>
          <w:rFonts w:ascii="Times New Roman;serif" w:hAnsi="Times New Roman;serif"/>
          <w:b w:val="false"/>
          <w:color w:val="000000"/>
          <w:sz w:val="20"/>
        </w:rPr>
        <w:t>2021, Lupin filed an answer to the ANDA complaint and asserted counterclaims that the patents are invalid or not enforceable, and that its product, if approved, will not infringe our patents.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received notice from Lupin that it had filed a paragraph IV certification regarding a newly-issued patent listed in the Orange Book for Xywav. On May 11, 2022, we filed an additional lawsuit against Lupin in the U.S.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In June 2022, the U.S. District Court for the District of New Jersey consolidated the two lawsuits we filed against Lupin.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2022, we received notice from Lupin that it had filed a paragraph IV certification regarding a newly-issued patent listed in the Orange Book for Xywav. On January 19, 2023, we filed an additional lawsuit against Lupin in the U.S.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In February 2023, the U.S. District Court for the District of New Jersey consolidated the new lawsuit with the two suits we previously filed against Lupin.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On March 21, 2023, we filed a patent infringement suit against Teva in the U.S.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In May</w:t>
      </w:r>
      <w:r>
        <w:rPr>
          <w:color w:val="000000"/>
          <w:shd w:fill="FFFFFF" w:val="clear"/>
        </w:rPr>
        <w:t> </w:t>
      </w:r>
      <w:r>
        <w:rPr>
          <w:rFonts w:ascii="Times New Roman;serif" w:hAnsi="Times New Roman;serif"/>
          <w:b w:val="false"/>
          <w:color w:val="000000"/>
          <w:sz w:val="20"/>
        </w:rPr>
        <w:t xml:space="preserve">2023, Teva filed an answer to the complaint and asserted counterclaims that the patents are invalid or not enforceable, and that its product, if approved, will not infringe our patents.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December 2023, based on a stipulation between all parties, the U.S. District Court for the District of New Jersey consolidated the Lupin lawsuits and the Teva lawsuit for all purposes. No trial date has been set in the consolidated case.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we received notices from Lupin and Teva that they had each filed a paragraph IV certification regarding a newly-issued patent listed in the Orange Book for Xywav. On August 27, 2024, we filed an additional lawsuit in the U.S.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2025, we received notice from Granules that it has filed with FDA an ANDA for a generic version of Xywav. The notice from Granules included a paragraph IV certification with respect to fourteen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13, 2025, we filed a patent infringement suit against Granules in the U.S. District Court for the District of New Jersey. In March 2026, we entered into a settlement agreement with Granules that resolved our patent litigation with Granules related to Xywav. Under the settlement agreement, we granted a license to certain of the patents listed in the Orange Book for Xywav that could, under certain circumstances, allow Granules to launch its generic version of Xywav prior to the expiration of the licensed patents. The specific terms of the Granules settlement agreement are confidential.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settlement with Granules does not resolve the litigation against Lupin or Teva, which is ongoing. We cannot predict the specific timing or outcome of events in these matters with respect to the remaining defendants or the impact of developments involving any specific parties or patents on other ongoing proceedings with Lupin or Teva.</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Zepzelca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and August 2024, and in May 2026,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one or more patents listed in the Orange Book for Zepzelca on the date of the receipt of the notice. The listed patents relate to the drug substance, drug product and approved use of Zepzelca. We are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11, 2024, we and PharmaMar filed the first patent infringement suit against certain of the Zepzelca ANDA Filers in the U.S.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 As a result of this lawsuit FDA approval of each Zepzelca ANDA Filer's ANDA became subject to a statutory stay of approval under the Hatch-Waxman Act of up to seven and a half years from the date of initial FDA approval of Zepzelca.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2025, we and Sandoz Inc. stipulated to the dismissal of our lawsuit against Sandoz Inc. without prejudice.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12, 2024, we and PharmaMar filed a patent infringement suit against RK Pharma, in the U.S.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In November 2024, we voluntarily dismissed this action against RK Pharma in the U.S. District Court for the District of Delaware. RK Pharma remains a defendant in the litigation referenced above in the U.S. District Court for the District of New Jersey.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we received notice from InvaGen that it had filed a paragraph IV certification regarding a newly-issued patent listed in the Orange Book for Zepzelca. On September 4, 2025, we and PharmaMar filed a second lawsuit in the U.S. District Court for the District of New Jersey against certain of the Zepzelca ANDA Filers, alleging that, by filing its ANDA, each party infringed the newly-issued patent related to a method of treatment using Zepzelca. In November 2025, we and PharmaMar amended the complaint to assert two additional patents listed in the Orange Book for Zepzelca against the defendants. The asserted patents related to a method of treatment using Zepzelca. The suit seeks orders that the effective date of FDA approval for each defendant’s application shall be no earlier than the expiration of the asserted patents. In March 2026, the U.S. District Court for the District of New Jersey consolidated the first and second actions for all purposes.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received notice from Qilu that it had filed an ANDA for a generic version of Zepzelca with a paragraph IV certification to one or more of the patents listed in the Orange Book for Zepzelca. On June 26, 2026, we and PharmaMar filed a lawsuit in the U.S. District Court for the District of New Jersey, alleging that, by filing its ANDA, Qilu infringed certain patents listed in the Orange Book for Zepzelca. The asserted patents relate to a method of treatment using Zepzelca. The suit seeks an order that the effective date of FDA approval for Qilu’s ANDA shall be no earlier than the expiration of the asserted patents. As a result of this lawsuit, FDA approval of Qilu's ANDA became subject to a statutory stay of up to 30 months under the Hatch-Waxman Act.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Defitelio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On April 16, 2025, we filed a patent infringement lawsuit against Almaject in the U.S.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FDA approval of Almaject's ANDA became subject to a statutory stay of up to 30 months under the Hatch-Waxman Act.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filed a second patent infringement lawsuit against Almaject in the U.S. District Court for the District of New Jersey based on two additional patents listed in the Orange Book for Defitelio. The patents relate generally to the Defitelio drug product. The complaint alleges that by filing its ANDA, Almaject has infringed the patents, and seeks an order that the effective date of FDA approval for the Almaject ANDA shall be on a date no earlier than the expiration of the last to expire of the asserted patents.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Tris Pharma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we received notices from Tris Pharma that it had filed with FDA a Section 505(b)(2) NDA with Xyrem and Xywav as reference listed drugs. The first notice included a paragraph IV certification with respect to seven patents listed in FDA’s Orange Book for Xyrem, and the second notice included a paragraph IV certification with respect to fifteen patents listed in FDA’s Orange Book for Xywav on the date of our receipt of the notice. Seven of the listed patents relate generally to methods of treatment when Xywav or Xyrem is administered concomitantly with certain other medications, and the remaining eight relate generally to the composition and method of use of Xywav.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we filed two patent infringement suits against Tris Pharma in the U.S. District Court for the District of New Jersey. The complaints allege that by filing its Section 505(b)(2) NDA, Tris Pharma infringed certain of our patents listed in FDA’s Orange Book for Xyrem and certain of our patents listed in FDA’s Orange Book for Xywav, respectively. Each lawsuit seeks an order that the effective date of FDA approval of Tris Pharma’s Section 505(b)(2) NDA shall be a date no earlier than the expiration of the last to expire of the asserted patents. As a result of this lawsuit, FDA approval of Tris Pharma's Section 505(b)(2) NDA became subject to a statutory stay of up to 30 months under the Hatch-Waxman Act. In April 2026, Tris Pharma filed motions to dismiss the complaints. In July 2026, the U.S. District Court for the District of New Jersey denied the motions and subsequently, Tris Pharma filed answers and counterclaims alleging that the asserted patents are invalid and not infringed.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Qui Tam Matters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In July 2024, the U.S. District Court for the District of Massachusetts unsealed a qui tam whistleblower lawsuit underlying the USAO’s subpoena. The public docket in this matter indicates that on May 24 and June 7, 2024, respectively, the U.S. and a number of states named in the whistleblower complaint declined to intervene in this matter. Private whistleblower litigation then proceeded in the U.S. District Court for the District of Massachusetts. </w:t>
      </w:r>
      <w:r>
        <w:rPr>
          <w:rFonts w:ascii="Times New Roman;serif" w:hAnsi="Times New Roman;serif"/>
          <w:b w:val="false"/>
          <w:color w:val="000000"/>
          <w:sz w:val="20"/>
        </w:rPr>
        <w:t xml:space="preserve">On September 23, 2025, the </w:t>
      </w:r>
      <w:r>
        <w:rPr>
          <w:rFonts w:ascii="Times New Roman;serif" w:hAnsi="Times New Roman;serif"/>
          <w:b w:val="false"/>
          <w:color w:val="000000"/>
          <w:sz w:val="20"/>
          <w:shd w:fill="FFFFFF" w:val="clear"/>
        </w:rPr>
        <w:t>U.S. District Court for the District of Massachusetts</w:t>
      </w:r>
      <w:r>
        <w:rPr>
          <w:color w:val="000000"/>
        </w:rPr>
        <w:t xml:space="preserve"> </w:t>
      </w:r>
      <w:r>
        <w:rPr>
          <w:rFonts w:ascii="Times New Roman;serif" w:hAnsi="Times New Roman;serif"/>
          <w:b w:val="false"/>
          <w:color w:val="000000"/>
          <w:sz w:val="20"/>
        </w:rPr>
        <w:t>granted our motion and dismissed the plaintiff’s federal claims with prejudice and state-law claims without prejudice.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23, 2026, the U.S. District Court for the Southern District of New York unsealed a lawsuit filed by a qui tam whistleblower against us under the New York state False Claims Act. The docket reflects that the New York Attorney General declined to participate in the litigation. This lawsuit repeats almost verbatim allegations asserted by this same whistleblower against us in the case that was dismissed in September 2025, by the U.S. District Court for the District of Massachusetts. In May 2026, the plaintiff amended its complaint. In July 2026, we moved to dismiss the amended complaint with prejudice. The motion remains pending and no hearing date has been set. We will continue to vigorously defend against these claims.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Shareholders’ Equity</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our board of directors authorized the Repurchase Program, to repurchase ordinary shares having an aggregate purchase price of $500.0 million, exclusive of any brokerage commissions. The Repurchase Program, which has no expiration date, allows us to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Repurchase Program may be modified, suspended or discontinued at any time without our prior notice. During the three and six months ended June 30, 2026, no shares were repurchased. During the three and six months ended June 30, 2025, we spent a total of $125.0 million to repurchase 1.1 million of our ordinary shares under the Repurchase Program at a purchase price, including commissions, of $109.52 per share. As of June 30, 2026, the remaining amount authorized for repurchases under the Repurchase Program was $225.0 million, exclusive of any brokerage commissions.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accumulated other comprehensive loss was $662.5 million and $568.6 million, respectively, and primarily related to cumulative foreign currency translation adjustments.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other comprehensive income (loss) primarily reflected the negative impact of foreign currency translation adjustments, primarily due to the weakening of sterling against the U.S. dollar.</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Net Income (Loss) per Ordinary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ordinary share were computed as follows (in millions, except per share amounts):</w:t>
      </w:r>
    </w:p>
    <w:tbl>
      <w:tblPr>
        <w:tblW w:w="10205" w:type="dxa"/>
        <w:jc w:val="left"/>
        <w:tblInd w:w="0" w:type="dxa"/>
        <w:tblLayout w:type="fixed"/>
        <w:tblCellMar>
          <w:top w:w="28" w:type="dxa"/>
          <w:left w:w="28" w:type="dxa"/>
          <w:bottom w:w="28" w:type="dxa"/>
          <w:right w:w="28" w:type="dxa"/>
        </w:tblCellMar>
      </w:tblPr>
      <w:tblGrid>
        <w:gridCol w:w="2309"/>
        <w:gridCol w:w="1496"/>
        <w:gridCol w:w="1499"/>
        <w:gridCol w:w="211"/>
        <w:gridCol w:w="616"/>
        <w:gridCol w:w="109"/>
        <w:gridCol w:w="109"/>
        <w:gridCol w:w="109"/>
        <w:gridCol w:w="109"/>
        <w:gridCol w:w="211"/>
        <w:gridCol w:w="681"/>
        <w:gridCol w:w="109"/>
        <w:gridCol w:w="109"/>
        <w:gridCol w:w="109"/>
        <w:gridCol w:w="109"/>
        <w:gridCol w:w="211"/>
        <w:gridCol w:w="616"/>
        <w:gridCol w:w="109"/>
        <w:gridCol w:w="109"/>
        <w:gridCol w:w="109"/>
        <w:gridCol w:w="109"/>
        <w:gridCol w:w="211"/>
        <w:gridCol w:w="681"/>
        <w:gridCol w:w="155"/>
      </w:tblGrid>
      <w:tr>
        <w:trPr/>
        <w:tc>
          <w:tcPr>
            <w:tcW w:w="23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the Exchangeable Senior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equity incentive and purchase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June 15, 2026, the maturity date of the 2026 Notes, we repaid $1.0 billion aggregate principal amount in cash and issued 1,890,193 ordinary shares representing the conversion premium. For the period the 2026 Notes were outstanding, the dilutive effect of the 2026 Notes was included in the calculation of diluted net income per share for the three and six months ended June 30, 2026, when the average market price of our ordinary shares in that period exceeded the conversion price, of approximately $155.81 per ordinary share. The average market price of our ordinary shares for the three and six months ended June 30, 2025, did not exceed the conversion price of the 2026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approximately $153.05 per ordinary share, of the 2030 Notes. The average market price of our ordinary shares for the three and six months ended June 30, 2025, did not exceed the conversion price of the 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weighted-average ordinary shares that were excluded from the calculation of diluted net income (loss) per ordinary share for the periods presented because including them would have an anti-dilutive effect (in millions):</w:t>
      </w:r>
    </w:p>
    <w:tbl>
      <w:tblPr>
        <w:tblW w:w="7592" w:type="dxa"/>
        <w:jc w:val="left"/>
        <w:tblInd w:w="0" w:type="dxa"/>
        <w:tblLayout w:type="fixed"/>
        <w:tblCellMar>
          <w:top w:w="28" w:type="dxa"/>
          <w:left w:w="28" w:type="dxa"/>
          <w:bottom w:w="28" w:type="dxa"/>
          <w:right w:w="28" w:type="dxa"/>
        </w:tblCellMar>
      </w:tblPr>
      <w:tblGrid>
        <w:gridCol w:w="1415"/>
        <w:gridCol w:w="1246"/>
        <w:gridCol w:w="1254"/>
        <w:gridCol w:w="203"/>
        <w:gridCol w:w="203"/>
        <w:gridCol w:w="178"/>
        <w:gridCol w:w="178"/>
        <w:gridCol w:w="178"/>
        <w:gridCol w:w="178"/>
        <w:gridCol w:w="203"/>
        <w:gridCol w:w="203"/>
        <w:gridCol w:w="178"/>
        <w:gridCol w:w="109"/>
        <w:gridCol w:w="109"/>
        <w:gridCol w:w="109"/>
        <w:gridCol w:w="203"/>
        <w:gridCol w:w="203"/>
        <w:gridCol w:w="156"/>
        <w:gridCol w:w="154"/>
        <w:gridCol w:w="154"/>
        <w:gridCol w:w="154"/>
        <w:gridCol w:w="203"/>
        <w:gridCol w:w="203"/>
        <w:gridCol w:w="218"/>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equity incentive and purchase plans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Revenues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total revenues (in millions):</w:t>
      </w:r>
      <w:r>
        <w:rPr>
          <w:color w:val="000000"/>
        </w:rPr>
        <w:t> </w:t>
      </w:r>
    </w:p>
    <w:tbl>
      <w:tblPr>
        <w:tblW w:w="9330" w:type="dxa"/>
        <w:jc w:val="left"/>
        <w:tblInd w:w="0" w:type="dxa"/>
        <w:tblLayout w:type="fixed"/>
        <w:tblCellMar>
          <w:top w:w="28" w:type="dxa"/>
          <w:left w:w="28" w:type="dxa"/>
          <w:bottom w:w="28" w:type="dxa"/>
          <w:right w:w="28" w:type="dxa"/>
        </w:tblCellMar>
      </w:tblPr>
      <w:tblGrid>
        <w:gridCol w:w="1273"/>
        <w:gridCol w:w="1120"/>
        <w:gridCol w:w="113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Epidiolex/Epidyolex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Rylaze/Enrylaze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Defitelio/defibrotide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High-sodium oxybate AG royalty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royalty and contract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140"/>
        <w:jc w:val="left"/>
        <w:rPr/>
      </w:pPr>
      <w:r>
        <w:rPr>
          <w:rFonts w:ascii="Times New Roman;serif" w:hAnsi="Times New Roman;serif"/>
          <w:b w:val="false"/>
          <w:color w:val="000000"/>
          <w:sz w:val="12"/>
          <w:shd w:fill="FFFFFF" w:val="clear"/>
        </w:rPr>
        <w:t>(1)</w:t>
      </w:r>
      <w:r>
        <w:rPr>
          <w:color w:val="000000"/>
          <w:shd w:fill="FFFFFF" w:val="clear"/>
        </w:rPr>
        <w:t xml:space="preserve"> </w:t>
      </w:r>
      <w:r>
        <w:rPr>
          <w:rFonts w:ascii="Times New Roman;serif" w:hAnsi="Times New Roman;serif"/>
          <w:b w:val="false"/>
          <w:color w:val="000000"/>
          <w:sz w:val="18"/>
          <w:shd w:fill="FFFFFF" w:val="clear"/>
        </w:rPr>
        <w:t>Includes Sativex net product sales for the three and six months ended June 30, 2025.</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total revenues attributed to geographic sources (in millions):</w:t>
      </w:r>
      <w:r>
        <w:rPr>
          <w:color w:val="000000"/>
        </w:rPr>
        <w:t> </w:t>
      </w:r>
    </w:p>
    <w:tbl>
      <w:tblPr>
        <w:tblW w:w="6689" w:type="dxa"/>
        <w:jc w:val="left"/>
        <w:tblInd w:w="0" w:type="dxa"/>
        <w:tblLayout w:type="fixed"/>
        <w:tblCellMar>
          <w:top w:w="28" w:type="dxa"/>
          <w:left w:w="28" w:type="dxa"/>
          <w:bottom w:w="28" w:type="dxa"/>
          <w:right w:w="28" w:type="dxa"/>
        </w:tblCellMar>
      </w:tblPr>
      <w:tblGrid>
        <w:gridCol w:w="475"/>
        <w:gridCol w:w="416"/>
        <w:gridCol w:w="428"/>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the percentage of total revenues from customers that represented more than 10% of our total revenues:</w:t>
      </w:r>
      <w:r>
        <w:rPr>
          <w:color w:val="000000"/>
        </w:rPr>
        <w:t> </w:t>
      </w:r>
    </w:p>
    <w:tbl>
      <w:tblPr>
        <w:tblW w:w="4798" w:type="dxa"/>
        <w:jc w:val="left"/>
        <w:tblInd w:w="0" w:type="dxa"/>
        <w:tblLayout w:type="fixed"/>
        <w:tblCellMar>
          <w:top w:w="28" w:type="dxa"/>
          <w:left w:w="28" w:type="dxa"/>
          <w:bottom w:w="28" w:type="dxa"/>
          <w:right w:w="28" w:type="dxa"/>
        </w:tblCellMar>
      </w:tblPr>
      <w:tblGrid>
        <w:gridCol w:w="353"/>
        <w:gridCol w:w="310"/>
        <w:gridCol w:w="313"/>
        <w:gridCol w:w="180"/>
        <w:gridCol w:w="181"/>
        <w:gridCol w:w="333"/>
        <w:gridCol w:w="134"/>
        <w:gridCol w:w="134"/>
        <w:gridCol w:w="134"/>
        <w:gridCol w:w="180"/>
        <w:gridCol w:w="181"/>
        <w:gridCol w:w="333"/>
        <w:gridCol w:w="109"/>
        <w:gridCol w:w="109"/>
        <w:gridCol w:w="109"/>
        <w:gridCol w:w="180"/>
        <w:gridCol w:w="181"/>
        <w:gridCol w:w="292"/>
        <w:gridCol w:w="117"/>
        <w:gridCol w:w="117"/>
        <w:gridCol w:w="117"/>
        <w:gridCol w:w="180"/>
        <w:gridCol w:w="181"/>
        <w:gridCol w:w="340"/>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percentage of trade receivables by customers who individually accounted for 10% or more of our trade receivables were as follows: </w:t>
      </w:r>
    </w:p>
    <w:tbl>
      <w:tblPr>
        <w:tblW w:w="3202" w:type="dxa"/>
        <w:jc w:val="left"/>
        <w:tblInd w:w="0" w:type="dxa"/>
        <w:tblLayout w:type="fixed"/>
        <w:tblCellMar>
          <w:top w:w="28" w:type="dxa"/>
          <w:left w:w="28" w:type="dxa"/>
          <w:bottom w:w="28" w:type="dxa"/>
          <w:right w:w="28" w:type="dxa"/>
        </w:tblCellMar>
      </w:tblPr>
      <w:tblGrid>
        <w:gridCol w:w="353"/>
        <w:gridCol w:w="310"/>
        <w:gridCol w:w="313"/>
        <w:gridCol w:w="180"/>
        <w:gridCol w:w="181"/>
        <w:gridCol w:w="399"/>
        <w:gridCol w:w="109"/>
        <w:gridCol w:w="109"/>
        <w:gridCol w:w="109"/>
        <w:gridCol w:w="231"/>
        <w:gridCol w:w="231"/>
        <w:gridCol w:w="67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Financing and payment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payment terms vary by the type and location of our customer but payment is generally required in a term ranging from 30 to 65 days.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Share-Based Compensation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Share-based compensation expense was as follows (in millions):</w:t>
      </w:r>
      <w:r>
        <w:rPr>
          <w:color w:val="000000"/>
        </w:rPr>
        <w:t> </w:t>
      </w:r>
    </w:p>
    <w:tbl>
      <w:tblPr>
        <w:tblW w:w="9389" w:type="dxa"/>
        <w:jc w:val="left"/>
        <w:tblInd w:w="0" w:type="dxa"/>
        <w:tblLayout w:type="fixed"/>
        <w:tblCellMar>
          <w:top w:w="28" w:type="dxa"/>
          <w:left w:w="28" w:type="dxa"/>
          <w:bottom w:w="28" w:type="dxa"/>
          <w:right w:w="28" w:type="dxa"/>
        </w:tblCellMar>
      </w:tblPr>
      <w:tblGrid>
        <w:gridCol w:w="1788"/>
        <w:gridCol w:w="1571"/>
        <w:gridCol w:w="1575"/>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pre-tax</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share-based compensation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15. Income Taxes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income tax expense was $18.1 million and $24.2 million for the three and six months ended June 30, 2026, compared to an income tax benefit of $17.2 million and $35.0 million for the three and six months ended June 30, 2025, relating to tax arising on income or losses in Ireland, the U.K., the U.S. and certain other foreign jurisdictions and Pillar Two top-up taxes, offset by deductions on subsidiary equity, patent box and foreign-derived deduction eligible income benefits and tax credits. The income tax expense for the six months ended June 30, 2026, also included tax arising on the gain on sale of the PRV, partially offset by excess tax benefits from share-based compensation. The income tax benefit for the six months ended June 30, 2025, was primarily due to the tax impact of certain Xyrem antitrust litigation settlements.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net deferred tax asset comprises of U.S. federal and state and foreign net operating loss carryforwards and other temporary differences and is net of deferred tax liabilities primarily related to acquired intangible assets. We maintain a valuation allowance against certain deferred tax assets. Each reporting period, we evaluate the need for a valuation allowance on our deferred tax assets by jurisdiction and adjust our estimates as more information becomes available.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2021.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2021 and earlier may still be adjusted upon examination by the taxing authorities. Certain of our subsidiaries are under examination by the Italian tax authorities for the years ended December 31, 2019 to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Government of Ireland, the jurisdiction in which Jazz Pharmaceuticals plc is incorporated, transposed the Global Minimum Tax Pillar Two rules into domestic legislation as part of the Finance Act. The Finance Act closely follows the EU Minimum Tax Directive and certain OECD Guidance released to date. The Company is within the scope of these rules, which took effect from January 1, 2024. Under the legislation, we are liable to pay top-up taxes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The income tax expense for the six months ended June 30, 2026, included an amount for forecasted Pillar Two top-up taxes, as required under the applicable rules.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The following discussion of our financial condition and results of operations should be read in conjunction with the condensed consolidated financial statements and the notes to the condensed consolidated financial statements included elsewhere in this Quarterly Report on Form 10</w:t>
        <w:noBreakHyphen/>
        <w:t>Q. This discussion contains forward-looking statements that involve risks and uncertainties. You should review the risks and uncertainties described in “Risk Factors” in Part I, Item 1A of our Annual Report on Form</w:t>
      </w:r>
      <w:r>
        <w:rPr>
          <w:color w:val="000000"/>
        </w:rPr>
        <w:t> </w:t>
      </w:r>
      <w:r>
        <w:rPr>
          <w:rFonts w:ascii="Times New Roman;serif" w:hAnsi="Times New Roman;serif"/>
          <w:b w:val="false"/>
          <w:i/>
          <w:color w:val="000000"/>
          <w:sz w:val="20"/>
        </w:rPr>
        <w:t>10-K for the year ended December</w:t>
      </w:r>
      <w:r>
        <w:rPr>
          <w:color w:val="000000"/>
        </w:rPr>
        <w:t> </w:t>
      </w:r>
      <w:r>
        <w:rPr>
          <w:rFonts w:ascii="Times New Roman;serif" w:hAnsi="Times New Roman;serif"/>
          <w:b w:val="false"/>
          <w:i/>
          <w:color w:val="000000"/>
          <w:sz w:val="20"/>
        </w:rPr>
        <w:t>31,</w:t>
      </w:r>
      <w:r>
        <w:rPr>
          <w:color w:val="000000"/>
        </w:rPr>
        <w:t> </w:t>
      </w:r>
      <w:r>
        <w:rPr>
          <w:rFonts w:ascii="Times New Roman;serif" w:hAnsi="Times New Roman;serif"/>
          <w:b w:val="false"/>
          <w:i/>
          <w:color w:val="000000"/>
          <w:sz w:val="20"/>
        </w:rPr>
        <w:t>2025 for a discussion of important factors that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noBreakHyphen/>
        <w:t>Q (unless another date is indicated), and we undertake no obligation to update or revise these statements in light of future developments.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diseases,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continue to invest in pipeline programs that further our rare disease strategy.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lead marketed products, listed below, are approved in countries around the world to improve patient care.</w:t>
      </w:r>
    </w:p>
    <w:tbl>
      <w:tblPr>
        <w:tblW w:w="10205" w:type="dxa"/>
        <w:jc w:val="left"/>
        <w:tblInd w:w="0" w:type="dxa"/>
        <w:tblLayout w:type="fixed"/>
        <w:tblCellMar>
          <w:top w:w="28" w:type="dxa"/>
          <w:left w:w="28" w:type="dxa"/>
          <w:bottom w:w="28" w:type="dxa"/>
          <w:right w:w="28" w:type="dxa"/>
        </w:tblCellMar>
      </w:tblPr>
      <w:tblGrid>
        <w:gridCol w:w="1037"/>
        <w:gridCol w:w="755"/>
        <w:gridCol w:w="763"/>
        <w:gridCol w:w="1450"/>
        <w:gridCol w:w="1420"/>
        <w:gridCol w:w="1423"/>
        <w:gridCol w:w="471"/>
        <w:gridCol w:w="441"/>
        <w:gridCol w:w="443"/>
        <w:gridCol w:w="582"/>
        <w:gridCol w:w="582"/>
        <w:gridCol w:w="838"/>
      </w:tblGrid>
      <w:tr>
        <w:trPr/>
        <w:tc>
          <w:tcPr>
            <w:tcW w:w="103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w:t>
            </w:r>
          </w:p>
        </w:tc>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Indications</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Initial Approval Date</w:t>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Markets</w:t>
            </w:r>
          </w:p>
        </w:tc>
      </w:tr>
      <w:tr>
        <w:trPr/>
        <w:tc>
          <w:tcPr>
            <w:tcW w:w="2555" w:type="dxa"/>
            <w:gridSpan w:val="3"/>
            <w:vMerge w:val="restart"/>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 (calcium, magnesium, potassium, and sodium oxybates)</w:t>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cataplexy or EDS in patients seven years of age and older with narcolepsy.</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2020</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2555" w:type="dxa"/>
            <w:gridSpan w:val="3"/>
            <w:vMerge w:val="continue"/>
            <w:tcBorders>
              <w:left w:val="single" w:sz="8" w:space="0" w:color="B6B6B6"/>
              <w:bottom w:val="single" w:sz="8" w:space="0" w:color="B6B6B6"/>
            </w:tcBorders>
            <w:shd w:fill="CCEEFF" w:val="clear"/>
            <w:tcMar>
              <w:top w:w="0" w:type="dxa"/>
              <w:bottom w:w="3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IH in adults.</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2021</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2555" w:type="dxa"/>
            <w:gridSpan w:val="3"/>
            <w:vMerge w:val="continue"/>
            <w:tcBorders>
              <w:left w:val="single" w:sz="8" w:space="0" w:color="B6B6B6"/>
              <w:bottom w:val="single" w:sz="8" w:space="0" w:color="B6B6B6"/>
            </w:tcBorders>
            <w:shd w:fill="CCEEFF" w:val="clear"/>
            <w:tcMar>
              <w:top w:w="0" w:type="dxa"/>
              <w:bottom w:w="3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cataplexy in patients with narcolepsy.</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2023</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2555" w:type="dxa"/>
            <w:gridSpan w:val="3"/>
            <w:vMerge w:val="restart"/>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w:t>
            </w:r>
          </w:p>
        </w:tc>
        <w:tc>
          <w:tcPr>
            <w:tcW w:w="429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seizures associated with LGS, DS, or TSC in patients 1 year of age and older.</w:t>
            </w:r>
          </w:p>
        </w:tc>
        <w:tc>
          <w:tcPr>
            <w:tcW w:w="135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2018 and July 2020</w:t>
            </w:r>
          </w:p>
        </w:tc>
        <w:tc>
          <w:tcPr>
            <w:tcW w:w="200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2555"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Adjunctive therapy of seizures associated with LGS, DS, or TSC in patients 1 year of age and older.</w:t>
            </w:r>
          </w:p>
        </w:tc>
        <w:tc>
          <w:tcPr>
            <w:tcW w:w="135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and October 2021</w:t>
            </w:r>
          </w:p>
        </w:tc>
        <w:tc>
          <w:tcPr>
            <w:tcW w:w="200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2555"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adjunctive therapy of seizures associated with LGS, DS or TSC for patients 2 years of age and older.</w:t>
            </w:r>
          </w:p>
        </w:tc>
        <w:tc>
          <w:tcPr>
            <w:tcW w:w="135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2023</w:t>
            </w:r>
          </w:p>
        </w:tc>
        <w:tc>
          <w:tcPr>
            <w:tcW w:w="200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2555" w:type="dxa"/>
            <w:gridSpan w:val="3"/>
            <w:vMerge w:val="restart"/>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Epidyolex® (cannabidiol)</w:t>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 adjunctive therapy of seizures associated with LGS or DS, in conjunction with clobazam, for patients 2 years of age and older.</w:t>
            </w:r>
            <w:r>
              <w:rPr>
                <w:rFonts w:ascii="Times New Roman;serif" w:hAnsi="Times New Roman;serif"/>
                <w:b w:val="false"/>
                <w:color w:val="000000"/>
                <w:sz w:val="13"/>
              </w:rPr>
              <w:t>1</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U.K., Switzerland, Australia, and other markets</w:t>
            </w:r>
          </w:p>
        </w:tc>
      </w:tr>
      <w:tr>
        <w:trPr/>
        <w:tc>
          <w:tcPr>
            <w:tcW w:w="2555" w:type="dxa"/>
            <w:gridSpan w:val="3"/>
            <w:vMerge w:val="continue"/>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adjunctive therapy of seizures associated with TSC for patients 2 years of age and older.</w:t>
            </w:r>
          </w:p>
        </w:tc>
        <w:tc>
          <w:tcPr>
            <w:tcW w:w="1355"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2021</w:t>
            </w:r>
          </w:p>
        </w:tc>
        <w:tc>
          <w:tcPr>
            <w:tcW w:w="2002" w:type="dxa"/>
            <w:gridSpan w:val="3"/>
            <w:tcBorders>
              <w:top w:val="single" w:sz="8" w:space="0" w:color="B6B6B6"/>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U.K., Switzerland, and other markets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905"/>
        <w:gridCol w:w="500"/>
        <w:gridCol w:w="504"/>
        <w:gridCol w:w="2180"/>
        <w:gridCol w:w="1783"/>
        <w:gridCol w:w="1788"/>
        <w:gridCol w:w="354"/>
        <w:gridCol w:w="342"/>
        <w:gridCol w:w="343"/>
        <w:gridCol w:w="438"/>
        <w:gridCol w:w="438"/>
        <w:gridCol w:w="630"/>
      </w:tblGrid>
      <w:tr>
        <w:trPr/>
        <w:tc>
          <w:tcPr>
            <w:tcW w:w="90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09" w:type="dxa"/>
            <w:gridSpan w:val="3"/>
            <w:vMerge w:val="restart"/>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 (zanidatamab-hrii)</w:t>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previously treated, unresectable or metastatic HER2-positive (IHC3+) BTC, as detected by an FDA-approved test.</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(licensed from Zymeworks)</w:t>
            </w:r>
            <w:r>
              <w:rPr>
                <w:rFonts w:ascii="Times New Roman;serif" w:hAnsi="Times New Roman;serif"/>
                <w:b w:val="false"/>
                <w:color w:val="000000"/>
                <w:sz w:val="13"/>
              </w:rPr>
              <w:t>2</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unresectable locally advanced or metastatic HER2-positive (IHC3+) BTC previously treated with at least one prior line of systemic 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1506" w:type="dxa"/>
            <w:gridSpan w:val="3"/>
            <w:tcBorders>
              <w:top w:val="single" w:sz="8" w:space="0" w:color="929292"/>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 (licensed from Zymeworks)</w:t>
            </w:r>
            <w:r>
              <w:rPr>
                <w:rFonts w:ascii="Times New Roman;serif" w:hAnsi="Times New Roman;serif"/>
                <w:b w:val="false"/>
                <w:color w:val="000000"/>
                <w:sz w:val="13"/>
              </w:rPr>
              <w:t>3</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previously treated, unresectable locally advanced or metastatic HER2-positive (IHC3+) BTC, as monotherapy.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1506" w:type="dxa"/>
            <w:gridSpan w:val="3"/>
            <w:tcBorders>
              <w:top w:val="single" w:sz="8" w:space="0" w:color="929292"/>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Canada (licensed from Zymeworks)</w:t>
            </w:r>
            <w:r>
              <w:rPr>
                <w:rFonts w:ascii="Times New Roman;serif" w:hAnsi="Times New Roman;serif"/>
                <w:b w:val="false"/>
                <w:color w:val="000000"/>
                <w:sz w:val="13"/>
              </w:rPr>
              <w:t>4</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treatment as a monotherapy of adults with unresectable locally advanced or metastatic HER2-positive (IHC3+) BTC previously treated with at least one prior line of systemic 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1506" w:type="dxa"/>
            <w:gridSpan w:val="3"/>
            <w:tcBorders>
              <w:top w:val="single" w:sz="8" w:space="0" w:color="929292"/>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U.K. (licensed from Zymeworks)</w:t>
            </w:r>
            <w:r>
              <w:rPr>
                <w:rFonts w:ascii="Times New Roman;serif" w:hAnsi="Times New Roman;serif"/>
                <w:b w:val="false"/>
                <w:color w:val="000000"/>
                <w:sz w:val="13"/>
              </w:rPr>
              <w:t>5</w:t>
            </w:r>
          </w:p>
        </w:tc>
      </w:tr>
      <w:tr>
        <w:trPr/>
        <w:tc>
          <w:tcPr>
            <w:tcW w:w="190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 (dordaviprone)</w:t>
            </w:r>
          </w:p>
        </w:tc>
        <w:tc>
          <w:tcPr>
            <w:tcW w:w="5751"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 and pediatric patients 1 year of age and older with diffuse midline glioma harboring an H3 K27M mutation with progressive disease following prior therapy.</w:t>
            </w:r>
          </w:p>
        </w:tc>
        <w:tc>
          <w:tcPr>
            <w:tcW w:w="1039"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1506" w:type="dxa"/>
            <w:gridSpan w:val="3"/>
            <w:tcBorders>
              <w:top w:val="single" w:sz="8" w:space="0" w:color="929292"/>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w:t>
            </w:r>
            <w:r>
              <w:rPr>
                <w:rFonts w:ascii="Times New Roman;serif" w:hAnsi="Times New Roman;serif"/>
                <w:b w:val="false"/>
                <w:color w:val="000000"/>
                <w:sz w:val="13"/>
              </w:rPr>
              <w:t>2</w:t>
            </w:r>
          </w:p>
        </w:tc>
      </w:tr>
      <w:tr>
        <w:trPr/>
        <w:tc>
          <w:tcPr>
            <w:tcW w:w="1909" w:type="dxa"/>
            <w:gridSpan w:val="3"/>
            <w:vMerge w:val="restart"/>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(lurbinectedin)</w:t>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 patients with metastatic SCLC, with disease progression on or after platinum-based chemotherapy.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2020</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(licensed from PharmaMar)</w:t>
            </w:r>
            <w:r>
              <w:rPr>
                <w:rFonts w:ascii="Times New Roman;serif" w:hAnsi="Times New Roman;serif"/>
                <w:b w:val="false"/>
                <w:color w:val="000000"/>
                <w:sz w:val="13"/>
              </w:rPr>
              <w:t>2</w:t>
            </w:r>
          </w:p>
        </w:tc>
      </w:tr>
      <w:tr>
        <w:trPr/>
        <w:tc>
          <w:tcPr>
            <w:tcW w:w="1909"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Stage III or metastatic SCLC who have progressed on or after platinum-containing 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Canada (licensed from PharmaMar)</w:t>
            </w:r>
            <w:r>
              <w:rPr>
                <w:rFonts w:ascii="Times New Roman;serif" w:hAnsi="Times New Roman;serif"/>
                <w:b w:val="false"/>
                <w:color w:val="000000"/>
                <w:sz w:val="13"/>
              </w:rPr>
              <w:t>4</w:t>
            </w:r>
          </w:p>
        </w:tc>
      </w:tr>
      <w:tr>
        <w:trPr/>
        <w:tc>
          <w:tcPr>
            <w:tcW w:w="1909"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combination with atezolizumab or atezolizumab and hyaluronidase-tqjs for the maintenance treatment of adult patients with extensive-stage SCLC whose disease has not progressed after first-line induction therapy with atezolizumab or atezolizumab and hyaluronidase-tqjs, carboplatin and etoposide.</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(licensed from PharmaMar)</w:t>
            </w:r>
          </w:p>
        </w:tc>
      </w:tr>
      <w:tr>
        <w:trPr/>
        <w:tc>
          <w:tcPr>
            <w:tcW w:w="190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(asparaginase erwinia chrysanthemi (recombinant)-</w:t>
              <w:br/>
              <w:t>rywn)</w:t>
            </w:r>
          </w:p>
        </w:tc>
        <w:tc>
          <w:tcPr>
            <w:tcW w:w="575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 and pediatric patients 1 month or older who have developed hypersensitivity to E. coli-derived asparaginase.</w:t>
            </w:r>
          </w:p>
        </w:tc>
        <w:tc>
          <w:tcPr>
            <w:tcW w:w="103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2021</w:t>
            </w:r>
          </w:p>
        </w:tc>
        <w:tc>
          <w:tcPr>
            <w:tcW w:w="1506"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90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(crisantaspase recombinant)</w:t>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adults and pediatric patients 1 year or older who have developed hypersensitivity to</w:t>
              <w:br/>
              <w:t>E. coli-derived asparaginase.</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09" w:type="dxa"/>
            <w:gridSpan w:val="3"/>
            <w:tcBorders>
              <w:top w:val="single" w:sz="8" w:space="0" w:color="929292"/>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Enrylaze® (recombinant crisantaspase)</w:t>
            </w:r>
          </w:p>
        </w:tc>
        <w:tc>
          <w:tcPr>
            <w:tcW w:w="5751" w:type="dxa"/>
            <w:gridSpan w:val="3"/>
            <w:tcBorders>
              <w:top w:val="single" w:sz="8" w:space="0" w:color="929292"/>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 and pediatric patients (1 month and older) who have developed hypersensitivity or silent inactivation to E. coli-derived asparaginase.</w:t>
            </w:r>
          </w:p>
        </w:tc>
        <w:tc>
          <w:tcPr>
            <w:tcW w:w="1039" w:type="dxa"/>
            <w:gridSpan w:val="3"/>
            <w:tcBorders>
              <w:top w:val="single" w:sz="8" w:space="0" w:color="929292"/>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2023</w:t>
            </w:r>
          </w:p>
        </w:tc>
        <w:tc>
          <w:tcPr>
            <w:tcW w:w="1506" w:type="dxa"/>
            <w:gridSpan w:val="3"/>
            <w:tcBorders>
              <w:top w:val="single" w:sz="8" w:space="0" w:color="929292"/>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 U.K., Switzerland, other markets </w:t>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clobazam restriction limited to EU and U.K.</w:t>
      </w:r>
    </w:p>
    <w:p>
      <w:pPr>
        <w:pStyle w:val="TextBody"/>
        <w:bidi w:val="0"/>
        <w:spacing w:lineRule="auto" w:line="288" w:before="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Accelerated approval received from FDA</w:t>
      </w:r>
    </w:p>
    <w:p>
      <w:pPr>
        <w:pStyle w:val="TextBody"/>
        <w:bidi w:val="0"/>
        <w:spacing w:lineRule="auto" w:line="288" w:before="2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Conditional marketing authorization granted by EC</w:t>
      </w:r>
    </w:p>
    <w:p>
      <w:pPr>
        <w:pStyle w:val="TextBody"/>
        <w:bidi w:val="0"/>
        <w:spacing w:lineRule="auto" w:line="288" w:before="20" w:after="283"/>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Conditional approval received from Health Canada</w:t>
      </w:r>
    </w:p>
    <w:p>
      <w:pPr>
        <w:pStyle w:val="TextBody"/>
        <w:bidi w:val="0"/>
        <w:spacing w:lineRule="auto" w:line="288" w:before="20" w:after="283"/>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Conditional marketing authorization granted by MHRA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Rare Sleep Disorders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the leader in the development and commercialization of oxybate therapy for patients with rare sleep disorders. In 2020, 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there is no cure for narcolepsy and long-term disease management is needed, we believe that Xywav represents an important therapeutic option for patients with this sleep disorder. Our first medicine in sleep was Xyrem, which was approved by FDA in 2002, and contains 1640 mg of sodium per 9 g dose per night. Xyrem is indicated for the treatment of cataplexy or EDS in patients seven years of age and older with narcolepsy. Xywav contains 92% less sodium than Xyrem and is the only approved oxybate therapy that does not carry a warning and precaution related to high sodium intake.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efforts are focused on educating patients and physicians on the strength of clinical evidence that supports the use of Xywav for treating narcolepsy and IH. Xywav has demonstrated efficacy for the treatment of cataplexy and EDS in narcolepsy and multiple daytime symptoms such as sleep inertia in IH. Analysis from the Phase 4 DUET trial showed improvements across multiple polysomnography measures in both narcolepsy and IH, suggesting Xywav improves measures of sleep fragmentation in these conditions. In addition, we are also focused on educating patients and physicians on the long-term health impacts of high sodium intake, and how the use of Xywav helps address a modifiable risk factor for cardiovascular morbidity. We view the continued adoption of Xywav in narcolepsy as a positive indication that physicians and patients appreciate the benefits of a low-sodium oxybate option.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2021, FDA recognized seven years of ODE for Xywav in EDS and cataplexy in narcolepsy through July 2027. Subsequently, FDA granted pediatric exclusivity, which extends the period of orphan exclusivity to January 2028.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which is a high-sodium oxybate launched in the U.S. market in June 2023, is likely to be clinically meaningful in all patients with narcolepsy and that Xywav is safer than Lumryz in all such patients. Lumryz has the same sodium content as Xyrem.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12, 2021, FDA approved Xywav for the treatment of IH in adults. Xywav remains the first and only FDA-approved therapy to treat IH. We initiated the U.S. commercial launch of Xywav for the treatment of IH in adults in November 2021. In January 2022, we announced that FDA recognized seven years of ODE for Xywav in IH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Xywav's launch in November 2020, HCPs and patients continue to drive demand for safer, low-sodium Xywav, and we have seen strong new patient growth in IH since its launch in November 2021. Exiting the second quarter of 2026, there were approximately 17,125 active patients taking Xywav, including approximately 11,275 patients with narcolepsy and approximately 5,850 patients with IH.</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Rare Epilepsies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acquired Epidiolex (Epidyolex in certain markets outside the U.S.) in May 2021 as part of the GW Acquisition, which added a durable and long-lived asset in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The clobazam restriction is limited to the EU and U.K. Epidyolex was also approved for adjunctive therapy of seizures associated with TSC for patients 2 years of age and older in the EU in April 2021 and U.K. in August 2021, and is approved for this indication in other markets. Since January 1, 2025, the approval in U.K. has been extended automatically to cover Northern Ireland (under the agreed Windsor Framework). Epidyolex is now launched and reimbursed in more than 40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Following the top-line readout of the Phase 3 trial for Epidyolex for LGS, DS and TSC patients in Japan in August 2024, we continue to generate data from the trial and work with Japanese regulatory authorities. In April 2026, we entered into an agreement with Nippon Zoki to bring Epidyolex to appropriate patients with high unmet needs in Japan. Nippon Zoki will be responsible for importation, secondary packaging, regulatory activities and commercialization, following the completion of the ongoing clinical trial and potential regulatory approval.</w:t>
      </w:r>
    </w:p>
    <w:p>
      <w:pPr>
        <w:pStyle w:val="TextBody"/>
        <w:bidi w:val="0"/>
        <w:spacing w:lineRule="auto" w:line="288" w:before="120" w:after="283"/>
        <w:ind w:left="0" w:right="0" w:firstLine="495"/>
        <w:jc w:val="left"/>
        <w:rPr/>
      </w:pPr>
      <w:r>
        <w:rPr>
          <w:rFonts w:ascii="Times New Roman;serif" w:hAnsi="Times New Roman;serif"/>
          <w:b/>
          <w:i/>
          <w:color w:val="000000"/>
          <w:sz w:val="20"/>
        </w:rPr>
        <w:t>Rare</w:t>
      </w:r>
      <w:r>
        <w:rPr>
          <w:color w:val="000000"/>
        </w:rPr>
        <w:t xml:space="preserve"> </w:t>
      </w:r>
      <w:r>
        <w:rPr>
          <w:rFonts w:ascii="Times New Roman;serif" w:hAnsi="Times New Roman;serif"/>
          <w:b/>
          <w:i/>
          <w:color w:val="000000"/>
          <w:sz w:val="20"/>
        </w:rPr>
        <w:t>Oncology</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Ziihera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acquired exclusive development and commercialization rights to Ziihera in 2022 through an exclusive licensing and collaboration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this indication may be contingent upon verification and description of clinical benefit in the Phase 3 HERIZON-BTC-302 confirmatory trial.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 In February 2026, MHRA granted conditional marketing authorization in the U.K. for Ziihera as monotherapy for the treatment of adults with unresectable locally advanced or metastatic HER2-positive (IHC3+) BTC previously treated with at least one prior line of systemic therapy, and NICE recommended reimbursement of Ziihera.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An sBLA of Ziihera for first-line treatment of HER2-positive locally advanced or metastatic GEA, including cancers of the stomach, gastroesophageal junction and esophagus, in combination with chemotherapy, with or without tislelizumab, was accepted and granted Priority Review by FDA with a PDUFA target action date of August 25, 2026. The application has received BTD by FDA and is being reviewed under FDA’s RTOR program, which is designed to provide a more efficient review process. The sBLA filing was also chosen for Project Orbis, an FDA initiative that can facilitate approvals in participating countries around the globe. Through Project Orbis, we completed applications of Ziihera for the same indication to MHRA and Health Canada. The Phase 3 data supporting the sBLA demonstrated statistically significant and clinically meaningful prolongation of progression-free survival in both investigational arms versus the trastuzumab control arm. Ziihera plus tislelizumab and chemotherapy demonstrated a statistically significant and clinically meaningful overall survival benefit with a median overall survival of 26.4 months, representing a 28% reduction in the risk of death versus the trastuzumab control arm.</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Modeyso</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completed the Chimerix Acquisition in April 2025 for a total cash consideration of $944.2 million, adding Modeyso, a protease activator of the ClpP that also inhibits DRD2, to our oncology portfolio. In August 2025, Modeyso was granted accelerated approval by FDA for the treatment of adult and pediatric patients 1 year of age and older with diffuse midline glioma harboring an H3 K27M mutation with progressive disease following prior therapy. Modeyso is the first and only treatment option approved by FDA for this ultra-rare and aggressive brain tumor. In connection with the approval by FDA of Modeyso in August 2025, we received a rare pediatric disease PRV, which we sold in January 2026 for total cash consideration of $200.0 million of which 50% is attributable to us.</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Zepzelca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acquired U.S. development and commercialization rights to Zepzelca in early 2020, and launched with an indication for treatment of patients with metastatic SCLC with disease progression on or after platinum-based chemotherapy. Zepzelca was rapidly adopted for the treatment of metastatic second-line SCLC. While we continue to market Zepzelca across academic and community centers, Zepzelca faces competition in the second-line setting from new agents.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Given SCLC is an aggressive cancer and patients rapidly progress after induction chemotherapy, we conducted the Phase 3 IMforte trial to evaluate Zepzelca and atezolizumab in combination in the first-line maintenance setting.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pPr>
      <w:r>
        <w:rPr>
          <w:rFonts w:ascii="Times New Roman;serif" w:hAnsi="Times New Roman;serif"/>
          <w:b w:val="false"/>
          <w:color w:val="000000"/>
          <w:sz w:val="20"/>
        </w:rPr>
        <w:t>In October 2024, we announced positive top-line results from the Phase 3 IMforte trial showing a statistically significant and clinically meaningful progression-free survival and overall survival benefit. In October</w:t>
      </w:r>
      <w:r>
        <w:rPr>
          <w:color w:val="000000"/>
        </w:rPr>
        <w:t> </w:t>
      </w:r>
      <w:r>
        <w:rPr>
          <w:rFonts w:ascii="Times New Roman;serif" w:hAnsi="Times New Roman;serif"/>
          <w:b w:val="false"/>
          <w:color w:val="000000"/>
          <w:sz w:val="20"/>
        </w:rPr>
        <w:t>2025, FDA approved Zepzelca in combination with atezolizumab as a maintenance treatment for adults with extensive-stage SCLC whose disease has not progressed after first-line induction therapy with atezolizumab, or atezolizumab and hyaluronidase-tqjs, carboplatin and etoposide. Our promotional efforts are wholly focused on educating SCLC-treating physicians on the first-line maintenance setting as utilization is expected to shift from second-line use to the first-line.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results from the LAGOON trial of Zepzelca in second-line metastatic SCLC, which were reported in June 2026, and in alignment with FDA, in the third quarter of 2026, we will submit for FDA's review and subsequent action a labeling supplement to remove the second-line indication. The first-line maintenance indication will not be affected. </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Rylaze</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Rylaze was approved by FDA in June 2021, and was launched in the U.S. in July 2021, for use as a component of a multi-agent chemotherapeutic regimen for the treatment of patients with ALL and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every 48 hours. In November 2022, FDA approved an sBLA, for a Monday/Wednesday/Friday 25/25/50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IM dosing schedule. In September 2023, the EC granted marketing authorization for JZP458 (Rylaze) under the trade name Enrylaze</w:t>
      </w:r>
      <w:r>
        <w:rPr>
          <w:rFonts w:ascii="null;sans-serif" w:hAnsi="null;sans-serif"/>
          <w:b w:val="false"/>
          <w:color w:val="000000"/>
          <w:sz w:val="20"/>
        </w:rPr>
        <w:t>®</w:t>
      </w:r>
      <w:r>
        <w:rPr>
          <w:rFonts w:ascii="Times New Roman;serif" w:hAnsi="Times New Roman;serif"/>
          <w:b w:val="false"/>
          <w:color w:val="000000"/>
          <w:sz w:val="20"/>
        </w:rPr>
        <w:t>. Enrylaze may be given by both IV and IM and is dosed on either alternate days (every 48 hours) or via a Monday/Wednesday/Friday dosing schedule. Enrylaze was approved in U.K. in January 2024 (as of January 1, 2025, this approval extends to Northern Ireland), and is also approved in Canada, Switzerland and Australia.</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Progress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further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Within our oncology R&amp;D program, in October 2022, we announced an exclusive licensing and collaboration agreement with Zymeworks providing us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and we subsequently received FDA accelerated approval in November 2024.</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The greater than seven-month improvement in median overall survival represents a 28% reduction in the risk of death versus the control arm. Both investigational arms led to a statistically significant and clinically meaningful median progression-free survival of more than one year, representing a greater than four-month improvement and 35% reduction in the risk of disease progression or death versus the control arm. The results from the trial were published in </w:t>
      </w:r>
      <w:r>
        <w:rPr>
          <w:rFonts w:ascii="Times New Roman;serif" w:hAnsi="Times New Roman;serif"/>
          <w:b w:val="false"/>
          <w:i/>
          <w:color w:val="000000"/>
          <w:sz w:val="20"/>
        </w:rPr>
        <w:t>The New England Journal of Medicine</w:t>
      </w:r>
      <w:r>
        <w:rPr>
          <w:rFonts w:ascii="Times New Roman;serif" w:hAnsi="Times New Roman;serif"/>
          <w:b w:val="false"/>
          <w:color w:val="000000"/>
          <w:sz w:val="20"/>
        </w:rPr>
        <w:t xml:space="preserve">. Our sBLA based on these results is currently under Priority Review with FDA and has a PDUFA date of August 25,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EmpowHER-BC-303 to evaluate zanidatamab plus chemotherapy or trastuzumab plus chemotherapy in patients with HER2-positive breast cancer whose disease has progressed on previous T-DXd treatment, and a Phase 3 confirmatory trial examining zanidatamab in first-line patients with HER2-positive BTC. FDA recently granted BTD for the treatment of zanidatamab in adults with previously treated, locally advanced, unresectable, or metastatic HER2-positive CRC.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development plan for Zepzelca included the Phase 3 IMforte trial, which showed a statistically significant and clinically meaningful progression-free survival and overall survival benefit for Zepzelca and atezolizumab in combination in the first-line maintenance setting. In October 2025, we received FDA approval for the combination as a maintenance treatment of adult patients with extensive-stage SCLC whose disease has not progressed after first-line induction therapy with atezolizumab or atezolizumab and hyaluronidase-tqjs, carboplatin and etoposide.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partner PharmaMar, conducted the Phase 3 LAGOON confirmatory trial evaluating Zepzelca in patients with second-line metastatic SCLC. In June 2026, we announced top-line results from the LAGOON trial, which did not meet its primary OS endpoint evaluating Zepzelca as monotherapy or in combination with irinotecan compared with investigators' choice of topotecan or irinotecan. No new safety signals were identified with Zepzelca monotherapy or in combination with irinotecan. Based on the results from the LAGOON trial of Zepzelca in second-line metastatic SCLC, which were reported in June 2026, and in alignment with FDA, in the third quarter of 2026, we will submit for FDA's review and subsequent action a labeling supplement to remove the second-line indication. The first-line maintenance indication will not be affected.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lead clinical asset acquired from Chimerix, Modeyso, is a novel first-in-class small molecule that is a protease activator of the ClpP that also inhibits DRD2. Modeyso is the first and only treatment option approved by FDA for an ultra-rare and aggressive brain tumor. Continued approval for this indication may be contingent upon verification and description of clinical benefit in the Phase 3 ACTION confirmatory trial. The ongoing Phase 3 ACTION trial is evaluating Modeyso in newly diagnosed, non-recurrent H3 K27M-mutant diffuse glioma patients following radiation treatment, potentially extending this treatment option into the front-line setting.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2022, we announced FDA had cleared our IND for JZP815 and, in October 2022, we enrolled the first patient in a Phase 1 trial and the trial has progressed to expansion cohorts. JZP815 is an investigational stage pan-RAF kinase inhibitor that targets specific components of the MAPK pathway that, when activated by oncogenic mutations, can be a frequent driver of human cancer.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2022, we announced that we had entered into a licensing and collaboration agreement with Werewolf to acquire exclusive, worldwide development and commercialization rights to Werewolf's investigational WTX-613, now referred to as JZP898, a differentiated, conditionally-activated IFNα INDUKINE™ molecule. In November 2023, we enrolled our first patient in a Phase 1 trial of JZP898 and the trial has progressed to cohorts in combination with pembrolizumab in renal-cell carcinoma, urothelial carcinoma and melanoma. In May 2026, we entered into an asset purchase agreement with Werewolf, under which we acquired all remaining rights and eliminated all remaining obligations to JZP898 for an upfront consideration of $21.0 million. Werewolf is eligible to receive a contingent milestone payment of $2.0 million upon consent to the partial assignment of a license agreement relating to the JZP898 program.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announced a preclinical research collaboration, option and license agreement to discover and develop next-generation T-cell engaging multispecific antibodies with AbCellera. The collaboration will leverage AbCellera's antibody discovery engine to deliver optimized development candidates for multiple gastrointestinal cancers and other solid tumors. Under the terms of the agreement, AbCellera will perform discovery and early-stage research activities for two initial programs with a commitment to start a third discovery program within 12 months. AbCellera received $56.0 million in total upfront payments for the first two research programs with an additional $28.0 million due upon initiation of the third program. Should we exercise our option for development, AbCellera is eligible to receive up to $792.0 million per program in option fees and development, regulatory, and commercial sales milestone payments along with tiered royalties on net sales ranging from mid-single digits to low double-digits. In addition, we and AbCellera may mutually agree to initiate up to two additional programs, and to have AbCellera conduct certain activities for investigational new drug-enabling studies and manufacture clinical supply for any program under the collaboration.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Within our neuroscience R&amp;D program, in August 2025, we announced that we entered a global license agreement with Saniona to obtain exclusive worldwide rights to develop SAN2355, now referred to as JZP053, for epilepsy and other potential indications. JZP053 is a preclinical, selective small molecule activator of Kv7.2/Kv7.3 potassium channels, a mechanism validated for seizure suppression. Under the terms of the agreement, we made an upfront payment to Saniona of $42.5 million. Saniona is eligible to receive up to $192.5 million in development and regulatory milestones, up to $800.0 million in commercial milestone payments and tiered royalties ranging from mid-single digits to low-double digits on net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products resulting from the development of JZP053. This transaction further expands our early-stage neuroscience pipeline building on our existing expertise in the treatment of epilepsy.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Further expanding on our early-stage epilepsy development program, we are broadening our Epidiolex (cannabidiol oral solution) clinical development. In November 2025, we initiated a Phase 1b trial evaluating cannabidiol oral solution as an adjunctive treatment in reducing the frequency of focal seizures compared to the baseline as well as the effect of it on health outcome endpoints in early line and refractory participants with focal-onset seizures. In August 2026, we announced a Phase 3b/4 trial to evaluate effectiveness of gradual titration regimen to optimize cannabidiol oral solution as an add-on therapy in adults with LGS. We also announced a Phase 3 trial to evaluate the safety and efficacy of cannabidiol oral solution in developmental and epileptic encephalopathy to reach new patient populations with refractory epilepsy.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Mid-2026, we submitted an NDA to FDA for a capsule formulation of cannabidiol to broaden utilization of cannabidiol in currently approved indications and increase flexibility for patients. We also announced a Phase 2/3 trial to evaluate the safety and efficacy of cannabidiol capsule formulation in juvenile myoclonic epilepsy.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Below is a summary of our key ongoing and planned development projects related to our products and pipeline and their corresponding current stages of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814"/>
        <w:gridCol w:w="638"/>
        <w:gridCol w:w="642"/>
        <w:gridCol w:w="2559"/>
        <w:gridCol w:w="2290"/>
        <w:gridCol w:w="3262"/>
      </w:tblGrid>
      <w:tr>
        <w:trPr/>
        <w:tc>
          <w:tcPr>
            <w:tcW w:w="81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 Candidates</w:t>
            </w:r>
          </w:p>
        </w:tc>
        <w:tc>
          <w:tcPr>
            <w:tcW w:w="8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Regulatory</w:t>
            </w:r>
          </w:p>
        </w:tc>
        <w:tc>
          <w:tcPr>
            <w:tcW w:w="8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HER2-positive GEA (HERIZON-GEA-01) (sBLA under FDA review)</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3</w:t>
            </w:r>
          </w:p>
        </w:tc>
        <w:tc>
          <w:tcPr>
            <w:tcW w:w="8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HER2-positive BTC (HERIZON-BTC-302) (ongoing confirmatory trial)</w:t>
            </w:r>
          </w:p>
        </w:tc>
      </w:tr>
      <w:tr>
        <w:trPr/>
        <w:tc>
          <w:tcPr>
            <w:tcW w:w="2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treated HER2-positive breast cancer in patients whose disease has progressed on previous T-DXd treatment (EmpowHER-BC-303) (ongoing trial)</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Dordaviprone</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H3 K27M-mutant diffuse glioma (ACTION trial) (ongoing confirmatory trial)</w:t>
            </w:r>
          </w:p>
        </w:tc>
      </w:tr>
      <w:tr>
        <w:trPr/>
        <w:tc>
          <w:tcPr>
            <w:tcW w:w="209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Cannabidiol Oral Solution</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3b/4 trial in adults with LGS</w:t>
            </w:r>
          </w:p>
        </w:tc>
      </w:tr>
      <w:tr>
        <w:trPr/>
        <w:tc>
          <w:tcPr>
            <w:tcW w:w="2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Developmental and epileptic encephalopathy </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2</w:t>
            </w:r>
          </w:p>
        </w:tc>
        <w:tc>
          <w:tcPr>
            <w:tcW w:w="8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Basket trial including HER2-positive solid tumors (DiscovHER-Pan-206) (ongoing trial)</w:t>
            </w:r>
          </w:p>
        </w:tc>
      </w:tr>
      <w:tr>
        <w:trPr/>
        <w:tc>
          <w:tcPr>
            <w:tcW w:w="2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Neoadjuvant and adjuvant breast cancer (EmpowHER-BC-208) (ongoing trial)</w:t>
            </w:r>
          </w:p>
        </w:tc>
      </w:tr>
      <w:tr>
        <w:trPr/>
        <w:tc>
          <w:tcPr>
            <w:tcW w:w="2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HER2+ advanced GEA in combination with paclitaxel and ramucirumab (Canadian Cancer Trials Group collaboration) (ongoing trial)</w:t>
            </w:r>
          </w:p>
        </w:tc>
      </w:tr>
      <w:tr>
        <w:trPr/>
        <w:tc>
          <w:tcPr>
            <w:tcW w:w="2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HER2+/PD-L1+ mGEA in combination with pembrolizumab and chemotherapy (ZANGEA) (collaboration study) (trial enrolling)</w:t>
            </w:r>
          </w:p>
        </w:tc>
      </w:tr>
      <w:tr>
        <w:trPr/>
        <w:tc>
          <w:tcPr>
            <w:tcW w:w="20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stage HER2/neu positive (HER2+) breast cancer (collaboration study) (ongoing trial)</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High-risk MDS (PALOMA) (cooperative group study) (ongoing trial)</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JZP3507</w:t>
            </w:r>
            <w:r>
              <w:rPr>
                <w:rFonts w:ascii="Times New Roman;serif" w:hAnsi="Times New Roman;serif"/>
                <w:b w:val="false"/>
                <w:color w:val="000000"/>
                <w:sz w:val="13"/>
              </w:rPr>
              <w:t>1</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Pheochromocytoma and paraganglioma (acquired from Chimerix) (ongoing trial)</w:t>
              <w:br/>
              <w:t>Meningioma (trial initiated)</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Cannabidiol Capsule Formulation</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2/3 trial in juvenile myoclonic epilepsy</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1</w:t>
            </w:r>
          </w:p>
        </w:tc>
        <w:tc>
          <w:tcPr>
            <w:tcW w:w="8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JZP815</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Raf and Ras mutant tumors (acquired from Redx) (ongoing trial)</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JZP898</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Conditionally-activated IFNα INDUKINE™ molecule in solid tumors (ongoing trial)</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JZP3507</w:t>
            </w:r>
            <w:r>
              <w:rPr>
                <w:rFonts w:ascii="Times New Roman;serif" w:hAnsi="Times New Roman;serif"/>
                <w:b w:val="false"/>
                <w:color w:val="000000"/>
                <w:sz w:val="13"/>
              </w:rPr>
              <w:t>1</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and rare primary CNS tumors (acquired from Chimerix) (ongoing trial)</w:t>
              <w:br/>
              <w:t>Newly diagnosed or recurrent diffuse midline gliomas and other recurrent primary malignant CNS tumors (UCSF collaboration) (acquired from Chimerix) (ongoing trial)</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Cannabidiol Oral Solution</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Focal-onset seizures</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JZP047</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Absence epilepsy</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Preclinical</w:t>
            </w:r>
          </w:p>
        </w:tc>
        <w:tc>
          <w:tcPr>
            <w:tcW w:w="8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JZP3508</w:t>
            </w:r>
            <w:r>
              <w:rPr>
                <w:rFonts w:ascii="Times New Roman;serif" w:hAnsi="Times New Roman;serif"/>
                <w:b w:val="false"/>
                <w:color w:val="000000"/>
                <w:sz w:val="13"/>
              </w:rPr>
              <w:t>2</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Undisclosed targets</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Hematology/oncology exploratory activities</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JZP053</w:t>
            </w:r>
            <w:r>
              <w:rPr>
                <w:rFonts w:ascii="Times New Roman;serif" w:hAnsi="Times New Roman;serif"/>
                <w:b w:val="false"/>
                <w:color w:val="000000"/>
                <w:sz w:val="13"/>
              </w:rPr>
              <w:t>3</w:t>
            </w:r>
          </w:p>
        </w:tc>
        <w:tc>
          <w:tcPr>
            <w:tcW w:w="8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Undisclosed targets</w:t>
            </w:r>
          </w:p>
        </w:tc>
        <w:tc>
          <w:tcPr>
            <w:tcW w:w="8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br/>
              <w:t>Epilepsy</w:t>
              <w:br/>
              <w:t>Other Neuroscience</w:t>
            </w:r>
          </w:p>
        </w:tc>
      </w:tr>
    </w:tbl>
    <w:p>
      <w:pPr>
        <w:pStyle w:val="TextBody"/>
        <w:bidi w:val="0"/>
        <w:spacing w:lineRule="auto" w:line="288" w:before="120" w:after="283"/>
        <w:jc w:val="left"/>
        <w:rPr/>
      </w:pPr>
      <w:r>
        <w:rPr>
          <w:rFonts w:ascii="Times New Roman;serif" w:hAnsi="Times New Roman;serif"/>
          <w:b w:val="false"/>
          <w:color w:val="000000"/>
          <w:sz w:val="13"/>
        </w:rPr>
        <w:t>1</w:t>
      </w:r>
      <w:r>
        <w:rPr>
          <w:rFonts w:ascii="Times New Roman;serif" w:hAnsi="Times New Roman;serif"/>
          <w:b w:val="false"/>
          <w:color w:val="000000"/>
          <w:sz w:val="20"/>
        </w:rPr>
        <w:t>Also known as ONC206</w:t>
      </w:r>
    </w:p>
    <w:p>
      <w:pPr>
        <w:pStyle w:val="TextBody"/>
        <w:bidi w:val="0"/>
        <w:spacing w:lineRule="auto" w:line="288" w:before="120" w:after="283"/>
        <w:jc w:val="left"/>
        <w:rPr/>
      </w:pPr>
      <w:r>
        <w:rPr>
          <w:rFonts w:ascii="Times New Roman;serif" w:hAnsi="Times New Roman;serif"/>
          <w:b w:val="false"/>
          <w:color w:val="000000"/>
          <w:sz w:val="13"/>
        </w:rPr>
        <w:t>2</w:t>
      </w:r>
      <w:r>
        <w:rPr>
          <w:rFonts w:ascii="Times New Roman;serif" w:hAnsi="Times New Roman;serif"/>
          <w:b w:val="false"/>
          <w:color w:val="000000"/>
          <w:sz w:val="20"/>
        </w:rPr>
        <w:t>Also known as ONC212</w:t>
      </w:r>
    </w:p>
    <w:p>
      <w:pPr>
        <w:pStyle w:val="TextBody"/>
        <w:bidi w:val="0"/>
        <w:spacing w:lineRule="auto" w:line="288" w:before="120" w:after="283"/>
        <w:jc w:val="left"/>
        <w:rPr/>
      </w:pPr>
      <w:r>
        <w:rPr>
          <w:rFonts w:ascii="Times New Roman;serif" w:hAnsi="Times New Roman;serif"/>
          <w:b w:val="false"/>
          <w:color w:val="000000"/>
          <w:sz w:val="13"/>
        </w:rPr>
        <w:t>3</w:t>
      </w:r>
      <w:r>
        <w:rPr>
          <w:rFonts w:ascii="Times New Roman;serif" w:hAnsi="Times New Roman;serif"/>
          <w:b w:val="false"/>
          <w:color w:val="000000"/>
          <w:sz w:val="20"/>
        </w:rPr>
        <w:t>Also known as SAN2355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280" w:after="283"/>
        <w:ind w:left="0" w:right="0" w:firstLine="225"/>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Challenges, Risks and Trends Related to Our Business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While we have continued to diversify our revenues and commercial portfolio of medicines, including leading therapies addressing rare epilepsies, cancers and sleep disorders, our business continues to meaningfully depend on Xywav revenues. Our current 2026 operating plan assumes that Xywav, with 92% lower sodium compared to high-sodium oxybates (depending on the dose), a dosing titration option and an absence of a sodium warning, will remain </w:t>
      </w:r>
      <w:r>
        <w:rPr>
          <w:rFonts w:ascii="Times New Roman;serif" w:hAnsi="Times New Roman;serif"/>
          <w:b w:val="false"/>
          <w:color w:val="000000"/>
          <w:sz w:val="20"/>
          <w:shd w:fill="FFFFFF" w:val="clear"/>
        </w:rPr>
        <w:t>the #1 branded oxybate treatment for narcolepsy; the position it held based on revenue in the second quarter of 2026, and the only FDA-approved therapy for IH</w:t>
      </w:r>
      <w:r>
        <w:rPr>
          <w:rFonts w:ascii="Times New Roman;serif" w:hAnsi="Times New Roman;serif"/>
          <w:b w:val="false"/>
          <w:color w:val="000000"/>
          <w:sz w:val="20"/>
        </w:rPr>
        <w:t xml:space="preserve">. In June 2021, FDA recognized seven years of ODE for Xywav in narcolepsy through July 21, 2027, (which was subsequently extended to January 21, 2028, because FDA granted pediatric exclusivity), stating that Xywav is clinically superior to Xyrem by means of greater safety due to reduced chronic sodium burden. Additionally, in August 2021, FDA recognized ODE for Xywav in IH through August 12, 2028. While we expect that our business will continue to meaningfully depend on Xywav revenues, there is no guarantee that Xywav revenues will remain at current levels.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through education of its low-sodium and providing robust patient copay and savings programs.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Xywav and Xyrem face competition from branded products, such as Alkermes’ Lumryz, and alternative products that treats narcolepsy, including orexin 2 receptor agonists. In addition, our oxybate products have faced competition from AG and generic versions of high-sodium oxybate. Specifically, a wholly-owned subsidiary of Hikma launched its AG version of sodium oxybate in January 2023, and Amneal launched its AG version of sodium oxybate in July 2023. In September 2023, Hikma elected to continue to sell the Hikma AG product, with royalties to be paid to us, for an additional four years beginning in January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amendments to our AG agreement with Hikma, effective January 1, 2026, we extended the period during which Hikma is permitted to sell the Hikma AG product until December 31, 2029. Either we or Hikma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The Hikma AG product is expected to continue to negatively impact Xyrem and Xywav sales for patients with narcolepsy.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We granted each of Amneal, Lupin and Par a license to launch its own generic sodium oxybate product under its ANDA on or after December 31, 2025, or earlier under certain circumstances, including the circumstance where Hikma elects to launch its own generic product. In September 2025, FDA approved Amneal's generic high-sodium oxybate product. In November 2025, FDA approved Ascent’s generic high-sodium oxybate product. In March 2026, Amneal and Ascent began dispensing their generic high-sodium oxybate products through the generic sodium oxybate REMS. Any other company commercializing a generic version of high-sodium oxybate would need to join an existing REMS operated by another company.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future, we expect our oxybate products to continue to face competition from generic versions of high-sodium oxybate pursuant to settlement agreements we entered into with multiple ANDA filers. In addition, we received notices in June 2021, February 2023 and July 2025 that Lupin, Teva and Granules, respectively, filed ANDAs for generic versions of Xywav. In January 2026, we received notices from Tris Pharma that it had filed with FDA a Section 505(b)(2) NDA with Xyrem and Xywav as referenced listed drugs. We have filed patent infringement suits against these ANDA filers and 505(b)(2) NDA filer. In March 2026, we entered into a patent litigation settlement agreement with Granules. The specific terms of the Granules settlement agreement are confidential. On October 13, 2023, Lupin announced that it has received tentative approval for its application to market a generic version of Xywav.</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Alkermes’ Lumryz, have had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may continue to have the effect of changing payor or formulary coverage of Xywav or Xyrem in favor of other products, and may indirectly adversely affect sales of Xywav and Xyrem.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any event, we expect that the approval and launch of AG products or other generic versions of Xyrem or Xywav and the approval and launch of any other sodium oxybate product, such as Alkermes’ Lumryz, or alternative product that treats narcolepsy, such as Axsome’s reboxetine or orexin 2 receptor agonists being developed by Takeda, Merck &amp; Co., Inc., Eisai Co., Ltd., Eli Lilly and Company and Alkermes, will continue to have a negative impact on, and could have a material adverse effect on, our sales of Xywav and Xyrem and on our business, financial condition, results of operations and growth prospects.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continue to accept and adopt Epidiolex/Epidyolex as a treatment for seizures associated with LGS, DS and TSC. Physicians may not prescribe Epidiolex/Epidyolex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CBD preparations being made available from companies through the state-enabled medical marijuana industry, which might attempt to compete with Epidiolex. Epidiolex may also face branded competition in the future with potential therapy launches targeting broad developmental and epileptic encephalopathies, including Praxis Precision Medicines, Inc.'s relutrigine, H. Lundbeck A/S' bexicaserin and Bright Minds Biosciences Inc.'s BMB-101. However, the potential competitive impact on Epidiolex remains uncertain. Overall, significant uncertainty remains regarding the commercial potential of Epidiolex/Epidyolex.</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Xywav, Xyrem and Epidiolex/Epidyolex, our long-term growth strategy relies on successfully commercializing and advancing a portfolio of oncology products, including Ziihera, Modeyso, Zepzelca, Rylaze, Vyxeos and Defitelio. Our success is contingent upon mitigating significant risks related to our oncology portfolio, including our ability to navigate significant and increasing market competition, such as the entry of novel therapeutic products, including for SCLC and our ability to successfully complete confirmatory clinical trials and retain regulatory approvals. Certain of our oncology products rely on accelerated regulatory approval pathways. Our ability to maintain these marketing authorizations is strictly dependent on the timely and successful completion of post-marketing confirmatory clinical trials. FDA and other global regulatory bodies have recently demonstrated increased scrutiny over accelerated approvals. Any delays in trial enrollment, failure to meet primary clinical endpoints, or regulatory determinations that a product's clinical benefit does not justify its risks could lead to the restriction or withdrawal of our products from the market. Additionally, effectively commercializing Ziihera, Modeyso, Zepzelca, Rylaze, Vyxeos and Defitelio requires securing and maintaining favorable formulary status, overcoming increasing pricing and reimbursement pressures from third-party payors, and managing complex global manufacturing and supply chains. An inability to overcome these competitive, commercial, and regulatory hurdles, or to maximize the potential of these products through successful R&amp;D activities,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continued investment in our R&amp;D pipeline, we intend to continue to grow our business by acquiring or in-licensing, and developing, including with collaboration partners, additional rare-disease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Chimerix Acquisition, could have a material adverse effect on our business, results of operations and financial condition.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generally, the prices that we charge for our products may be affected, our commercial opportunity may be limited and/or our revenues from sales of our products may be negatively impacted. For example,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the current administration continues to pursue MFN pricing for certain prescription drugs, under which U.S. prices would be indexed to the lowest prices available in select OECD countries. As part of this policy initiative, the administration is implementing or considering various Center for Medicare &amp; Medicaid Innovation models that would rely on MFN reference pricing.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certain preparations of cannabis remain Schedule I controlled substances, if such products are approved by FDA for medical use in the U.S. they are rescheduled to Schedules II-V, since approval by FDA demonstrates the existence of an “accepted medical use” for the products and thus Schedule I is inapplicable; or such products may be removed from control under the Controlled Substances Act entirely. If any of our product candidates receive FDA approval, the HHS and the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abuse potential. This generation of data could increase the cost, delay the approval and/or delay the launch of that product.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As of October 2025, we resolved the entirety of these antitrust lawsuits. For additional information on these lawsuits, as well as the settlement agreements with respect thereto and other legal matters, see Note 10, Commitments and Contingencies-Legal Proceedings of the Notes to Condensed Consolidated Financial Statements, included in Part I of this Quarterly Report on Form 10</w:t>
        <w:noBreakHyphen/>
        <w:t>Q. It is possible that additional lawsuits will be filed against us making similar or related allegations. We cannot predict the outcome of any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Moreover, the U.S. government has imposed and may seek to impose additional restrictions on international trade, such as tariffs on goods generally, and pharmaceutical and biological products in particular, imported into the U.S. In anticipation of the potential for increased tariffs on our products, we have increased inventory levels of our products in the U.S. We conduct our business globally and have third-party suppliers located outside the U.S., including in the PRC.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t>
      </w:r>
      <w:r>
        <w:rPr>
          <w:rFonts w:ascii="Times New Roman;serif" w:hAnsi="Times New Roman;serif"/>
          <w:b w:val="false"/>
          <w:color w:val="000000"/>
          <w:sz w:val="20"/>
          <w:shd w:fill="FFFFFF" w:val="clear"/>
        </w:rPr>
        <w:t xml:space="preserve">While we cannot at this time predict the ultimate impact of such tariffs, we anticipate that our margins could be adversely affected, depending on the ultimate scope and duration of tariffs imposed. </w:t>
      </w:r>
      <w:r>
        <w:rPr>
          <w:rFonts w:ascii="Times New Roman;serif" w:hAnsi="Times New Roman;serif"/>
          <w:b w:val="false"/>
          <w:color w:val="000000"/>
          <w:sz w:val="20"/>
        </w:rPr>
        <w:t>However, given the volatility and uncertainty regarding the scope and duration of such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disrupt or otherwise negatively impact our supply chain, demand for our products and our ability to meet demand for our products, and increase our costs. See “</w:t>
      </w:r>
      <w:r>
        <w:rPr>
          <w:rFonts w:ascii="Times New Roman;serif" w:hAnsi="Times New Roman;serif"/>
          <w:b w:val="false"/>
          <w:i/>
          <w:color w:val="000000"/>
          <w:sz w:val="20"/>
        </w:rPr>
        <w:t xml:space="preserve">Global trade issues and changes in and uncertainties with respect to trade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pPr>
      <w:r>
        <w:rPr>
          <w:rFonts w:ascii="Times New Roman;serif" w:hAnsi="Times New Roman;serif"/>
          <w:b w:val="false"/>
          <w:i/>
          <w:color w:val="000000"/>
          <w:sz w:val="20"/>
        </w:rPr>
        <w:t>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r>
        <w:rPr>
          <w:color w:val="000000"/>
        </w:rPr>
        <w:t xml:space="preserve">” </w:t>
      </w:r>
      <w:r>
        <w:rPr>
          <w:rFonts w:ascii="Times New Roman;serif" w:hAnsi="Times New Roman;serif"/>
          <w:b w:val="false"/>
          <w:color w:val="000000"/>
          <w:sz w:val="20"/>
        </w:rPr>
        <w:t>in Part I, Item 1A of our Annual Report on Form 10-K for the year ended December 31,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risks and uncertainties are discussed in greater detail, along with other risks and uncertainties, in “Risk Factors” in Part I,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our revenues and expenses (in millions, except percentages):</w:t>
      </w:r>
      <w:r>
        <w:rPr>
          <w:color w:val="000000"/>
        </w:rPr>
        <w:t> </w:t>
      </w:r>
    </w:p>
    <w:tbl>
      <w:tblPr>
        <w:tblW w:w="10205" w:type="dxa"/>
        <w:jc w:val="left"/>
        <w:tblInd w:w="0" w:type="dxa"/>
        <w:tblLayout w:type="fixed"/>
        <w:tblCellMar>
          <w:top w:w="28" w:type="dxa"/>
          <w:left w:w="28" w:type="dxa"/>
          <w:bottom w:w="28" w:type="dxa"/>
          <w:right w:w="28" w:type="dxa"/>
        </w:tblCellMar>
      </w:tblPr>
      <w:tblGrid>
        <w:gridCol w:w="1203"/>
        <w:gridCol w:w="695"/>
        <w:gridCol w:w="698"/>
        <w:gridCol w:w="211"/>
        <w:gridCol w:w="766"/>
        <w:gridCol w:w="109"/>
        <w:gridCol w:w="109"/>
        <w:gridCol w:w="109"/>
        <w:gridCol w:w="109"/>
        <w:gridCol w:w="211"/>
        <w:gridCol w:w="616"/>
        <w:gridCol w:w="109"/>
        <w:gridCol w:w="109"/>
        <w:gridCol w:w="109"/>
        <w:gridCol w:w="109"/>
        <w:gridCol w:w="218"/>
        <w:gridCol w:w="195"/>
        <w:gridCol w:w="458"/>
        <w:gridCol w:w="109"/>
        <w:gridCol w:w="109"/>
        <w:gridCol w:w="109"/>
        <w:gridCol w:w="211"/>
        <w:gridCol w:w="766"/>
        <w:gridCol w:w="109"/>
        <w:gridCol w:w="109"/>
        <w:gridCol w:w="109"/>
        <w:gridCol w:w="109"/>
        <w:gridCol w:w="211"/>
        <w:gridCol w:w="766"/>
        <w:gridCol w:w="109"/>
        <w:gridCol w:w="109"/>
        <w:gridCol w:w="109"/>
        <w:gridCol w:w="109"/>
        <w:gridCol w:w="199"/>
        <w:gridCol w:w="190"/>
        <w:gridCol w:w="520"/>
      </w:tblGrid>
      <w:tr>
        <w:trPr/>
        <w:tc>
          <w:tcPr>
            <w:tcW w:w="120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r>
      <w:tr>
        <w:trPr/>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contract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(excluding amortization of acquired developed technologies)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priority review voucher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25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25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2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(1)Comparison to prior period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product sales, royalties and contract revenues, and total revenues (in millions except percentages):</w:t>
      </w:r>
    </w:p>
    <w:tbl>
      <w:tblPr>
        <w:tblW w:w="10205" w:type="dxa"/>
        <w:jc w:val="left"/>
        <w:tblInd w:w="0" w:type="dxa"/>
        <w:tblLayout w:type="fixed"/>
        <w:tblCellMar>
          <w:top w:w="28" w:type="dxa"/>
          <w:left w:w="28" w:type="dxa"/>
          <w:bottom w:w="28" w:type="dxa"/>
          <w:right w:w="28" w:type="dxa"/>
        </w:tblCellMar>
      </w:tblPr>
      <w:tblGrid>
        <w:gridCol w:w="914"/>
        <w:gridCol w:w="719"/>
        <w:gridCol w:w="726"/>
        <w:gridCol w:w="211"/>
        <w:gridCol w:w="766"/>
        <w:gridCol w:w="109"/>
        <w:gridCol w:w="109"/>
        <w:gridCol w:w="109"/>
        <w:gridCol w:w="109"/>
        <w:gridCol w:w="211"/>
        <w:gridCol w:w="766"/>
        <w:gridCol w:w="109"/>
        <w:gridCol w:w="109"/>
        <w:gridCol w:w="109"/>
        <w:gridCol w:w="109"/>
        <w:gridCol w:w="239"/>
        <w:gridCol w:w="227"/>
        <w:gridCol w:w="467"/>
        <w:gridCol w:w="109"/>
        <w:gridCol w:w="109"/>
        <w:gridCol w:w="109"/>
        <w:gridCol w:w="211"/>
        <w:gridCol w:w="766"/>
        <w:gridCol w:w="109"/>
        <w:gridCol w:w="109"/>
        <w:gridCol w:w="109"/>
        <w:gridCol w:w="109"/>
        <w:gridCol w:w="211"/>
        <w:gridCol w:w="766"/>
        <w:gridCol w:w="109"/>
        <w:gridCol w:w="109"/>
        <w:gridCol w:w="109"/>
        <w:gridCol w:w="109"/>
        <w:gridCol w:w="207"/>
        <w:gridCol w:w="198"/>
        <w:gridCol w:w="529"/>
      </w:tblGrid>
      <w:tr>
        <w:trPr/>
        <w:tc>
          <w:tcPr>
            <w:tcW w:w="91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Epidiolex/Epidyolex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Rylaze/Enrylaze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Defitelio/defibrotide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N/A(2)</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N/A(2)</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High-sodium oxybate AG royalty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royalty and contract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(1)Includes Sativex net product sales for the three and six months ended June 30, 2025.</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(2)Comparison to prior period not meaningful.</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Xywav product sales increased in the three and six months ended June 30, 2026, compared to the same periods in 2025, primarily due to volume growth of 12% in both periods, and a higher selling price, offset by higher gross to net deductions. We continue to see Xywav adoption in patients with narcolepsy driven by continued demand, supported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11,275 patients taking Xywav for narcolepsy and 5,850 taking Xywav for IH, an increase of approximately 6% and 26%, respectively, compared to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Xyrem product sales decreased in the three and six months ended June 30, 2026, compared to the same periods in 2025, primarily due to volume declines of 20% and 21%,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Epidiolex/Epidyolex product sales increased in the three months ended June 30, 2026, compared to the same period in 2025, primarily due to volume growth of 12%, driven by increased demand, lower gross to net deductions, and a higher average selling price. Epidiolex/Epidyolex product sales increased in the six months ended June 30, 2026, compared to the same period in 2025, due to volume growth of 13%, driven by increased demand, the positive impact of foreign exchange rates, and a higher average selling price, offset by higher gross to net deductions.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Zepzelca product sales increased in the three and six months ended June 30, 2026, compared to the same periods in 2025, primarily due to increased sales volumes, reflecting continued adoption in the first-line maintenance ES-SCLC setting following FDA approval of Zepzelca in combination with atezolizumab or atezolizumab and hyaluronidase-tqjs in October 2025 partially offset by a decline in second line use. Rylaze/Enrylaze product sales in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were in line with the same period in 2025. Rylaze/Enrylaze product sales increased </w:t>
      </w:r>
      <w:r>
        <w:rPr>
          <w:rFonts w:ascii="Times New Roman;serif" w:hAnsi="Times New Roman;serif"/>
          <w:b w:val="false"/>
          <w:color w:val="000000"/>
          <w:sz w:val="20"/>
        </w:rPr>
        <w:t>in the six months ended June 30, 2026</w:t>
      </w:r>
      <w:r>
        <w:rPr>
          <w:rFonts w:ascii="Times New Roman;serif" w:hAnsi="Times New Roman;serif"/>
          <w:b w:val="false"/>
          <w:color w:val="000000"/>
          <w:sz w:val="20"/>
          <w:shd w:fill="FFFFFF" w:val="clear"/>
        </w:rPr>
        <w:t>, compared to the same period in</w:t>
      </w:r>
      <w:r>
        <w:rPr>
          <w:color w:val="000000"/>
        </w:rPr>
        <w:t xml:space="preserve"> </w:t>
      </w:r>
      <w:r>
        <w:rPr>
          <w:rFonts w:ascii="Times New Roman;serif" w:hAnsi="Times New Roman;serif"/>
          <w:b w:val="false"/>
          <w:color w:val="000000"/>
          <w:sz w:val="20"/>
        </w:rPr>
        <w:t>2025, primarily due to a higher average selling price, and volume growth of 3%, partially offset by higher gross to net d</w:t>
      </w:r>
      <w:r>
        <w:rPr>
          <w:rFonts w:ascii="Times New Roman;serif" w:hAnsi="Times New Roman;serif"/>
          <w:b w:val="false"/>
          <w:color w:val="000000"/>
          <w:sz w:val="20"/>
          <w:shd w:fill="FFFFFF" w:val="clear"/>
        </w:rPr>
        <w:t xml:space="preserve">eductions. Defitelio/defibrotide product sales increased in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xml:space="preserve">, compared to the same periods in 2025, primarily due to increased sales volumes, partially offset by a lower average selling price due to regional mix. </w:t>
      </w:r>
      <w:r>
        <w:rPr>
          <w:rFonts w:ascii="Times New Roman;serif" w:hAnsi="Times New Roman;serif"/>
          <w:b w:val="false"/>
          <w:color w:val="000000"/>
          <w:sz w:val="20"/>
        </w:rPr>
        <w:t xml:space="preserve">Modeyso product sales were $48.2 million and </w:t>
      </w:r>
      <w:r>
        <w:rPr>
          <w:rFonts w:ascii="Times New Roman;serif" w:hAnsi="Times New Roman;serif"/>
          <w:b w:val="false"/>
          <w:color w:val="000000"/>
          <w:sz w:val="20"/>
          <w:shd w:fill="FFFFFF" w:val="clear"/>
        </w:rPr>
        <w:t>$89.6 million, respectively,</w:t>
      </w:r>
      <w:r>
        <w:rPr>
          <w:color w:val="000000"/>
        </w:rPr>
        <w:t xml:space="preserve"> </w:t>
      </w:r>
      <w:r>
        <w:rPr>
          <w:rFonts w:ascii="Times New Roman;serif" w:hAnsi="Times New Roman;serif"/>
          <w:b w:val="false"/>
          <w:color w:val="000000"/>
          <w:sz w:val="20"/>
        </w:rPr>
        <w:t xml:space="preserve">in the three and six months ended June 30, 2026, following its product launch in August 2025. </w:t>
      </w:r>
      <w:r>
        <w:rPr>
          <w:rFonts w:ascii="Times New Roman;serif" w:hAnsi="Times New Roman;serif"/>
          <w:b w:val="false"/>
          <w:color w:val="000000"/>
          <w:sz w:val="20"/>
          <w:shd w:fill="FFFFFF" w:val="clear"/>
        </w:rPr>
        <w:t xml:space="preserve">Vyxeos product sales decreased in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xml:space="preserve">, compared to the same periods in 2025, due to a decrease in sales volumes,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offset by a higher average selling price. </w:t>
      </w:r>
      <w:r>
        <w:rPr>
          <w:rFonts w:ascii="Times New Roman;serif" w:hAnsi="Times New Roman;serif"/>
          <w:b w:val="false"/>
          <w:color w:val="000000"/>
          <w:sz w:val="20"/>
        </w:rPr>
        <w:t>Ziihera product sales increased</w:t>
      </w:r>
      <w:r>
        <w:rPr>
          <w:color w:val="000000"/>
          <w:shd w:fill="FFFFFF" w:val="clear"/>
        </w:rPr>
        <w:t xml:space="preserve"> </w:t>
      </w:r>
      <w:r>
        <w:rPr>
          <w:rFonts w:ascii="Times New Roman;serif" w:hAnsi="Times New Roman;serif"/>
          <w:b w:val="false"/>
          <w:color w:val="000000"/>
          <w:sz w:val="20"/>
        </w:rPr>
        <w:t>in the three and six months ended June 30, 2026</w:t>
      </w:r>
      <w:r>
        <w:rPr>
          <w:rFonts w:ascii="Times New Roman;serif" w:hAnsi="Times New Roman;serif"/>
          <w:b w:val="false"/>
          <w:color w:val="000000"/>
          <w:sz w:val="20"/>
          <w:shd w:fill="FFFFFF" w:val="clear"/>
        </w:rPr>
        <w:t xml:space="preserve">, compared to the same periods in 2025, due to increased sales volumes, </w:t>
      </w:r>
      <w:r>
        <w:rPr>
          <w:rFonts w:ascii="Times New Roman;serif" w:hAnsi="Times New Roman;serif"/>
          <w:b w:val="false"/>
          <w:color w:val="000000"/>
          <w:sz w:val="20"/>
        </w:rPr>
        <w:t xml:space="preserve">following its product launch in December 2024.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Royalties</w:t>
      </w:r>
      <w:r>
        <w:rPr>
          <w:color w:val="000000"/>
          <w:shd w:fill="FFFFFF" w:val="clear"/>
        </w:rPr>
        <w:t xml:space="preserve"> </w:t>
      </w:r>
      <w:r>
        <w:rPr>
          <w:rFonts w:ascii="Times New Roman;serif" w:hAnsi="Times New Roman;serif"/>
          <w:b w:val="false"/>
          <w:color w:val="000000"/>
          <w:sz w:val="20"/>
          <w:shd w:fill="FFFFFF" w:val="clear"/>
        </w:rPr>
        <w:t xml:space="preserve">and contract revenues decreased in the </w:t>
      </w:r>
      <w:r>
        <w:rPr>
          <w:rFonts w:ascii="Times New Roman;serif" w:hAnsi="Times New Roman;serif"/>
          <w:b w:val="false"/>
          <w:color w:val="000000"/>
          <w:sz w:val="20"/>
        </w:rPr>
        <w:t xml:space="preserve">three and six months ended June 30, 2026, </w:t>
      </w:r>
      <w:r>
        <w:rPr>
          <w:rFonts w:ascii="Times New Roman;serif" w:hAnsi="Times New Roman;serif"/>
          <w:b w:val="false"/>
          <w:color w:val="000000"/>
          <w:sz w:val="20"/>
          <w:shd w:fill="FFFFFF" w:val="clear"/>
        </w:rPr>
        <w:t xml:space="preserve">compared to the same periods in 2025, </w:t>
      </w:r>
      <w:r>
        <w:rPr>
          <w:rFonts w:ascii="Times New Roman;serif" w:hAnsi="Times New Roman;serif"/>
          <w:b w:val="false"/>
          <w:color w:val="000000"/>
          <w:sz w:val="20"/>
        </w:rPr>
        <w:t>primarily due to a decrease in royalty revenue from Hikma,</w:t>
      </w:r>
      <w:r>
        <w:rPr>
          <w:color w:val="000000"/>
          <w:shd w:fill="FFFFFF" w:val="clear"/>
        </w:rPr>
        <w:t xml:space="preserve"> </w:t>
      </w:r>
      <w:r>
        <w:rPr>
          <w:rFonts w:ascii="Times New Roman;serif" w:hAnsi="Times New Roman;serif"/>
          <w:b w:val="false"/>
          <w:color w:val="000000"/>
          <w:sz w:val="20"/>
          <w:shd w:fill="FFFFFF" w:val="clear"/>
        </w:rPr>
        <w:t>resulting from a reduction in the applicable royalty rate on net sales of their high sodium oxybate AG</w:t>
      </w:r>
      <w:r>
        <w:rPr>
          <w:rFonts w:ascii="Times New Roman;serif" w:hAnsi="Times New Roman;serif"/>
          <w:b w:val="false"/>
          <w:color w:val="000000"/>
          <w:sz w:val="2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total revenues in 2026 to increase compared to 2025, primarily driven by continued growth in Xywav, Epidiolex/Epidyolex and in oncology, offset by a reduction in royalty revenues due to decreased high-sodium AG royalties and Xyrem revenues following the launch of multiple generic high-sodium products.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Sales </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Cost of product sales in the </w:t>
      </w:r>
      <w:r>
        <w:rPr>
          <w:rFonts w:ascii="Times New Roman;serif" w:hAnsi="Times New Roman;serif"/>
          <w:b w:val="false"/>
          <w:color w:val="000000"/>
          <w:sz w:val="20"/>
        </w:rPr>
        <w:t xml:space="preserve">three months ended June 30, 2026, were in line with the same period in 2025 as lower </w:t>
      </w:r>
      <w:r>
        <w:rPr>
          <w:rFonts w:ascii="Times New Roman;serif" w:hAnsi="Times New Roman;serif"/>
          <w:b w:val="false"/>
          <w:color w:val="000000"/>
          <w:sz w:val="20"/>
          <w:shd w:fill="FFFFFF" w:val="clear"/>
        </w:rPr>
        <w:t>fair value step-up expense of $20.5 million was partially offset by higher royalty expenses, driven by higher revenues.</w:t>
      </w:r>
      <w:r>
        <w:rPr>
          <w:color w:val="000000"/>
        </w:rPr>
        <w:t xml:space="preserve"> </w:t>
      </w:r>
      <w:r>
        <w:rPr>
          <w:rFonts w:ascii="Times New Roman;serif" w:hAnsi="Times New Roman;serif"/>
          <w:b w:val="false"/>
          <w:color w:val="000000"/>
          <w:sz w:val="20"/>
          <w:shd w:fill="FFFFFF" w:val="clear"/>
        </w:rPr>
        <w:t xml:space="preserve">Cost of product sales increased 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compared to the same period in 2025, primarily due to higher royalty expenses, driven by higher revenues, and increased inventory provisions, partially offset by </w:t>
      </w:r>
      <w:r>
        <w:rPr>
          <w:rFonts w:ascii="Times New Roman;serif" w:hAnsi="Times New Roman;serif"/>
          <w:b w:val="false"/>
          <w:color w:val="000000"/>
          <w:sz w:val="20"/>
        </w:rPr>
        <w:t xml:space="preserve">lower </w:t>
      </w:r>
      <w:r>
        <w:rPr>
          <w:rFonts w:ascii="Times New Roman;serif" w:hAnsi="Times New Roman;serif"/>
          <w:b w:val="false"/>
          <w:color w:val="000000"/>
          <w:sz w:val="20"/>
          <w:shd w:fill="FFFFFF" w:val="clear"/>
        </w:rPr>
        <w:t xml:space="preserve">fair value step-up expense of $12.8 million. Gross margin as a percentage of total revenues was 90.4% and </w:t>
      </w:r>
      <w:r>
        <w:rPr>
          <w:rFonts w:ascii="Times New Roman;serif" w:hAnsi="Times New Roman;serif"/>
          <w:b w:val="false"/>
          <w:color w:val="000000"/>
          <w:sz w:val="20"/>
        </w:rPr>
        <w:t>89.0%</w:t>
      </w:r>
      <w:r>
        <w:rPr>
          <w:color w:val="000000"/>
          <w:shd w:fill="FFFFFF" w:val="clear"/>
        </w:rPr>
        <w:t xml:space="preserve"> </w:t>
      </w:r>
      <w:r>
        <w:rPr>
          <w:rFonts w:ascii="Times New Roman;serif" w:hAnsi="Times New Roman;serif"/>
          <w:b w:val="false"/>
          <w:color w:val="000000"/>
          <w:sz w:val="20"/>
          <w:shd w:fill="FFFFFF" w:val="clear"/>
        </w:rPr>
        <w:t xml:space="preserve">for the three and six months ended June 30, 2026, compared to </w:t>
      </w:r>
      <w:r>
        <w:rPr>
          <w:rFonts w:ascii="Times New Roman;serif" w:hAnsi="Times New Roman;serif"/>
          <w:b w:val="false"/>
          <w:color w:val="000000"/>
          <w:sz w:val="20"/>
        </w:rPr>
        <w:t>88.9% and</w:t>
      </w:r>
      <w:r>
        <w:rPr>
          <w:color w:val="000000"/>
          <w:shd w:fill="FFFFFF" w:val="clear"/>
        </w:rPr>
        <w:t xml:space="preserve"> </w:t>
      </w:r>
      <w:r>
        <w:rPr>
          <w:rFonts w:ascii="Times New Roman;serif" w:hAnsi="Times New Roman;serif"/>
          <w:b w:val="false"/>
          <w:color w:val="000000"/>
          <w:sz w:val="20"/>
          <w:shd w:fill="FFFFFF" w:val="clear"/>
        </w:rPr>
        <w:t xml:space="preserve">88.6% for the same periods in 2025. </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We expect our cost of product sales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to be broadly in line with </w:t>
      </w:r>
      <w:r>
        <w:rPr>
          <w:rFonts w:ascii="Times New Roman;serif" w:hAnsi="Times New Roman;serif"/>
          <w:b w:val="false"/>
          <w:color w:val="000000"/>
          <w:sz w:val="20"/>
        </w:rPr>
        <w:t>2025, with higher costs, including royalties, driven by higher revenues, offset by a reduction in the fair value step-up expense.</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in the three months ended June 30, 2026, compared to the same period in 2025, primarily due to increased marketing investment of $13.6 million and higher compensation-related expenses of $11.8 million in support of our commercial portfolio. Selling, general and administrative expenses decreased in the six months ended June 30, 2026, compared to the same period in 2025, primarily due to Xyrem antitrust litigation settlements of $172.0 million incurred in the six months ended June 30, 2025, partially offset by an increase in compensation-related expenses of $29.3 million and increased marketing investment of $22.3 million in support of our commercial portfolio, in the six months ended June 30, 2026.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selling, general and administrative expenses in 2026 to decrease compared to 2025, primarily due to the impact of litigation settlement expenses incurred in 2025, offset by increased investment in support of our commercial portfolio.</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Research and Development Expenses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R&amp;D expenses consist primarily of costs related to clinical studies and outside services, personnel expenses, and other R&amp;D costs. Clinical study and outside services costs relate primarily to services performed by clinical research organizations, materials and supplies, and other third party fees. Personnel expenses relate primarily to salaries, benefits and share-based compensation. Other R&amp;D expenses primarily include overhead allocations consisting of various support and facilities-related costs. We do not track fully-burdened R&amp;D expenses on a project-by-project basis. We manage our R&amp;D expenses by identifying the R&amp;D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breakout of our R&amp;D expenses by major categories of expense (in millions):</w:t>
      </w:r>
    </w:p>
    <w:tbl>
      <w:tblPr>
        <w:tblW w:w="7844" w:type="dxa"/>
        <w:jc w:val="left"/>
        <w:tblInd w:w="0" w:type="dxa"/>
        <w:tblLayout w:type="fixed"/>
        <w:tblCellMar>
          <w:top w:w="28" w:type="dxa"/>
          <w:left w:w="28" w:type="dxa"/>
          <w:bottom w:w="28" w:type="dxa"/>
          <w:right w:w="28" w:type="dxa"/>
        </w:tblCellMar>
      </w:tblPr>
      <w:tblGrid>
        <w:gridCol w:w="1114"/>
        <w:gridCol w:w="976"/>
        <w:gridCol w:w="98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studies and outside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increased by $17.6 million in the three months ended June 30, 2026, compared to the same period in 2025, driven by an increase in clinical studies and outside services costs, primarily due to higher costs related to zanidatamab.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increased by $32.9 million in the six months ended June 30, 2026, compared to the same period in 2025, driven by an increase in personnel expenses of $17.7 million and clinical studies and outside services costs, primarily due to higher costs related to zanidatamab and dordaviprone.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that our R&amp;D expenses will increase compared to 2025, primarily driven by an increase in clinical studies and outside service costs relating to zanidatamab, for both ongoing and new studies, dordaviprone, due to the inclusion of a full year’s expenses, and preclinical and early clinical programs.</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Intangible Asset Amortization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 amortization increased in the three and six months ended June 30, 2026, compared with the same periods in 2025, primarily due to the impact of foreign currency translation on our sterling assets. </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Acquired In-Process Research and Development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Acquired IPR&amp;D expense in the three and six months ended June 30, 2026, includes the upfront payments made in connection with our collaboration and license agreement with AbCellera of $56.0 million and asset purchase agreement with Werewolf of $21.0 million. Acquired IPR&amp;D expense in the three and six months ended June 30, 2025, represents the value allocated to Modeyso in the Chimerix Acquisition.</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sale of Priority Review Voucher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a pre-tax gain on disposal of the PRV in January 2026 of $122.8 million, representing the total cash consideration received of $200.0 million, less the post-tax proceeds paid to the former stockholders of Oncoceutics, Inc.</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by $10.3 million and $24.1 million in the three and six months ended June 30, 2026, compared to the same periods in 2025, primarily due to lower interest expense on the Tranche B-2 Dollar Term Loans and higher interest income as a result of higher cash reserves, offset by lower interest rates.</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Income Tax Expense (Benefit)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income tax expense was $18.1 million and $24.2 million for the three and six months ended June 30, 2026, respectively, compared to an income tax benefit of $17.2 million and $35.0 million for the same periods in 2025, relating to tax arising on income or losses in Ireland, the U.K., the U.S. and certain other foreign jurisdictions and Pillar Two top-up taxes, offset by deductions on subsidiary equity, patent box and foreign-derived deduction eligible income benefits and tax credits. The income tax expense for the six months ended June 30, 2026, also included tax arising on the gain on sale of the PRV, partially offset by excess tax benefits from share-based compensation. The income tax benefit for the six months ended June 30, 2025, was primarily due to the tax impact of certain Xyrem antitrust litigation settlements.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investments of $2.2 billion, borrowing available under our Amended Revolving Credit Facility of $885.0 million and a long-term debt principal balance of $4.4 billion. Our long-term debt included $1.9 billion aggregate principal amount of the Tranche B-2 Dollar Term Loans, $1.5 billion in aggregate principal amount of the Secured Notes, and $1.0 billion aggregate principal amount of the 2030 Notes. We generated cash flow from operations of $823.9 million during the six months ended June 30, 2026, and we expect to continue to generate positive cash flow from operations which will enable us to operate our business and de-lever our balance sheet over time.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Prior to June 15, 2030, the 2030 Notes will be exchangeable only upon satisfaction of certain conditions, including a condition tied to our share price that is measured as of the end of each quarter, and during certain periods, and thereafter, at any time until the close of business on the second scheduled trading day immediately preceding the maturity date. During the quarter ended June 30, 2026, the closing price of our ordinary shares exceeded 130% of the conversion price of the 2030 Notes for more than 20 trading days of the last 30 consecutive trading days of the quarter. As a result, the share price condition was met and the 2030 Notes are exchangeable at the option of the holders during the quarter ended September 30, 2026. Accordingly, the carrying value of the 2030 Notes has been included in current liabilities in our condensed consolidated balance sheet as of June 30, 2026.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filing, none of the 2030 Notes have been exchanged by the holders. In the event holders elect to exchange their 2030 Notes, we expect we would settle such exchanges using cash on hand and/or borrowings under our Amended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ind w:left="0" w:right="0" w:firstLine="495"/>
        <w:jc w:val="left"/>
        <w:rPr/>
      </w:pPr>
      <w:r>
        <w:rPr>
          <w:rFonts w:ascii="Times New Roman;serif" w:hAnsi="Times New Roman;serif"/>
          <w:b w:val="false"/>
          <w:color w:val="000000"/>
          <w:sz w:val="20"/>
        </w:rPr>
        <w:t>Since the closing of the GW Acquisition in May 2021, we have fully repaid our Euro Term Loan. With respect to our Tranche B-2 Dollar Term Loans, we have made voluntary repayments of $1.1 billion</w:t>
      </w:r>
      <w:r>
        <w:rPr>
          <w:rFonts w:ascii="Times New Roman;serif" w:hAnsi="Times New Roman;serif"/>
          <w:b w:val="false"/>
          <w:color w:val="000000"/>
          <w:sz w:val="20"/>
          <w:shd w:fill="FFFFFF" w:val="clear"/>
        </w:rPr>
        <w:t xml:space="preserve">, $300.0 million in September 2022, and $750.0 million in January 2025, along with mandatory repayments </w:t>
      </w:r>
      <w:r>
        <w:rPr>
          <w:rFonts w:ascii="Times New Roman;serif" w:hAnsi="Times New Roman;serif"/>
          <w:b w:val="false"/>
          <w:color w:val="000000"/>
          <w:sz w:val="20"/>
        </w:rPr>
        <w:t>$155.0 million</w:t>
      </w:r>
      <w:r>
        <w:rPr>
          <w:rFonts w:ascii="Times New Roman;serif" w:hAnsi="Times New Roman;serif"/>
          <w:b w:val="false"/>
          <w:color w:val="000000"/>
          <w:sz w:val="20"/>
          <w:shd w:fill="FFFFFF" w:val="clear"/>
        </w:rPr>
        <w:t xml:space="preserve">. In June 2026, we repaid the </w:t>
      </w:r>
      <w:r>
        <w:rPr>
          <w:rFonts w:ascii="Times New Roman;serif" w:hAnsi="Times New Roman;serif"/>
          <w:b w:val="false"/>
          <w:color w:val="000000"/>
          <w:sz w:val="20"/>
        </w:rPr>
        <w:t xml:space="preserve">$1.0 billion aggregate principal amount of our 2026 Notes and, in August 2024, we repaid the $575.0 million aggregate principal amount of our 2024 Notes.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have a significant amount of debt outstanding on a consolidated basis. For further information, including details relating to our scheduled maturities with respect to our long-term debt, see Note 9, Debt, of the Notes to Condensed Consolidated Financial Statements, included in Part I, Item 1 of this Quarterly Report on Form 10</w:t>
        <w:noBreakHyphen/>
        <w:t>Q. This substantial level of debt could have important consequences to our business, including, but not limited to the factors set forth in “Risk Factors” of our Annual Report on Form 10-K for the year ended December 31, 2025, under the heading “</w:t>
      </w:r>
      <w:r>
        <w:rPr>
          <w:rFonts w:ascii="Times New Roman;serif" w:hAnsi="Times New Roman;serif"/>
          <w:b w:val="false"/>
          <w:i/>
          <w:color w:val="000000"/>
          <w:sz w:val="20"/>
        </w:rPr>
        <w:t>We have incurred substantial debt, which could impair our flexibility and access to capital and adversely affect our financial position, and our business would be adversely affected if we are unable to service our debt obligations.</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believe that our existing cash, cash equivalents and investments balances, cash we expect to generate from operations and funds available under our Amended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2025, as well as the factor set forth in "Risk Factors" under the heading “</w:t>
      </w:r>
      <w:r>
        <w:rPr>
          <w:rFonts w:ascii="Times New Roman;serif" w:hAnsi="Times New Roman;serif"/>
          <w:b w:val="false"/>
          <w:i/>
          <w:color w:val="000000"/>
          <w:sz w:val="20"/>
        </w:rPr>
        <w:t>To continue to grow our business, we will need to commit substantial resources, which could result in future losses or otherwise limit our opportunities or affect our ability to operate and grow our business</w:t>
      </w:r>
      <w:r>
        <w:rPr>
          <w:color w:val="000000"/>
        </w:rPr>
        <w:t xml:space="preserve">” </w:t>
      </w:r>
      <w:r>
        <w:rPr>
          <w:rFonts w:ascii="Times New Roman;serif" w:hAnsi="Times New Roman;serif"/>
          <w:b w:val="false"/>
          <w:color w:val="000000"/>
          <w:sz w:val="20"/>
        </w:rPr>
        <w:t>in Part I, Item 1A of our Annual Report on Form 10-K for the year ended December 31,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to restructure or refinance our debt and/or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Israel and Iran have created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our current share issuance authority is due to expire in July 2031.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2026, our shareholders voted to approve our proposal to dis-apply the statutory pre-emption obligation. This current pre-emption opt-out authority is due to expire in January 2028. If we are unable to obtain further share issuance and pre-emption authorities from our shareholders in the future, or otherwise continue to be limited by the terms of new share issuance pre-emption authorities approved by our shareholders in the future, our ability to use our unissued share capital to fund in-licensing, acquisition or other business opportunities, or to otherwise raise capital, including at the time we are required to make repurchases of the 2030 Notes and/or the Secured Notes, are required to repay outstanding amounts under the Amended Credit Agreement, or pay cash upon reaching the maturity date of the 2030 Notes, could likewise be adversely affected or precluded altogether. In any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percentage ownership, and could require the consent of the lenders under the Amended Credit Agreement that provides for (i) the Tranche B-2 Dollar Term Loans and Amended Revolving Credit Facility, and the indenture for the Secured Notes for certain financings.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our board of directors authorized the Repurchase Program, to repurchase ordinary shares having an aggregate purchase price of $500.0 million, exclusive of any brokerage commissions. The Repurchase Program, which has no expiration date, allows us to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Repurchase Program may be modified, suspended or discontinued at any time without our prior notice. During the three and six months ended June 30, 2026, no shares were repurchased. During the three and six months ended June 30, 2025, we spent a total of $125.0 million to repurchase 1.1 million of our ordinary shares under the Repurchase Program at a purchase price, including commissions, of $109.52 per share. As of June 30, 2026, the remaining amount authorized for repurchases under the Repurchase Program was $225.0 million, exclusive of any brokerage commissions.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cash flows for the periods indicated (in millions): </w:t>
      </w:r>
    </w:p>
    <w:tbl>
      <w:tblPr>
        <w:tblW w:w="6936" w:type="dxa"/>
        <w:jc w:val="left"/>
        <w:tblInd w:w="0" w:type="dxa"/>
        <w:tblLayout w:type="fixed"/>
        <w:tblCellMar>
          <w:top w:w="28" w:type="dxa"/>
          <w:left w:w="28" w:type="dxa"/>
          <w:bottom w:w="28" w:type="dxa"/>
          <w:right w:w="28" w:type="dxa"/>
        </w:tblCellMar>
      </w:tblPr>
      <w:tblGrid>
        <w:gridCol w:w="1612"/>
        <w:gridCol w:w="1419"/>
        <w:gridCol w:w="1423"/>
        <w:gridCol w:w="214"/>
        <w:gridCol w:w="626"/>
        <w:gridCol w:w="109"/>
        <w:gridCol w:w="109"/>
        <w:gridCol w:w="109"/>
        <w:gridCol w:w="109"/>
        <w:gridCol w:w="211"/>
        <w:gridCol w:w="84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pPr>
      <w:r>
        <w:rPr>
          <w:rFonts w:ascii="Times New Roman;serif" w:hAnsi="Times New Roman;serif"/>
          <w:b w:val="false"/>
          <w:i/>
          <w:color w:val="000000"/>
          <w:sz w:val="20"/>
        </w:rPr>
        <w:t>Operating</w:t>
      </w:r>
      <w:r>
        <w:rPr>
          <w:color w:val="000000"/>
        </w:rPr>
        <w:t xml:space="preserve"> </w:t>
      </w:r>
      <w:r>
        <w:rPr>
          <w:rFonts w:ascii="Times New Roman;serif" w:hAnsi="Times New Roman;serif"/>
          <w:b w:val="false"/>
          <w:i/>
          <w:color w:val="000000"/>
          <w:sz w:val="20"/>
        </w:rPr>
        <w:t>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$305.3 million in the six months ended June 30, 2026, compared to the same period in 2025, primarily due to cash received from increased sales of our products and the impact of the payment of Xyrem antitrust litigation settlements of $172.0 million in the six months ended June 30, 2025.</w:t>
      </w:r>
    </w:p>
    <w:p>
      <w:pPr>
        <w:pStyle w:val="TextBody"/>
        <w:bidi w:val="0"/>
        <w:spacing w:lineRule="auto" w:line="288" w:before="280" w:after="283"/>
        <w:jc w:val="left"/>
        <w:rPr/>
      </w:pPr>
      <w:r>
        <w:rPr>
          <w:rFonts w:ascii="Times New Roman;serif" w:hAnsi="Times New Roman;serif"/>
          <w:b w:val="false"/>
          <w:i/>
          <w:color w:val="000000"/>
          <w:sz w:val="20"/>
        </w:rPr>
        <w:t>Investing</w:t>
      </w:r>
      <w:r>
        <w:rPr>
          <w:color w:val="000000"/>
        </w:rPr>
        <w:t xml:space="preserve"> </w:t>
      </w:r>
      <w:r>
        <w:rPr>
          <w:rFonts w:ascii="Times New Roman;serif" w:hAnsi="Times New Roman;serif"/>
          <w:b w:val="false"/>
          <w:i/>
          <w:color w:val="000000"/>
          <w:sz w:val="20"/>
        </w:rPr>
        <w:t>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 increased by $1.3 billion in the six months ended June 30, 2026, compared to the same period in 2025,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$858.1 million outflow in 2025 related to the net cash paid for the Chimerix Acquisition;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$370.1 million net increase in the proceeds from maturity of investments, driven by time deposits;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$122.8 million related to the net proceeds from the sale of PRV in January 2026;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$77.0 million in upfront payments relating to our collaboration and license agreement with AbCellera and our asset purchase agreement with Werewolf in the six months ended June 30, 2026.</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by $135.1 million in the six months ended June 30, 2026, compared to the same period in 2025,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repayment of the 2026 Notes of $1.0 billion in the six months ended June 30, 2026;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$750.0 million voluntary repayment on the Tranche B-2 Dollar Term Loan in January 2025;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$125.0 million in share repurchases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summary of our outstanding indebtedness and scheduled maturities with respect to our long-term debt principal balances is included in Note 9, Debt, of the Notes to Condensed Consolidated Financial Statements included in Part I, Item 1 of this Quarterly Report on Form 10-Q. In June 2026, we repaid the $1.0 billion aggregate principal amount of the 2026 Notes at maturity and accrued and unpaid interest thereon and issued 1,890,193 ordinary shares. During the quarter ended September 30, 2026, the 2030 Notes will be exchangeable only upon satisfaction of certain conditions, including a condition tied to our share price that is measured as of the end of each quarter, and during certain periods, and thereafter, at any time until the close of business on the second scheduled trading day immediately preceding the maturity date. As of the date of this filing, none of the 2030 Notes have been exchanged by the holders.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other changes to our financing arrangements, as set forth in Note 11, Debt, of the Notes to Consolidated Financial Statements included in our Annual Report on Form 10-K for the year ended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contractual obligations as set forth in Part II, Item 7 “Management’s Discussion and Analysis of Financial Condition and Results of Operations” in our Annual Report on Form 10-K for the year ended December 31, 2025, other than the termination of the Werewolf license and collaboration agreement entered into in May 2022, eliminating potential future milestone obligations, totaling $1,255.0 million, and future royalty obligations under that agreement.</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 understand our financial statements, it is important to understand our critical accounting estimates. The preparation of our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significant estimates are detailed in our Annual Report on Form 10</w:t>
        <w:noBreakHyphen/>
        <w:t>K for the year ended December 31, 2025. Our critical accounting policies and significant estimates have not changed substantially from those previously disclosed in our Annual Report on Form 10</w:t>
        <w:noBreakHyphen/>
        <w:t>K for the year ended December 31, 2025.</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 xml:space="preserve">Q contains forward-looking statements within the meaning of Section 27A of the Securities Act, and Section 21E of the Exchange Act, which are subject to the “safe harbor” created by those sections. Forward-looking statements are based on our management’s current beliefs and assumptions and on information currently available to our management. In some cases, you can identify forward-looking statements by terms such as “may,” “will,” “should,” “could,” “would,” “expect,” “plan,” “anticipate,” “believe,” “estimate,” “opportunity,” “project,” “predict,” “propose,” “intend,” “continue,” “potential,” “possible,” “strive,” “seek,” “designed,” “goal,” “foreseeable,” “likely” or the negative of these words or other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known and unknown risks, uncertainties and other factors include, without limitation: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maintain revenues from our oxybate franchise would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introduction of new products in the U.S. market that compete with, or otherwise disrupt the market for, our oxybate products has adversely affected and may continue to adversely affect sales of our oxybate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maintain or increase sales of Epidiolex/Epidyolex would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While we expect Xywav and Epidiolex/Epidyolex to remain our largest products, our success also depends on our ability to effectively commercialize our other existing products and potential future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face substantial competition from other companies, including companies with larger sales organizations and more experience working with large and diverse product portfolios, and competition from generic drugs.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 addition to access, coverage and reimbursement, the commercial success of our products depends upon their market acceptance by physicians, patients, third party payors and the medical community.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Delays or problems in, or increased costs with respect to,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realize the anticipated benefits from our acquisition of Chimerix.</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future success depends on our ability to successfully obtain and maintain regulatory approvals for our late-stage product candidates and, if approved, to successfully launch and commercialize those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able to successfully identify and acquire or in-license additional products or product candidates to grow our business, and, even if we are able to do so, we may otherwise fail to realize the anticipated benefits of these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It is difficult and costly to protect our proprietary rights, and we may not be able to ensure their protection.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disruptions of information technology systems or data security incidents could adversely affect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are subject to significant ongoing regulatory obligations and oversight, which may subject us to civil or criminal proceedings, investigations, or penalties and may result in significant additional expense and limit our ability to commercialize our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incurred substantial debt, which could impair our flexibility and access to capital and adversely affect our financial position, and our business would be adversely affected if we are unable to service our debt obligations.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continue to grow our business, we will need to commit substantial resources, which could result in future losses or otherwise limit our opportunities or affect our ability to operate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fail to attract, retain and motivate members of our executive management team and key personnel, our operations and our future growth may be adversely affected.</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discussion of the risks, uncertainties and other factors described above, as well as other risks material to our business, can be found under “Risk Factors” in Part I, Item 1A of our Annual Report on Form 10-K for the year ended December 31, 2025.</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Given these risks, uncertainties and other factors, you should not place undue reliance on these forward-looking statements. </w:t>
      </w:r>
      <w:r>
        <w:rPr>
          <w:rFonts w:ascii="Times New Roman;serif" w:hAnsi="Times New Roman;serif"/>
          <w:b w:val="false"/>
          <w:color w:val="000000"/>
          <w:sz w:val="20"/>
        </w:rPr>
        <w:t xml:space="preserve">In addition, our goals and objectives are aspirational and are not guarantees or promises that such goals and objectives will be met. </w:t>
      </w:r>
      <w:r>
        <w:rPr>
          <w:rFonts w:ascii="Times New Roman;serif" w:hAnsi="Times New Roman;serif"/>
          <w:b w:val="false"/>
          <w:color w:val="000000"/>
          <w:sz w:val="20"/>
          <w:shd w:fill="FFFFFF" w:val="clear"/>
        </w:rPr>
        <w:t>Also, these forward-looking statements represent our estimates and assumptions only as of the date of this filing. You should read this Quarterly Report on Form 10</w:t>
        <w:noBreakHyphen/>
        <w:t>Q completely a</w:t>
      </w:r>
      <w:r>
        <w:rPr>
          <w:rFonts w:ascii="Times New Roman;serif" w:hAnsi="Times New Roman;serif"/>
          <w:b w:val="false"/>
          <w:color w:val="000000"/>
          <w:sz w:val="20"/>
        </w:rPr>
        <w:t xml:space="preserve">nd the documents that we file with the SEC </w:t>
      </w:r>
      <w:r>
        <w:rPr>
          <w:rFonts w:ascii="Times New Roman;serif" w:hAnsi="Times New Roman;serif"/>
          <w:b w:val="false"/>
          <w:color w:val="000000"/>
          <w:sz w:val="20"/>
          <w:shd w:fill="FFFFFF" w:val="clear"/>
        </w:rPr>
        <w:t>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 xml:space="preserve">Item 3.Quantitative and Qualitative Disclosures About Market Risk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market risk disclosures as set forth in Part II, Item 7A “Quantitative and Qualitative Disclosures About Market Risk” in our Annual Report on Form 10-K for the year ended December 31, 2025.</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We have carried out an evaluation under the supervision and with the participation of management, including our principal executive officer and principal financial officer, of our disclosure controls and procedures (as defined in Rule 13a-15(e) and 15d-15(e) of the Exchange Act) as of the end of the period covered by this Quarterly Report on Form 10</w:t>
        <w:noBreakHyphen/>
        <w:t>Q. Based on their evaluation, our principal executive officer and principal financial officer concluded that our disclosure controls and procedures were effective as of June 30, 2026.</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Limitations on the Effectiveness of Controls</w:t>
      </w:r>
      <w:r>
        <w:rPr>
          <w:rFonts w:ascii="Times New Roman;serif" w:hAnsi="Times New Roman;serif"/>
          <w:b w:val="false"/>
          <w:color w:val="000000"/>
          <w:sz w:val="20"/>
        </w:rPr>
        <w:t>.  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During the quarter ended June 30, 2026, there were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set forth under this Item 1 is incorporated by reference to Note 10, Commitments and Contingencies—Legal Proceedings of the Notes to Condensed Consolidated Financial Statements included in Part I, Item 1 of this Quarterly Report on Form 10</w:t>
        <w:noBreakHyphen/>
        <w:t>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erif" w:hAnsi="Times New Roman;serif"/>
          <w:b/>
          <w:color w:val="000000"/>
          <w:sz w:val="20"/>
        </w:rPr>
      </w:pPr>
      <w:r>
        <w:rPr>
          <w:rFonts w:ascii="Times New Roman;serif" w:hAnsi="Times New Roman;serif"/>
          <w:b/>
          <w:color w:val="000000"/>
          <w:sz w:val="20"/>
        </w:rPr>
        <w:t xml:space="preserve">Item 1A.Risk Factors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material risk factors are disclosed in Part I, Item 1A of our Annual Report on Form 10-K for the year ended December 31, 2025. There have been no material changes from the risk factors previously disclosed in our Annual Report on Form 10-K for the year ended December 31, 2025. We encourage you to read and carefully consider all of the risk factors disclosed in Part I, Item 1A of our Annual Report on Form 10-K for the year ended December 31, 2025, for a more complete understanding of the risks and uncertainties material to our business.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2024, we announced that our board of directors had authorized the Repurchase Program pursuant to which our board of directors authorized us to repurchase our ordinary shares for up to an aggregate purchase price of $500.0 million, exclusive of any brokerage commissions. Under the Repurchase Program, which has no expiration date, we may repurchase our ordinary shares from time to time by any methods and/or structures permitted by applicable law. During the three months ended June 30, 2026, we did not repurchase any of our ordinary shares. As of June 30, 2026, the remaining amount authorized under the Repurchase Program was $225.0 million.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Repurchase Program may be modified, suspended or discontinued at any time without our prior notice.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 xml:space="preserve">Item 5.Other Information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terms of the contracts, instructions or written plans for the purchase or sale of the Company’s securities adopted or terminated by our officers (as defined in Rule 16a-1(f) under the Exchange Act) and directors during the quarter ended June 30, 2026:</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Type of Trading Arrangement</w:t>
      </w:r>
    </w:p>
    <w:tbl>
      <w:tblPr>
        <w:tblW w:w="10205" w:type="dxa"/>
        <w:jc w:val="center"/>
        <w:tblInd w:w="0" w:type="dxa"/>
        <w:tblLayout w:type="fixed"/>
        <w:tblCellMar>
          <w:top w:w="28" w:type="dxa"/>
          <w:left w:w="28" w:type="dxa"/>
          <w:bottom w:w="28" w:type="dxa"/>
          <w:right w:w="28" w:type="dxa"/>
        </w:tblCellMar>
      </w:tblPr>
      <w:tblGrid>
        <w:gridCol w:w="911"/>
        <w:gridCol w:w="804"/>
        <w:gridCol w:w="621"/>
        <w:gridCol w:w="109"/>
        <w:gridCol w:w="109"/>
        <w:gridCol w:w="109"/>
        <w:gridCol w:w="197"/>
        <w:gridCol w:w="197"/>
        <w:gridCol w:w="202"/>
        <w:gridCol w:w="109"/>
        <w:gridCol w:w="109"/>
        <w:gridCol w:w="109"/>
        <w:gridCol w:w="368"/>
        <w:gridCol w:w="368"/>
        <w:gridCol w:w="375"/>
        <w:gridCol w:w="109"/>
        <w:gridCol w:w="109"/>
        <w:gridCol w:w="109"/>
        <w:gridCol w:w="205"/>
        <w:gridCol w:w="205"/>
        <w:gridCol w:w="206"/>
        <w:gridCol w:w="109"/>
        <w:gridCol w:w="109"/>
        <w:gridCol w:w="109"/>
        <w:gridCol w:w="815"/>
        <w:gridCol w:w="763"/>
        <w:gridCol w:w="711"/>
        <w:gridCol w:w="109"/>
        <w:gridCol w:w="109"/>
        <w:gridCol w:w="109"/>
        <w:gridCol w:w="750"/>
        <w:gridCol w:w="397"/>
        <w:gridCol w:w="475"/>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 Ordinary Shares to be Sold</w:t>
            </w:r>
          </w:p>
        </w:tc>
      </w:tr>
      <w:tr>
        <w:trPr/>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Iannone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Global Head of Research and Development, 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5/28/2027, or such earlier date upon which all transactions are completed or expire without execution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Indeterminable</w:t>
            </w:r>
            <w:r>
              <w:rPr>
                <w:rFonts w:ascii="Times New Roman;serif" w:hAnsi="Times New Roman;serif"/>
                <w:b w:val="false"/>
                <w:color w:val="000000"/>
                <w:sz w:val="13"/>
              </w:rPr>
              <w:t>(1)</w:t>
            </w:r>
          </w:p>
        </w:tc>
      </w:tr>
      <w:tr>
        <w:trPr/>
        <w:tc>
          <w:tcPr>
            <w:tcW w:w="23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Renee D. Gala</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8/5/2027, or such earlier date upon which all transactions are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7,400</w:t>
            </w:r>
          </w:p>
        </w:tc>
      </w:tr>
      <w:tr>
        <w:trPr/>
        <w:tc>
          <w:tcPr>
            <w:tcW w:w="2336"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D. Smith</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6/15/2026</w:t>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Termination</w:t>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DBDBDB"/>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1,157</w:t>
            </w:r>
          </w:p>
        </w:tc>
      </w:tr>
      <w:tr>
        <w:trPr/>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Dr. Iannone's Rule 10b5-1 Trading Plan provides for the (i) same-day exercise and sale of up to 53,700 stock options, (ii) sale of up to 16,038 ordinary shares, (iii) sale of an indeterminable number of ordinary shares sufficient to cover stock option exercise costs and estimated tax withholding amounts and customary brokerage fees, and (iv) sale of an indeterminable number of ordinary shares from the settlement of RSUs and PSUs. The number of ordinary shares in clauses (iii) and (iv) are indeterminable because the numbers will vary based on the extent to which vesting, performance or exercise conditions are satisfied, the market price of the Company's ordinary shares at the time of settlement and the number of shares that would otherwise be issuable on each settlement date of a covered stock option, RSU or PSU that are sold or withheld in an amount sufficient to satisfy the applicable tax withholding obligations.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ind w:left="0" w:right="0" w:hanging="900"/>
        <w:jc w:val="left"/>
        <w:rPr/>
      </w:pPr>
      <w:r>
        <w:rPr/>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1488"/>
        <w:gridCol w:w="1286"/>
        <w:gridCol w:w="1216"/>
        <w:gridCol w:w="109"/>
        <w:gridCol w:w="109"/>
        <w:gridCol w:w="109"/>
        <w:gridCol w:w="175"/>
        <w:gridCol w:w="175"/>
        <w:gridCol w:w="176"/>
        <w:gridCol w:w="109"/>
        <w:gridCol w:w="109"/>
        <w:gridCol w:w="109"/>
        <w:gridCol w:w="249"/>
        <w:gridCol w:w="249"/>
        <w:gridCol w:w="205"/>
        <w:gridCol w:w="109"/>
        <w:gridCol w:w="109"/>
        <w:gridCol w:w="109"/>
        <w:gridCol w:w="225"/>
        <w:gridCol w:w="225"/>
        <w:gridCol w:w="226"/>
        <w:gridCol w:w="109"/>
        <w:gridCol w:w="109"/>
        <w:gridCol w:w="109"/>
        <w:gridCol w:w="206"/>
        <w:gridCol w:w="206"/>
        <w:gridCol w:w="207"/>
        <w:gridCol w:w="109"/>
        <w:gridCol w:w="109"/>
        <w:gridCol w:w="109"/>
        <w:gridCol w:w="274"/>
        <w:gridCol w:w="274"/>
        <w:gridCol w:w="399"/>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18"/>
                <w:u w:val="single"/>
              </w:rPr>
            </w:pPr>
            <w:r>
              <w:rPr>
                <w:rFonts w:ascii="Times New Roman;serif" w:hAnsi="Times New Roman;serif"/>
                <w:b/>
                <w:color w:val="000000"/>
                <w:sz w:val="18"/>
                <w:u w:val="single"/>
              </w:rPr>
              <w:t>Exhibit</w:t>
            </w:r>
          </w:p>
          <w:p>
            <w:pPr>
              <w:pStyle w:val="TableContents"/>
              <w:bidi w:val="0"/>
              <w:spacing w:lineRule="auto" w:line="240" w:before="0" w:after="40"/>
              <w:jc w:val="left"/>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 of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18"/>
                <w:u w:val="single"/>
              </w:rPr>
            </w:pPr>
            <w:r>
              <w:rPr>
                <w:rFonts w:ascii="Times New Roman;serif" w:hAnsi="Times New Roman;serif"/>
                <w:b/>
                <w:color w:val="000000"/>
                <w:sz w:val="18"/>
                <w:u w:val="single"/>
              </w:rPr>
              <w: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File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Filing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r:id="rId2">
              <w:r>
                <w:rPr>
                  <w:rStyle w:val="InternetLink"/>
                  <w:rFonts w:ascii="Times New Roman;serif" w:hAnsi="Times New Roman;serif"/>
                  <w:b w:val="false"/>
                  <w:color w:val="0000FF"/>
                  <w:sz w:val="20"/>
                  <w:u w:val="single"/>
                </w:rPr>
                <w:t>Amended and Restated Memorandum and Articles of Association of Jazz Pharmaceuticals Public Limited Company, as amended on August 4, 2016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w:anchor="nedcomppolicyex101.htm">
              <w:r>
                <w:rPr>
                  <w:rStyle w:val="InternetLink"/>
                  <w:rFonts w:ascii="Times New Roman;serif" w:hAnsi="Times New Roman;serif"/>
                  <w:b w:val="false"/>
                  <w:color w:val="000080"/>
                  <w:sz w:val="20"/>
                  <w:u w:val="single"/>
                </w:rPr>
                <w:t xml:space="preserve">Amended and Restated Non-Employee Director Compensation Policy (approved April </w:t>
              </w:r>
            </w:hyperlink>
            <w:hyperlink w:anchor="nedcomppolicyex101.htm">
              <w:r>
                <w:rPr>
                  <w:rStyle w:val="InternetLink"/>
                  <w:rFonts w:ascii="Times New Roman;serif" w:hAnsi="Times New Roman;serif"/>
                  <w:b w:val="false"/>
                  <w:color w:val="000080"/>
                  <w:sz w:val="20"/>
                  <w:u w:val="single"/>
                </w:rPr>
                <w:t>23</w:t>
              </w:r>
            </w:hyperlink>
            <w:hyperlink w:anchor="nedcomppolicyex101.htm">
              <w:r>
                <w:rPr>
                  <w:rStyle w:val="InternetLink"/>
                  <w:rFonts w:ascii="Times New Roman;serif" w:hAnsi="Times New Roman;serif"/>
                  <w:b w:val="false"/>
                  <w:color w:val="000080"/>
                  <w:sz w:val="20"/>
                  <w:u w:val="single"/>
                </w:rPr>
                <w:t>,</w:t>
              </w:r>
            </w:hyperlink>
            <w:hyperlink w:anchor="nedcomppolicyex101.htm">
              <w:r>
                <w:rPr>
                  <w:rStyle w:val="InternetLink"/>
                  <w:rFonts w:ascii="Times New Roman;serif" w:hAnsi="Times New Roman;serif"/>
                  <w:b w:val="false"/>
                  <w:color w:val="000080"/>
                  <w:sz w:val="20"/>
                  <w:u w:val="single"/>
                </w:rPr>
                <w:t xml:space="preserve">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w:anchor="jazzq22026ex311.htm">
              <w:r>
                <w:rPr>
                  <w:rStyle w:val="InternetLink"/>
                  <w:rFonts w:ascii="Times New Roman;serif" w:hAnsi="Times New Roman;serif"/>
                  <w:b w:val="false"/>
                  <w:color w:val="0000FF"/>
                  <w:sz w:val="20"/>
                  <w:u w:val="single"/>
                </w:rPr>
                <w:t>Certification of Chief Executive Officer pursuant to Rules 13a-14(a) and 15d-14(a) promulgated under the Securities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w:anchor="jazzq22026ex312.htm">
              <w:r>
                <w:rPr>
                  <w:rStyle w:val="InternetLink"/>
                  <w:rFonts w:ascii="Times New Roman;serif" w:hAnsi="Times New Roman;serif"/>
                  <w:b w:val="false"/>
                  <w:color w:val="0000FF"/>
                  <w:sz w:val="20"/>
                  <w:u w:val="single"/>
                </w:rPr>
                <w:t>Certification of Chief Financial Officer pursuant to Rules 13a-14(a) and 15d-14(a) promulgated under the Securities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w:anchor="jazzq22026e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accompanies this Quarterly Report on Form 10</w:t>
        <w:noBreakHyphen/>
        <w:t>Q pursuant to 18 U.S.C. Section 1350, as adopted pursuant to Section 906 of the Sarbanes-Oxley Act of 2002, and shall not be deemed “filed” by the Registrant for purposes of Section 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16d1ef6485342438e7ec7ca3d2ab1ef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p>
      <w:pPr>
        <w:pStyle w:val="TextBody"/>
        <w:bidi w:val="0"/>
        <w:spacing w:lineRule="auto" w:line="288" w:before="0" w:after="0"/>
        <w:jc w:val="left"/>
        <w:rPr>
          <w:color w:val="000000"/>
        </w:rPr>
      </w:pPr>
      <w:r>
        <w:rPr>
          <w:color w:val="000000"/>
        </w:rPr>
        <w:t> </w:t>
      </w:r>
    </w:p>
    <w:tbl>
      <w:tblPr>
        <w:tblW w:w="5429" w:type="dxa"/>
        <w:jc w:val="right"/>
        <w:tblInd w:w="0" w:type="dxa"/>
        <w:tblLayout w:type="fixed"/>
        <w:tblCellMar>
          <w:top w:w="28" w:type="dxa"/>
          <w:left w:w="28" w:type="dxa"/>
          <w:bottom w:w="28" w:type="dxa"/>
          <w:right w:w="28" w:type="dxa"/>
        </w:tblCellMar>
      </w:tblPr>
      <w:tblGrid>
        <w:gridCol w:w="1738"/>
        <w:gridCol w:w="1528"/>
        <w:gridCol w:w="2163"/>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JAZZ PHARMACEUTICALS PUBLIC LIMITED COMPANY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Renee D. Gala</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Renee D. Gala</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President and Chief Executive Officer and Director</w:t>
              <w:br/>
              <w:t>(Principal Executive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L. Johnson</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br/>
              <w:t>(Principal Financial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Carr</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Carr</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JAZZ PHARMACEUTICALS PLC</w: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NON-EMPLOYEE DIRECTOR COMPENSATION POLICY</w:t>
      </w:r>
    </w:p>
    <w:p>
      <w:pPr>
        <w:pStyle w:val="TextBody"/>
        <w:bidi w:val="0"/>
        <w:spacing w:lineRule="auto" w:line="333" w:before="0" w:after="200"/>
        <w:ind w:left="0" w:right="0" w:firstLine="720"/>
        <w:jc w:val="left"/>
        <w:rPr/>
      </w:pPr>
      <w:r>
        <w:rPr>
          <w:rFonts w:ascii="Times New Roman;serif" w:hAnsi="Times New Roman;serif"/>
          <w:b w:val="false"/>
          <w:color w:val="000000"/>
          <w:sz w:val="22"/>
        </w:rPr>
        <w:t>Non-employee members of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of Jazz Pharmaceuticals plc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shall be eligible to receive cash and equity compensation as set forth in this Non-Employee Director Compensation Policy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Times New Roman;serif" w:hAnsi="Times New Roman;serif"/>
          <w:b/>
          <w:i/>
          <w:color w:val="000000"/>
          <w:sz w:val="22"/>
        </w:rPr>
        <w:t>Non-Employee Director</w:t>
      </w:r>
      <w:r>
        <w:rPr>
          <w:color w:val="000000"/>
        </w:rPr>
        <w:t>”</w:t>
      </w:r>
      <w:r>
        <w:rPr>
          <w:rFonts w:ascii="Times New Roman;serif" w:hAnsi="Times New Roman;serif"/>
          <w:b w:val="false"/>
          <w:color w:val="000000"/>
          <w:sz w:val="22"/>
        </w:rPr>
        <w:t>) who may be eligible to receive such cash compensation or equity grants, unless such Non-Employee Director declines the receipt of such cash compensation or equity grants by written notice to the Company. This Policy shall remain in effect until it is revised or rescinded by further action of the Board.</w:t>
      </w:r>
    </w:p>
    <w:p>
      <w:pPr>
        <w:pStyle w:val="TextBody"/>
        <w:bidi w:val="0"/>
        <w:spacing w:lineRule="auto" w:line="333" w:before="0" w:after="200"/>
        <w:ind w:left="0" w:right="0" w:hanging="360"/>
        <w:jc w:val="left"/>
        <w:rPr/>
      </w:pPr>
      <w:r>
        <w:rPr>
          <w:rFonts w:ascii="Times New Roman;serif" w:hAnsi="Times New Roman;serif"/>
          <w:b w:val="false"/>
          <w:color w:val="000000"/>
          <w:sz w:val="22"/>
        </w:rPr>
        <w:t xml:space="preserve">1. </w:t>
      </w:r>
      <w:r>
        <w:rPr>
          <w:rFonts w:ascii="Times New Roman;serif" w:hAnsi="Times New Roman;serif"/>
          <w:b w:val="false"/>
          <w:color w:val="000000"/>
          <w:sz w:val="22"/>
          <w:u w:val="single"/>
        </w:rPr>
        <w:t>Cash Compensation</w:t>
      </w:r>
      <w:r>
        <w:rPr>
          <w:rFonts w:ascii="Times New Roman;serif" w:hAnsi="Times New Roman;serif"/>
          <w:b w:val="false"/>
          <w:color w:val="000000"/>
          <w:sz w:val="22"/>
        </w:rPr>
        <w:t>.</w:t>
      </w:r>
    </w:p>
    <w:p>
      <w:pPr>
        <w:pStyle w:val="TextBody"/>
        <w:bidi w:val="0"/>
        <w:spacing w:lineRule="auto" w:line="333"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Subject to Section 1(b) and Section 3 below, each Non-Employee Director shall be eligible to receive cash compensation of $75,000 for service on the Board. In addition, a Non-Employee Director serving as:</w:t>
      </w:r>
    </w:p>
    <w:p>
      <w:pPr>
        <w:pStyle w:val="TextBody"/>
        <w:bidi w:val="0"/>
        <w:spacing w:lineRule="auto" w:line="333" w:before="0" w:after="20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(i) lead independent director of the Board shall be eligible to receive additional cash compensation of $50,000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 chairperson of the Board shall be eligible to receive additional cash compensation of $100,000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(iii) chairperson of the Audit Committee shall be eligible to receive additional cash compensation of $25,000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(iv) members (other than the chairperson) of the Audit Committee shall be eligible to receive additional cash compensation of $15,000 per year for such service;</w:t>
      </w:r>
    </w:p>
    <w:p>
      <w:pPr>
        <w:pStyle w:val="TextBody"/>
        <w:bidi w:val="0"/>
        <w:spacing w:lineRule="auto" w:line="333" w:before="0" w:after="200"/>
        <w:ind w:left="0" w:right="0" w:hanging="360"/>
        <w:jc w:val="left"/>
        <w:rPr/>
      </w:pPr>
      <w:r>
        <w:rPr>
          <w:rFonts w:ascii="Times New Roman;serif" w:hAnsi="Times New Roman;serif"/>
          <w:b w:val="false"/>
          <w:color w:val="000000"/>
          <w:sz w:val="22"/>
        </w:rPr>
        <w:t>(v) chairperson of the Compensation &amp; Management Development Committee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shall be eligible to receive additional cash compensation of $25,000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(vi) members (other than the chairperson) of the Compensation Committee shall be eligible to receive additional cash compensation of $12,500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(vii) chairperson of the Nominating and Corporate Governance Committee shall be eligible to receive additional cash compensation of $20,000 per year for such service;</w:t>
      </w:r>
    </w:p>
    <w:p>
      <w:pPr>
        <w:pStyle w:val="TextBody"/>
        <w:bidi w:val="0"/>
        <w:spacing w:lineRule="auto" w:line="333" w:before="0" w:after="20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(viii) members (other than the chairperson) of the Nominating and Corporate Governance Committee shall be eligible to receive additional cash compensation of $10,000 per year for such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(ix) chairperson of the Science &amp; Medicine Committee shall be eligible to receive additional cash compensation of $25,000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(x) members (other than the chairperson of the Science &amp; Medicine Committee) shall be eligible to receive additional cash compensation of $12,500 per year for such service;</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(xi) chairperson of the Transaction Committee shall be eligible to receive additional cash compensation of $6,250 per meeting up to $25,000 per year for such service; and</w:t>
      </w:r>
    </w:p>
    <w:p>
      <w:pPr>
        <w:pStyle w:val="TextBody"/>
        <w:bidi w:val="0"/>
        <w:spacing w:lineRule="auto" w:line="333"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(xii) members (other than the chairperson) of the Transaction Committee shall be eligible to receive additional cash compensation of $3,125 per meeting up to $12,500 per year for such service.</w:t>
      </w:r>
    </w:p>
    <w:p>
      <w:pPr>
        <w:pStyle w:val="TextBody"/>
        <w:bidi w:val="0"/>
        <w:spacing w:lineRule="auto" w:line="333"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additional cash compensation for the Non-Employee Director’s service on the Committees other than the Transaction Committee shall be paid in four equal quarterly installments, earned upon the completion of service in each calendar quarter. The additional cash compensation for the Non-Employee Director’s service on the Transaction Committee shall be paid in four quarterly installments, earned upon the completion of services in each calendar quarter.</w:t>
      </w:r>
    </w:p>
    <w:p>
      <w:pPr>
        <w:pStyle w:val="TextBody"/>
        <w:bidi w:val="0"/>
        <w:spacing w:lineRule="auto" w:line="333"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Each person who is elected or appointed to be a Non-Employee Director or who is appointed to serve as lead independent director or a member or chairperson of one of the Committees described above, in each case other than on the first calendar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calendar day during the calendar quarter prior to the date of such election or appointment.</w:t>
      </w:r>
    </w:p>
    <w:p>
      <w:pPr>
        <w:pStyle w:val="TextBody"/>
        <w:bidi w:val="0"/>
        <w:spacing w:lineRule="auto" w:line="333" w:before="0" w:after="200"/>
        <w:ind w:left="0" w:right="0" w:firstLine="720"/>
        <w:jc w:val="left"/>
        <w:rPr/>
      </w:pPr>
      <w:r>
        <w:rPr>
          <w:rFonts w:ascii="Times New Roman;serif" w:hAnsi="Times New Roman;serif"/>
          <w:b w:val="false"/>
          <w:color w:val="000000"/>
          <w:sz w:val="22"/>
        </w:rPr>
        <w:t>(c) 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Times New Roman;serif" w:hAnsi="Times New Roman;serif"/>
          <w:b/>
          <w:i/>
          <w:color w:val="000000"/>
          <w:sz w:val="22"/>
        </w:rPr>
        <w:t>Revenue</w:t>
      </w:r>
      <w:r>
        <w:rPr>
          <w:color w:val="000000"/>
        </w:rPr>
        <w:t>”</w:t>
      </w:r>
      <w:r>
        <w:rPr>
          <w:rFonts w:ascii="Times New Roman;serif" w:hAnsi="Times New Roman;serif"/>
          <w:b w:val="false"/>
          <w:color w:val="000000"/>
          <w:sz w:val="22"/>
        </w:rPr>
        <w:t>), each Non-Employee Director will be entitled to a payment, up to an amount (“</w:t>
      </w:r>
      <w:r>
        <w:rPr>
          <w:rFonts w:ascii="Times New Roman;serif" w:hAnsi="Times New Roman;serif"/>
          <w:b/>
          <w:i/>
          <w:color w:val="000000"/>
          <w:sz w:val="22"/>
        </w:rPr>
        <w:t>Tax Reimbursement Payment</w:t>
      </w:r>
      <w:r>
        <w:rPr>
          <w:color w:val="000000"/>
        </w:rPr>
        <w:t>”</w:t>
      </w:r>
      <w:r>
        <w:rPr>
          <w:rFonts w:ascii="Times New Roman;serif" w:hAnsi="Times New Roman;serif"/>
          <w:b w:val="false"/>
          <w:color w:val="000000"/>
          <w:sz w:val="22"/>
        </w:rPr>
        <w:t>) such that after the deduction of all taxes (including, without limitation, any income taxes calculated at the rate applicable to each Non-Employee Director for the year in which the expenses were incurred) on the Tax Reimbursement Payment, the Non-Employee Director will retain an amount equal to the full reimbursement payment. All taxes due will be paid by the Company to Revenue.</w:t>
      </w:r>
    </w:p>
    <w:p>
      <w:pPr>
        <w:pStyle w:val="TextBody"/>
        <w:bidi w:val="0"/>
        <w:spacing w:lineRule="auto" w:line="333" w:before="0" w:after="200"/>
        <w:jc w:val="left"/>
        <w:rPr/>
      </w:pPr>
      <w:r>
        <w:rPr>
          <w:rFonts w:ascii="Times New Roman;serif" w:hAnsi="Times New Roman;serif"/>
          <w:b w:val="false"/>
          <w:color w:val="000000"/>
          <w:sz w:val="22"/>
        </w:rPr>
        <w:t xml:space="preserve">2. </w:t>
      </w:r>
      <w:r>
        <w:rPr>
          <w:rFonts w:ascii="Times New Roman;serif" w:hAnsi="Times New Roman;serif"/>
          <w:b w:val="false"/>
          <w:color w:val="000000"/>
          <w:sz w:val="22"/>
          <w:u w:val="single"/>
        </w:rPr>
        <w:t>Equity Compensation</w:t>
      </w:r>
      <w:r>
        <w:rPr>
          <w:rFonts w:ascii="Times New Roman;serif" w:hAnsi="Times New Roman;serif"/>
          <w:b w:val="false"/>
          <w:color w:val="000000"/>
          <w:sz w:val="22"/>
        </w:rPr>
        <w:t>. The restricted stock unit (“</w:t>
      </w:r>
      <w:r>
        <w:rPr>
          <w:rFonts w:ascii="Times New Roman;serif" w:hAnsi="Times New Roman;serif"/>
          <w:b/>
          <w:i/>
          <w:color w:val="000000"/>
          <w:sz w:val="22"/>
        </w:rPr>
        <w:t>RSU</w:t>
      </w:r>
      <w:r>
        <w:rPr>
          <w:color w:val="000000"/>
        </w:rPr>
        <w:t>”</w:t>
      </w:r>
      <w:r>
        <w:rPr>
          <w:rFonts w:ascii="Times New Roman;serif" w:hAnsi="Times New Roman;serif"/>
          <w:b w:val="false"/>
          <w:color w:val="000000"/>
          <w:sz w:val="22"/>
        </w:rPr>
        <w:t>) awards described below shall be granted under and shall be subject to the terms and provisions of the Company’s Amended and Restated 2007 Non-Employee Directors Stock Award Plan (the “</w:t>
      </w:r>
      <w:r>
        <w:rPr>
          <w:rFonts w:ascii="Times New Roman;serif" w:hAnsi="Times New Roman;serif"/>
          <w:b/>
          <w:i/>
          <w:color w:val="000000"/>
          <w:sz w:val="22"/>
        </w:rPr>
        <w:t>NEDSAP</w:t>
      </w:r>
      <w:r>
        <w:rPr>
          <w:color w:val="000000"/>
        </w:rPr>
        <w:t>”</w:t>
      </w:r>
      <w:r>
        <w:rPr>
          <w:rFonts w:ascii="Times New Roman;serif" w:hAnsi="Times New Roman;serif"/>
          <w:b w:val="false"/>
          <w:color w:val="000000"/>
          <w:sz w:val="22"/>
        </w:rPr>
        <w:t>).</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Eligibility</w:t>
      </w:r>
      <w:r>
        <w:rPr>
          <w:rFonts w:ascii="Times New Roman;serif" w:hAnsi="Times New Roman;serif"/>
          <w:b w:val="false"/>
          <w:color w:val="000000"/>
          <w:sz w:val="22"/>
        </w:rPr>
        <w:t>. Subject to Section 3 below, beginning with the annual general meeting of the Company’s shareholders (an “</w:t>
      </w:r>
      <w:r>
        <w:rPr>
          <w:rFonts w:ascii="Times New Roman;serif" w:hAnsi="Times New Roman;serif"/>
          <w:b/>
          <w:i/>
          <w:color w:val="000000"/>
          <w:sz w:val="22"/>
        </w:rPr>
        <w:t>AGM</w:t>
      </w:r>
      <w:r>
        <w:rPr>
          <w:color w:val="000000"/>
        </w:rPr>
        <w:t>”</w:t>
      </w:r>
      <w:r>
        <w:rPr>
          <w:rFonts w:ascii="Times New Roman;serif" w:hAnsi="Times New Roman;serif"/>
          <w:b w:val="false"/>
          <w:color w:val="000000"/>
          <w:sz w:val="22"/>
        </w:rPr>
        <w:t>) held in 2021, each person who is a Non-Employee Director at an AGM and who continues as a Non-Employee Director following such meeting automatically shall be granted an RSU award (an “</w:t>
      </w:r>
      <w:r>
        <w:rPr>
          <w:rFonts w:ascii="Times New Roman;serif" w:hAnsi="Times New Roman;serif"/>
          <w:b/>
          <w:i/>
          <w:color w:val="000000"/>
          <w:sz w:val="22"/>
        </w:rPr>
        <w:t>Annual Grant</w:t>
      </w:r>
      <w:r>
        <w:rPr>
          <w:color w:val="000000"/>
        </w:rPr>
        <w:t>”</w:t>
      </w:r>
      <w:r>
        <w:rPr>
          <w:rFonts w:ascii="Times New Roman;serif" w:hAnsi="Times New Roman;serif"/>
          <w:b w:val="false"/>
          <w:color w:val="000000"/>
          <w:sz w:val="22"/>
        </w:rPr>
        <w:t xml:space="preserve">) on the grant date set forth in Section 2(b) below. In addition,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jc w:val="left"/>
        <w:rPr/>
      </w:pPr>
      <w:r>
        <w:rPr>
          <w:rFonts w:ascii="Times New Roman;serif" w:hAnsi="Times New Roman;serif"/>
          <w:b w:val="false"/>
          <w:color w:val="000000"/>
          <w:sz w:val="22"/>
        </w:rPr>
        <w:t>subject to Section 3 below, each person who is elected or appointed to be a Non-Employee Director for the first time other than at an AGM and after the AGM held in 2021, automatically shall be granted a prorated RSU award (a “</w:t>
      </w:r>
      <w:r>
        <w:rPr>
          <w:rFonts w:ascii="Times New Roman;serif" w:hAnsi="Times New Roman;serif"/>
          <w:b/>
          <w:i/>
          <w:color w:val="000000"/>
          <w:sz w:val="22"/>
        </w:rPr>
        <w:t>Prorated Annual Grant</w:t>
      </w:r>
      <w:r>
        <w:rPr>
          <w:color w:val="000000"/>
        </w:rPr>
        <w:t>”</w:t>
      </w:r>
      <w:r>
        <w:rPr>
          <w:rFonts w:ascii="Times New Roman;serif" w:hAnsi="Times New Roman;serif"/>
          <w:b w:val="false"/>
          <w:color w:val="000000"/>
          <w:sz w:val="22"/>
        </w:rPr>
        <w:t xml:space="preserve">) on the grant date set forth in Section 2(b) below, provided that such person is a Non-Employee Director on such grant date. </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Grant Date</w:t>
      </w:r>
      <w:r>
        <w:rPr>
          <w:rFonts w:ascii="Times New Roman;serif" w:hAnsi="Times New Roman;serif"/>
          <w:b w:val="false"/>
          <w:color w:val="000000"/>
          <w:sz w:val="22"/>
        </w:rPr>
        <w:t xml:space="preserve">. The grant date of each Annual Grant shall be the </w:t>
      </w:r>
      <w:r>
        <w:rPr>
          <w:rFonts w:ascii="Times New Roman;serif" w:hAnsi="Times New Roman;serif"/>
          <w:b w:val="false"/>
          <w:color w:val="000000"/>
          <w:sz w:val="23"/>
        </w:rPr>
        <w:t>second trading day after the date on which the Company publicly releases its next quarterly or annual report filed under the Securities Exchange Act of 1934, as amended</w:t>
      </w:r>
      <w:r>
        <w:rPr>
          <w:rFonts w:ascii="Times New Roman;serif" w:hAnsi="Times New Roman;serif"/>
          <w:b w:val="false"/>
          <w:color w:val="000000"/>
          <w:sz w:val="22"/>
        </w:rPr>
        <w:t>, and the grant date of each Prorated Annual Grant shall be the second trading day following the filing date of the Company’s next quarterly or annual report filed under the Securities Exchange Act of 1934, as amended, that occurs after the date of the Non-Employee Director’s initial election or appointment.</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Grant Date Value</w:t>
      </w:r>
      <w:r>
        <w:rPr>
          <w:rFonts w:ascii="Times New Roman;serif" w:hAnsi="Times New Roman;serif"/>
          <w:b w:val="false"/>
          <w:color w:val="000000"/>
          <w:sz w:val="22"/>
        </w:rPr>
        <w:t>. The grant date value of each Annual Grant shall be equal to approximately $400,000. The grant date value of each Prorated Annual Grant shall be prorated to reflect the shortened period of service (by multiplying $400,000 by the quotient (rounded to the nearest hundredth) obtained by dividing the number of calendar days from and including the date of the Non-Employee Director’s initial election or appointment to and including the date that is the first anniversary of the prior AGM by 365).</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(d) </w:t>
      </w:r>
      <w:r>
        <w:rPr>
          <w:rFonts w:ascii="Times New Roman;serif" w:hAnsi="Times New Roman;serif"/>
          <w:b w:val="false"/>
          <w:color w:val="000000"/>
          <w:sz w:val="22"/>
          <w:u w:val="single"/>
        </w:rPr>
        <w:t>Number of Ordinary Shares</w:t>
      </w:r>
      <w:r>
        <w:rPr>
          <w:rFonts w:ascii="Times New Roman;serif" w:hAnsi="Times New Roman;serif"/>
          <w:b w:val="false"/>
          <w:color w:val="000000"/>
          <w:sz w:val="22"/>
        </w:rPr>
        <w:t>. The number of ordinary shares of the Company (“</w:t>
      </w:r>
      <w:r>
        <w:rPr>
          <w:rFonts w:ascii="Times New Roman;serif" w:hAnsi="Times New Roman;serif"/>
          <w:b/>
          <w:i/>
          <w:color w:val="000000"/>
          <w:sz w:val="22"/>
        </w:rPr>
        <w:t>Ordinary Shares</w:t>
      </w:r>
      <w:r>
        <w:rPr>
          <w:color w:val="000000"/>
        </w:rPr>
        <w:t>”</w:t>
      </w:r>
      <w:r>
        <w:rPr>
          <w:rFonts w:ascii="Times New Roman;serif" w:hAnsi="Times New Roman;serif"/>
          <w:b w:val="false"/>
          <w:color w:val="000000"/>
          <w:sz w:val="22"/>
        </w:rPr>
        <w:t>) subject to each Annual Grant and Prorated Annual Grant shall be determined by dividing the grant date value, in each case as set forth in Section 2(c) above, by the average of the daily closing prices per share of the Ordinary Shares during the 30 calendar day period ending on the day immediately preceding the grant date, rounded to the nearest share by application of regular rounding</w:t>
      </w:r>
      <w:r>
        <w:rPr>
          <w:rFonts w:ascii="Times New Roman;serif" w:hAnsi="Times New Roman;serif"/>
          <w:b w:val="false"/>
          <w:color w:val="000000"/>
          <w:sz w:val="22"/>
          <w:shd w:fill="FFFFFF" w:val="clear"/>
        </w:rPr>
        <w:t>.</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(e) </w:t>
      </w:r>
      <w:r>
        <w:rPr>
          <w:rFonts w:ascii="Times New Roman;serif" w:hAnsi="Times New Roman;serif"/>
          <w:b w:val="false"/>
          <w:color w:val="000000"/>
          <w:sz w:val="22"/>
          <w:u w:val="single"/>
        </w:rPr>
        <w:t>Vesting</w:t>
      </w:r>
      <w:r>
        <w:rPr>
          <w:rFonts w:ascii="Times New Roman;serif" w:hAnsi="Times New Roman;serif"/>
          <w:b w:val="false"/>
          <w:color w:val="000000"/>
          <w:sz w:val="22"/>
        </w:rPr>
        <w:t>. Each Annual Grant granted to a Non-Employee Director shall vest in full on the first anniversary of the AGM in the year of grant and each Prorated Annual Grant granted to a Non-Employee Director shall vest in full on the first anniversary of the AGM held prior to the Non-Employee Director’s initial election or appointment, in each case subject to the Non-Employee Director’s Continuous Service (as defined in the NEDSAP) through such vesting date.</w:t>
      </w:r>
      <w:r>
        <w:rPr>
          <w:color w:val="000000"/>
        </w:rPr>
        <w:t xml:space="preserve"> </w:t>
      </w:r>
      <w:r>
        <w:rPr>
          <w:rFonts w:ascii="Times New Roman;serif" w:hAnsi="Times New Roman;serif"/>
          <w:b w:val="false"/>
          <w:color w:val="000000"/>
          <w:sz w:val="22"/>
        </w:rPr>
        <w:t>Notwithstanding the foregoing, if a Non-Employee Director does not stand for reelection at an AGM in the year in which his or her term expires or otherwise resigns effective at an AGM and, in either case, the Non-Employee Director’s Continuous Service terminates at such AGM, then effective as of the date of such AGM,</w:t>
      </w:r>
      <w:r>
        <w:rPr>
          <w:color w:val="000000"/>
        </w:rPr>
        <w:t xml:space="preserve"> </w:t>
      </w:r>
      <w:r>
        <w:rPr>
          <w:rFonts w:ascii="Times New Roman;serif" w:hAnsi="Times New Roman;serif"/>
          <w:b w:val="false"/>
          <w:color w:val="000000"/>
          <w:sz w:val="22"/>
        </w:rPr>
        <w:t>the unvested portion, if any, of such Non-Employee Director’s Annual Grant or Prorated Annual Grant shall become vested in full.</w:t>
      </w:r>
    </w:p>
    <w:p>
      <w:pPr>
        <w:pStyle w:val="TextBody"/>
        <w:bidi w:val="0"/>
        <w:spacing w:lineRule="auto" w:line="333" w:before="0" w:after="200"/>
        <w:ind w:left="0" w:right="0" w:firstLine="720"/>
        <w:jc w:val="left"/>
        <w:rPr/>
      </w:pPr>
      <w:r>
        <w:rPr>
          <w:rFonts w:ascii="Times New Roman;serif" w:hAnsi="Times New Roman;serif"/>
          <w:b w:val="false"/>
          <w:color w:val="000000"/>
          <w:sz w:val="22"/>
        </w:rPr>
        <w:t xml:space="preserve">(f) </w:t>
      </w:r>
      <w:r>
        <w:rPr>
          <w:rFonts w:ascii="Times New Roman;serif" w:hAnsi="Times New Roman;serif"/>
          <w:b w:val="false"/>
          <w:color w:val="000000"/>
          <w:sz w:val="22"/>
          <w:u w:val="single"/>
        </w:rPr>
        <w:t>Terms and Conditions</w:t>
      </w:r>
      <w:r>
        <w:rPr>
          <w:rFonts w:ascii="Times New Roman;serif" w:hAnsi="Times New Roman;serif"/>
          <w:b w:val="false"/>
          <w:color w:val="000000"/>
          <w:sz w:val="22"/>
        </w:rPr>
        <w:t>. The terms and conditions applicable to each Annual Grant and Prorated Annual Grant granted to Non-Employee Directors pursuant to this Policy shall be subject to the terms and conditions in the forms of RSU notice of grant and RSU award agreement previously approved by the Board or the Compensation Committee, as applicable, and the NEDSAP.</w:t>
      </w:r>
    </w:p>
    <w:p>
      <w:pPr>
        <w:pStyle w:val="TextBody"/>
        <w:bidi w:val="0"/>
        <w:spacing w:lineRule="auto" w:line="333" w:before="0" w:after="240"/>
        <w:jc w:val="left"/>
        <w:rPr/>
      </w:pPr>
      <w:r>
        <w:rPr>
          <w:rFonts w:ascii="Times New Roman;serif" w:hAnsi="Times New Roman;serif"/>
          <w:b w:val="false"/>
          <w:color w:val="000000"/>
          <w:sz w:val="22"/>
        </w:rPr>
        <w:t xml:space="preserve">3. </w:t>
      </w:r>
      <w:r>
        <w:rPr>
          <w:rFonts w:ascii="Times New Roman;serif" w:hAnsi="Times New Roman;serif"/>
          <w:b w:val="false"/>
          <w:color w:val="000000"/>
          <w:sz w:val="22"/>
          <w:u w:val="single"/>
        </w:rPr>
        <w:t>Non-Employee Director Compensation Limit</w:t>
      </w:r>
      <w:r>
        <w:rPr>
          <w:rFonts w:ascii="Times New Roman;serif" w:hAnsi="Times New Roman;serif"/>
          <w:b w:val="false"/>
          <w:color w:val="000000"/>
          <w:sz w:val="22"/>
        </w:rPr>
        <w:t>. The aggregate value of all compensation granted or paid, as applicable, by the Company to any individual for service as a Non-Employee Director with respect to any period commencing on the date of the AGM for a particular year and ending on the calendar day immediately prior to the date of the AGM for the subsequent year (the “</w:t>
      </w:r>
      <w:r>
        <w:rPr>
          <w:rFonts w:ascii="Times New Roman;serif" w:hAnsi="Times New Roman;serif"/>
          <w:b/>
          <w:i/>
          <w:color w:val="000000"/>
          <w:sz w:val="22"/>
        </w:rPr>
        <w:t>Annual Period</w:t>
      </w:r>
      <w:r>
        <w:rPr>
          <w:color w:val="000000"/>
        </w:rPr>
        <w:t>”</w:t>
      </w:r>
      <w:r>
        <w:rPr>
          <w:rFonts w:ascii="Times New Roman;serif" w:hAnsi="Times New Roman;serif"/>
          <w:b w:val="false"/>
          <w:color w:val="000000"/>
          <w:sz w:val="22"/>
        </w:rPr>
        <w:t xml:space="preserve">), including equity awards granted and cash fees paid by the Company to such Non-Employee Director,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2"/>
        </w:rPr>
      </w:pPr>
      <w:r>
        <w:rPr>
          <w:rFonts w:ascii="Times New Roman;serif" w:hAnsi="Times New Roman;serif"/>
          <w:b w:val="false"/>
          <w:color w:val="000000"/>
          <w:sz w:val="22"/>
        </w:rPr>
        <w:t>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w:t>
      </w:r>
    </w:p>
    <w:p>
      <w:pPr>
        <w:pStyle w:val="TextBody"/>
        <w:bidi w:val="0"/>
        <w:spacing w:before="0" w:after="240"/>
        <w:jc w:val="left"/>
        <w:rPr/>
      </w:pPr>
      <w:r>
        <w:rPr/>
      </w:r>
    </w:p>
    <w:p>
      <w:pPr>
        <w:pStyle w:val="TextBody"/>
        <w:bidi w:val="0"/>
        <w:spacing w:lineRule="auto" w:line="333" w:before="0" w:after="120"/>
        <w:jc w:val="center"/>
        <w:rPr>
          <w:rFonts w:ascii="Times New Roman;serif" w:hAnsi="Times New Roman;serif"/>
          <w:b/>
          <w:i/>
          <w:color w:val="000000"/>
          <w:sz w:val="22"/>
        </w:rPr>
      </w:pPr>
      <w:r>
        <w:rPr>
          <w:rFonts w:ascii="Times New Roman;serif" w:hAnsi="Times New Roman;serif"/>
          <w:b/>
          <w:i/>
          <w:color w:val="000000"/>
          <w:sz w:val="22"/>
        </w:rPr>
        <w:t>*****</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Adopted by the Board of Directors of Jazz Pharmaceuticals plc on 2 May 2013.</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1 August 2013.</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1 May 2014.</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30 October 2014.</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30 April 2015.</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4 May 2016.</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3 May 2018.</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21 July 2020.</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28 April 2021.</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29 July 2021.</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28 April 2022.</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4 May 2023.</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25 April 2024.</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23 October 2025.</w:t>
      </w:r>
    </w:p>
    <w:p>
      <w:pPr>
        <w:pStyle w:val="TextBody"/>
        <w:bidi w:val="0"/>
        <w:spacing w:lineRule="auto" w:line="333" w:before="0" w:after="200"/>
        <w:jc w:val="left"/>
        <w:rPr>
          <w:rFonts w:ascii="Times New Roman;serif" w:hAnsi="Times New Roman;serif"/>
          <w:b/>
          <w:i/>
          <w:color w:val="000000"/>
          <w:sz w:val="22"/>
        </w:rPr>
      </w:pPr>
      <w:r>
        <w:rPr>
          <w:rFonts w:ascii="Times New Roman;serif" w:hAnsi="Times New Roman;serif"/>
          <w:b/>
          <w:i/>
          <w:color w:val="000000"/>
          <w:sz w:val="22"/>
        </w:rPr>
        <w:t>Amended and restated by the Board of Directors of Jazz Pharmaceuticals plc on 23 April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Renee D. Gala, certify that: </w: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33"/>
        <w:gridCol w:w="1133"/>
        <w:gridCol w:w="16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Renee D. Gala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Renee D. Gala</w:t>
              <w:br/>
              <w:t>President and Chief Executive Officer and Director</w:t>
              <w:br/>
              <w:t>(Principal Executive Officer)</w:t>
              <w:b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Philip L. Johnson,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color w:val="000000"/>
        </w:rPr>
        <w: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22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65"/>
        <w:gridCol w:w="1165"/>
        <w:gridCol w:w="16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 L. Johnson</w:t>
              <w:br/>
              <w:t>Executive Vice President and Chief Financial Officer</w:t>
              <w:br/>
              <w:t xml:space="preserve">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pPr>
      <w:r>
        <w:rPr>
          <w:rFonts w:ascii="Times New Roman;serif" w:hAnsi="Times New Roman;serif"/>
          <w:b/>
          <w:color w:val="000000"/>
          <w:sz w:val="20"/>
        </w:rPr>
        <w:t>CERTIFICATION</w:t>
      </w:r>
      <w:r>
        <w:rPr>
          <w:rFonts w:ascii="Times New Roman;serif" w:hAnsi="Times New Roman;serif"/>
          <w:b/>
          <w:color w:val="000000"/>
          <w:sz w:val="13"/>
        </w:rPr>
        <w:t>(1)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Section 1350), Renee D. Gala, President and Chief Executive Officer of Jazz Pharmaceuticals public limited company (the “Company”), and Philip L. Johnson, Executive Vice President and Chief Financial Officer of the Company, each hereby certifies that, to the best of her/his knowledge: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p>
      <w:pPr>
        <w:pStyle w:val="TextBody"/>
        <w:bidi w:val="0"/>
        <w:spacing w:lineRule="auto" w:line="288" w:before="0" w:after="0"/>
        <w:jc w:val="left"/>
        <w:rPr>
          <w:color w:val="000000"/>
        </w:rPr>
      </w:pPr>
      <w:r>
        <w:rPr>
          <w:color w:val="000000"/>
        </w:rPr>
        <w:t> </w:t>
      </w:r>
    </w:p>
    <w:tbl>
      <w:tblPr>
        <w:tblW w:w="3990" w:type="dxa"/>
        <w:jc w:val="left"/>
        <w:tblInd w:w="0" w:type="dxa"/>
        <w:tblLayout w:type="fixed"/>
        <w:tblCellMar>
          <w:top w:w="28" w:type="dxa"/>
          <w:left w:w="28" w:type="dxa"/>
          <w:bottom w:w="28" w:type="dxa"/>
          <w:right w:w="28" w:type="dxa"/>
        </w:tblCellMar>
      </w:tblPr>
      <w:tblGrid>
        <w:gridCol w:w="1546"/>
        <w:gridCol w:w="1008"/>
        <w:gridCol w:w="1436"/>
      </w:tblGrid>
      <w:tr>
        <w:trPr/>
        <w:tc>
          <w:tcPr>
            <w:tcW w:w="15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Renee D. Gala</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Renee D. Gala</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 and Director</w:t>
              <w:br/>
              <w:t> (Principal Executive Officer)</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 L. Johnson</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br/>
              <w:t>(Principal Financial Officer)</w:t>
            </w:r>
          </w:p>
        </w:tc>
      </w:tr>
    </w:tbl>
    <w:p>
      <w:pPr>
        <w:pStyle w:val="TextBody"/>
        <w:bidi w:val="0"/>
        <w:spacing w:lineRule="auto" w:line="240" w:before="0" w:after="4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certification accompanies the Quarterly Report on Form 10-Q to which it relates, is not deemed filed with the Securities and Exchange Commission and is not to be incorporated by reference into any filing of the Company under the Securities Act of 1933, as amended, or the Exchange Act (whether made before or after the date of the Quarterly Report on Form 10-Q), irrespective of any general incorporation language contained in such filing. 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2524/000123252416000303/jazzq22016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30318</Words>
  <Characters>167264</Characters>
  <CharactersWithSpaces>195960</CharactersWithSpaces>
  <Paragraphs>3119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