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149860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127000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4"/>
        </w:trPr>
        <w:tc>
          <w:tcPr>
            <w:tcW w:w="2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107950</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32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4"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27, 2022, 62,680,737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84"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JUNE 30, 2022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r>
      <w:tr>
        <w:trPr>
          <w:trHeight w:val="176"/>
        </w:trPr>
        <w:tc>
          <w:tcPr>
            <w:tcW w:w="9680" w:type="dxa"/>
            <w:vAlign w:val="bottom"/>
            <w:gridSpan w:val="18"/>
          </w:tcPr>
          <w:p>
            <w:pPr>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520" w:type="dxa"/>
            <w:vAlign w:val="bottom"/>
            <w:gridSpan w:val="9"/>
          </w:tcPr>
          <w:p>
            <w:pPr>
              <w:spacing w:after="0"/>
              <w:rPr>
                <w:sz w:val="22"/>
                <w:szCs w:val="22"/>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22"/>
                <w:szCs w:val="22"/>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 June 30, 2022 and December 31, 2021</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Condensed Consolidated Statements of Income (Loss) – Three and Six Months Ended June 30, 2022 and 2021</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6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420" w:type="dxa"/>
            <w:vAlign w:val="bottom"/>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Comprehensive Loss – Three and Six Months Ended June 30, 2022 and 2021</w:t>
              </w:r>
            </w:hyperlink>
          </w:p>
        </w:tc>
        <w:tc>
          <w:tcPr>
            <w:tcW w:w="140" w:type="dxa"/>
            <w:vAlign w:val="bottom"/>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6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420" w:type="dxa"/>
            <w:vAlign w:val="bottom"/>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Shareholders’ Equity – Three and Six Months Ended June 30, 2022 and 2021</w:t>
              </w:r>
            </w:hyperlink>
          </w:p>
        </w:tc>
        <w:tc>
          <w:tcPr>
            <w:tcW w:w="140" w:type="dxa"/>
            <w:vAlign w:val="bottom"/>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6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980" w:type="dxa"/>
            <w:vAlign w:val="bottom"/>
            <w:gridSpan w:val="14"/>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 Six Months Ended June 30, 2022 and 2021</w:t>
              </w:r>
            </w:hyperlink>
          </w:p>
        </w:tc>
        <w:tc>
          <w:tcPr>
            <w:tcW w:w="1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6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980" w:type="dxa"/>
            <w:vAlign w:val="bottom"/>
            <w:gridSpan w:val="9"/>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3000" w:type="dxa"/>
            <w:vAlign w:val="bottom"/>
            <w:gridSpan w:val="5"/>
          </w:tcPr>
          <w:p>
            <w:pPr>
              <w:spacing w:after="0"/>
              <w:rPr>
                <w:sz w:val="18"/>
                <w:szCs w:val="18"/>
                <w:color w:val="auto"/>
              </w:rPr>
            </w:pPr>
          </w:p>
        </w:tc>
        <w:tc>
          <w:tcPr>
            <w:tcW w:w="1580" w:type="dxa"/>
            <w:vAlign w:val="bottom"/>
            <w:gridSpan w:val="3"/>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6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6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Quantitative and Qualitative Disclosures About Market Risk</w:t>
              </w:r>
            </w:hyperlink>
          </w:p>
        </w:tc>
        <w:tc>
          <w:tcPr>
            <w:tcW w:w="4220" w:type="dxa"/>
            <w:vAlign w:val="bottom"/>
            <w:gridSpan w:val="6"/>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6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Controls and Procedures</w:t>
              </w:r>
            </w:hyperlink>
          </w:p>
        </w:tc>
        <w:tc>
          <w:tcPr>
            <w:tcW w:w="6800" w:type="dxa"/>
            <w:vAlign w:val="bottom"/>
            <w:gridSpan w:val="10"/>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680" w:type="dxa"/>
            <w:vAlign w:val="bottom"/>
          </w:tcPr>
          <w:p>
            <w:pPr>
              <w:spacing w:after="0"/>
              <w:rPr>
                <w:sz w:val="22"/>
                <w:szCs w:val="22"/>
                <w:color w:val="auto"/>
              </w:rPr>
            </w:pPr>
          </w:p>
        </w:tc>
      </w:tr>
      <w:tr>
        <w:trPr>
          <w:trHeight w:val="263"/>
        </w:trPr>
        <w:tc>
          <w:tcPr>
            <w:tcW w:w="9680" w:type="dxa"/>
            <w:vAlign w:val="bottom"/>
            <w:gridSpan w:val="18"/>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 – OTHER INFORMATION</w:t>
              </w:r>
            </w:hyperlink>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9">
              <w:r>
                <w:rPr>
                  <w:rFonts w:ascii="Arial" w:cs="Arial" w:eastAsia="Arial" w:hAnsi="Arial"/>
                  <w:sz w:val="18"/>
                  <w:szCs w:val="18"/>
                  <w:color w:val="0000FF"/>
                  <w:w w:val="87"/>
                </w:rPr>
                <w:t>Legal Proceedings</w:t>
              </w:r>
            </w:hyperlink>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6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680" w:type="dxa"/>
            <w:vAlign w:val="bottom"/>
          </w:tcPr>
          <w:p>
            <w:pPr>
              <w:spacing w:after="0"/>
              <w:rPr>
                <w:sz w:val="22"/>
                <w:szCs w:val="22"/>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7"/>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Unregistered Sales of Equity Securities and Use of Proceeds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6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Other Information</w:t>
              </w:r>
            </w:hyperlink>
          </w:p>
        </w:tc>
        <w:tc>
          <w:tcPr>
            <w:tcW w:w="3020" w:type="dxa"/>
            <w:vAlign w:val="bottom"/>
            <w:tcBorders>
              <w:top w:val="single" w:sz="8" w:color="0000FF"/>
            </w:tcBorders>
            <w:gridSpan w:val="7"/>
          </w:tcPr>
          <w:p>
            <w:pPr>
              <w:spacing w:after="0"/>
              <w:rPr>
                <w:sz w:val="22"/>
                <w:szCs w:val="22"/>
                <w:color w:val="auto"/>
              </w:rPr>
            </w:pPr>
          </w:p>
        </w:tc>
        <w:tc>
          <w:tcPr>
            <w:tcW w:w="424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6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FF"/>
            </w:tcBorders>
          </w:tcPr>
          <w:p>
            <w:pPr>
              <w:spacing w:after="0"/>
              <w:rPr>
                <w:rFonts w:ascii="Arial" w:cs="Arial" w:eastAsia="Arial" w:hAnsi="Arial"/>
                <w:sz w:val="18"/>
                <w:szCs w:val="18"/>
                <w:color w:val="0000FF"/>
                <w:w w:val="88"/>
              </w:rPr>
            </w:pPr>
            <w:hyperlink w:anchor="page86">
              <w:r>
                <w:rPr>
                  <w:rFonts w:ascii="Arial" w:cs="Arial" w:eastAsia="Arial" w:hAnsi="Arial"/>
                  <w:sz w:val="18"/>
                  <w:szCs w:val="18"/>
                  <w:color w:val="0000FF"/>
                  <w:w w:val="88"/>
                </w:rPr>
                <w:t>Exhibits</w:t>
              </w:r>
            </w:hyperlink>
          </w:p>
        </w:tc>
        <w:tc>
          <w:tcPr>
            <w:tcW w:w="7980" w:type="dxa"/>
            <w:vAlign w:val="bottom"/>
            <w:gridSpan w:val="16"/>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680" w:type="dxa"/>
            <w:vAlign w:val="bottom"/>
          </w:tcPr>
          <w:p>
            <w:pPr>
              <w:spacing w:after="0"/>
              <w:rPr>
                <w:sz w:val="22"/>
                <w:szCs w:val="22"/>
                <w:color w:val="auto"/>
              </w:rPr>
            </w:pPr>
          </w:p>
        </w:tc>
      </w:tr>
      <w:tr>
        <w:trPr>
          <w:trHeight w:val="263"/>
        </w:trPr>
        <w:tc>
          <w:tcPr>
            <w:tcW w:w="1120" w:type="dxa"/>
            <w:vAlign w:val="bottom"/>
            <w:tcBorders>
              <w:bottom w:val="single" w:sz="8" w:color="0000FF"/>
            </w:tcBorders>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SIGNATURES</w:t>
              </w:r>
            </w:hyperlink>
          </w:p>
        </w:tc>
        <w:tc>
          <w:tcPr>
            <w:tcW w:w="8560" w:type="dxa"/>
            <w:vAlign w:val="bottom"/>
            <w:gridSpan w:val="1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c>
          <w:tcPr>
            <w:tcW w:w="680" w:type="dxa"/>
            <w:vAlign w:val="bottom"/>
          </w:tcPr>
          <w:p>
            <w:pPr>
              <w:spacing w:after="0"/>
              <w:rPr>
                <w:sz w:val="22"/>
                <w:szCs w:val="22"/>
                <w:color w:val="auto"/>
              </w:rPr>
            </w:pPr>
          </w:p>
        </w:tc>
      </w:tr>
    </w:tbl>
    <w:p>
      <w:pPr>
        <w:spacing w:after="0" w:line="337" w:lineRule="exact"/>
        <w:rPr>
          <w:sz w:val="20"/>
          <w:szCs w:val="20"/>
          <w:color w:val="auto"/>
        </w:rPr>
      </w:pPr>
    </w:p>
    <w:p>
      <w:pPr>
        <w:ind w:right="80" w:firstLine="445"/>
        <w:spacing w:after="0" w:line="218"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Xywav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(calcium, magnesium, potassium, and sodium oxybates)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for Epidiolex),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2"/>
          <w:szCs w:val="22"/>
          <w:color w:val="auto"/>
          <w:vertAlign w:val="superscript"/>
        </w:rPr>
        <w:t>®</w:t>
      </w:r>
      <w:r>
        <w:rPr>
          <w:rFonts w:ascii="Arial" w:cs="Arial" w:eastAsia="Arial" w:hAnsi="Arial"/>
          <w:sz w:val="17"/>
          <w:szCs w:val="17"/>
          <w:color w:val="auto"/>
        </w:rPr>
        <w:t>,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Zepzelca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(lurbinectedin), 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(recombinant Erwinia asparaginase)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(nabiximols) oral solution. 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563,360</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861,705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1,072,721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2,611,334</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256,837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6,237,959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1,687,648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311,103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40,813</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12,298,639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74,161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100,298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809,303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6,018,943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1,300,541</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116,998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Non-voting euro deferred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redemption reserve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3,312,319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3,534,792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830,226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3,200,781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3,965,191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11,200,133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12,298,639</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928,300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748,340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1,738,137</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1,351,871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932,878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1,746,599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1,359,392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124,208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119,194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239,492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159,383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689,539</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269,028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208,672</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847,332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1,573,504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1,266,863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173,095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156"/>
        </w:trPr>
        <w:tc>
          <w:tcPr>
            <w:tcW w:w="5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Income (loss) before income tax expense (benefit) and equity in loss (gain)</w:t>
            </w:r>
          </w:p>
        </w:tc>
        <w:tc>
          <w:tcPr>
            <w:tcW w:w="3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(136,060)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investees</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246,640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loss (gain) of investees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34,665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(363,316)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36,312</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(241,484)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63,431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59,448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63,171</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(241,484)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(58,523)</w:t>
            </w:r>
          </w:p>
        </w:tc>
        <w:tc>
          <w:tcPr>
            <w:tcW w:w="0" w:type="dxa"/>
            <w:vAlign w:val="bottom"/>
          </w:tcPr>
          <w:p>
            <w:pPr>
              <w:spacing w:after="0"/>
              <w:rPr>
                <w:sz w:val="1"/>
                <w:szCs w:val="1"/>
                <w:color w:val="auto"/>
              </w:rPr>
            </w:pPr>
          </w:p>
        </w:tc>
      </w:tr>
      <w:tr>
        <w:trPr>
          <w:trHeight w:val="175"/>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w w:val="95"/>
              </w:rPr>
              <w:t>Loss on fair value hedging activities reclassified from accumulated other</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comprehensive income (loss) to foreign exchange gain (loss), net of</w:t>
            </w:r>
          </w:p>
        </w:tc>
        <w:tc>
          <w:tcPr>
            <w:tcW w:w="3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income tax benefit of $—, $—, $43 and $—, respectively</w:t>
            </w: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Loss on cash flow hedging activities reclassified from accumulated other</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comprehensive income (loss) to interest expense, net of income tax benefit</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 $167, $— and $333, respectively</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w w:val="95"/>
              </w:rPr>
              <w:t>Unrealized gain (loss) on cash flow hedging activities, net of income tax</w:t>
            </w:r>
          </w:p>
        </w:tc>
        <w:tc>
          <w:tcPr>
            <w:tcW w:w="3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provision (benefit) of $—, $1, $— and ($2), respectively</w:t>
            </w: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Unrealized loss on fair value hedging activities, net of income tax benefit</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 $125, $— and $125, respectively</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(515,309)</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(705,669)</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(298,067)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(400,360)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Cumulative effect adjustment</w:t>
            </w:r>
          </w:p>
        </w:tc>
        <w:tc>
          <w:tcPr>
            <w:tcW w:w="9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(333,524)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127,474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(206,050)</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from adoption of ASU 2020-06</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50,106</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86"/>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62,244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3,239,327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(590,720)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959,347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3,608,487</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16,640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16,640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54,407</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(515,309)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(515,309)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June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62,623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3,312,319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(1,106,029)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993,958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3,200,781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8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7"/>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(45,076)</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56,873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2,694,858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(179,428)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1,281,726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3,797,689</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connection with the acquisition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of GW Pharmaceuticals plc</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Share-based payment -</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precombination service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connection with the acquisition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of GW Pharmaceuticals plc</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w w:val="92"/>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(11,507)</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61,115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3,403,482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(190,935)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918,410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4,131,490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36,312</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(241,484)</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320,550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208,672</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accounting inventory fair value step-up adjustment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65,991</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103,757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82,648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expense (benefit)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171,587</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on disposal of a business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38,010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11,614</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Provision for losses on accounts receivable and inventory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8,742</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non-cash transactions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(34,838)</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(29,402)</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(21,351)</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7,893</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19,309</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56,688</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Income taxes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(21,839)</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liabilities, less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(8,790)</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11,343</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512,015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326,692</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sale of a business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(9,346)</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(26,100)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maturity of investments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1,095,000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a business, net of cash acquired</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(6,234,792)</w:t>
            </w:r>
          </w:p>
        </w:tc>
      </w:tr>
      <w:tr>
        <w:trPr>
          <w:trHeight w:val="21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(126,454)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(5,175,238)</w:t>
            </w:r>
          </w:p>
        </w:tc>
      </w:tr>
      <w:tr>
        <w:trPr>
          <w:trHeight w:val="196"/>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employee equity incentive and purchase plans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102,289</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Share repurchases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employee withholding taxes related to share-based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(27,172)</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(266,518)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(584,268)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issuance of borrowings under credit agreement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3,719,930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Net proceeds from issuance of Senior Secured Notes, due 2029</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1,471,533</w:t>
            </w:r>
          </w:p>
        </w:tc>
      </w:tr>
      <w:tr>
        <w:trPr>
          <w:trHeight w:val="20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(260,034)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4,682,312</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(166,369)</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591,448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1,057,769</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891,400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hanging="327"/>
        <w:spacing w:after="0" w:line="303"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p>
    <w:p>
      <w:pPr>
        <w:spacing w:after="0" w:line="42" w:lineRule="exact"/>
        <w:rPr>
          <w:rFonts w:ascii="Arial" w:cs="Arial" w:eastAsia="Arial" w:hAnsi="Arial"/>
          <w:sz w:val="16"/>
          <w:szCs w:val="16"/>
          <w:color w:val="auto"/>
        </w:rPr>
      </w:pPr>
    </w:p>
    <w:p>
      <w:pPr>
        <w:ind w:left="740" w:right="440" w:hanging="327"/>
        <w:spacing w:after="0" w:line="314"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cataplexy or EDS in</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seven years of age and older with narcolepsy; Jazz also markets Xyrem in Canada for the treatment of cataplexy in patients with narcolepsy. Xyrem is also approved and distributed in the EU, Great Britain and other markets through a licensing agreement;</w:t>
      </w:r>
    </w:p>
    <w:p>
      <w:pPr>
        <w:spacing w:after="0" w:line="33" w:lineRule="exact"/>
        <w:rPr>
          <w:rFonts w:ascii="Arial" w:cs="Arial" w:eastAsia="Arial" w:hAnsi="Arial"/>
          <w:sz w:val="16"/>
          <w:szCs w:val="16"/>
          <w:color w:val="auto"/>
        </w:rPr>
      </w:pPr>
    </w:p>
    <w:p>
      <w:pPr>
        <w:ind w:left="740" w:right="40" w:hanging="327"/>
        <w:spacing w:after="0" w:line="298"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or LGS, Dravet syndrome, or DS, or tuberous sclerosis complex, or TSC, in patients one year of age or older; in the EU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 and</w:t>
      </w:r>
    </w:p>
    <w:p>
      <w:pPr>
        <w:spacing w:after="0" w:line="45" w:lineRule="exact"/>
        <w:rPr>
          <w:rFonts w:ascii="Arial" w:cs="Arial" w:eastAsia="Arial" w:hAnsi="Arial"/>
          <w:sz w:val="16"/>
          <w:szCs w:val="16"/>
          <w:color w:val="auto"/>
        </w:rPr>
      </w:pPr>
    </w:p>
    <w:p>
      <w:pPr>
        <w:ind w:left="740" w:right="200" w:hanging="327"/>
        <w:spacing w:after="0" w:line="281"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Sativex® (nabiximols) oral solution</w:t>
      </w:r>
      <w:r>
        <w:rPr>
          <w:rFonts w:ascii="Arial" w:cs="Arial" w:eastAsia="Arial" w:hAnsi="Arial"/>
          <w:sz w:val="17"/>
          <w:szCs w:val="17"/>
          <w:color w:val="auto"/>
        </w:rPr>
        <w:t>, a product approved and marketed in more than 29 markets outside the U.S. as treatment for symptom</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 Nabiximols is investigational and currently not approved for any indication in the U.S.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20" w:hanging="327"/>
        <w:spacing w:after="0" w:line="261"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under FDA's accelerated approval pathway and launched in the U.S. in</w:t>
      </w:r>
      <w:r>
        <w:rPr>
          <w:rFonts w:ascii="Arial" w:cs="Arial" w:eastAsia="Arial" w:hAnsi="Arial"/>
          <w:sz w:val="18"/>
          <w:szCs w:val="18"/>
          <w:b w:val="1"/>
          <w:bCs w:val="1"/>
          <w:color w:val="auto"/>
        </w:rPr>
        <w:t xml:space="preserve"> </w:t>
      </w:r>
      <w:r>
        <w:rPr>
          <w:rFonts w:ascii="Arial" w:cs="Arial" w:eastAsia="Arial" w:hAnsi="Arial"/>
          <w:sz w:val="18"/>
          <w:szCs w:val="18"/>
          <w:color w:val="auto"/>
        </w:rPr>
        <w:t>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1" w:lineRule="exact"/>
        <w:rPr>
          <w:rFonts w:ascii="Arial" w:cs="Arial" w:eastAsia="Arial" w:hAnsi="Arial"/>
          <w:sz w:val="18"/>
          <w:szCs w:val="18"/>
          <w:color w:val="auto"/>
        </w:rPr>
      </w:pPr>
    </w:p>
    <w:p>
      <w:pPr>
        <w:ind w:left="740" w:right="80" w:hanging="327"/>
        <w:spacing w:after="0" w:line="289"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Rylaze® (recombinant Erwinia asparaginase)</w:t>
      </w:r>
      <w:r>
        <w:rPr>
          <w:rFonts w:ascii="Arial" w:cs="Arial" w:eastAsia="Arial" w:hAnsi="Arial"/>
          <w:sz w:val="17"/>
          <w:szCs w:val="17"/>
          <w:color w:val="auto"/>
        </w:rPr>
        <w:t>, a product approved by FDA in June 2021 and launched in the U.S. in July 2021 for use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component of a multi-agent chemotherapeutic regimen for the treatment of acute lymphoblastic leukemia, or ALL, or lymphoblastic lymphoma, or LBL, in adults and pediatric patients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p>
    <w:p>
      <w:pPr>
        <w:spacing w:after="0" w:line="49" w:lineRule="exact"/>
        <w:rPr>
          <w:rFonts w:ascii="Arial" w:cs="Arial" w:eastAsia="Arial" w:hAnsi="Arial"/>
          <w:sz w:val="17"/>
          <w:szCs w:val="17"/>
          <w:color w:val="auto"/>
        </w:rPr>
      </w:pPr>
    </w:p>
    <w:p>
      <w:pPr>
        <w:ind w:left="740" w:right="260" w:hanging="327"/>
        <w:spacing w:after="0" w:line="303"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Vyxeos® (daunorubicin and cytarabine) liposome for injection</w:t>
      </w:r>
      <w:r>
        <w:rPr>
          <w:rFonts w:ascii="Arial" w:cs="Arial" w:eastAsia="Arial" w:hAnsi="Arial"/>
          <w:sz w:val="16"/>
          <w:szCs w:val="16"/>
          <w:color w:val="auto"/>
        </w:rPr>
        <w:t>, a product approved in the U.S., Canada, EU, Great Britain, Switzerland,</w:t>
      </w:r>
      <w:r>
        <w:rPr>
          <w:rFonts w:ascii="Arial" w:cs="Arial" w:eastAsia="Arial" w:hAnsi="Arial"/>
          <w:sz w:val="16"/>
          <w:szCs w:val="16"/>
          <w:b w:val="1"/>
          <w:bCs w:val="1"/>
          <w:color w:val="auto"/>
        </w:rPr>
        <w:t xml:space="preserve"> </w:t>
      </w:r>
      <w:r>
        <w:rPr>
          <w:rFonts w:ascii="Arial" w:cs="Arial" w:eastAsia="Arial" w:hAnsi="Arial"/>
          <w:sz w:val="16"/>
          <w:szCs w:val="16"/>
          <w:color w:val="auto"/>
        </w:rPr>
        <w:t>Israel and Australia (marketed as Vyxeos® liposomal in the EU, Great Britain, Switzerland and Israel) for the treatment of adults with newly-diagnosed therapy-related acute myeloid leukemia, or t-AML, or AML with myelodysplasia-related changes (AML-MRC). An expanded indication was granted in the U.S. for the treatment of newly diagnosed t-AML or AML-MRC in pediatric patients aged 1 year and older; and</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right="100" w:hanging="327"/>
        <w:spacing w:after="0" w:line="258"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and Brazil for the treatment of hepatic veno-occlusive disease, or VOD,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renal or pulmonary dysfunction following hematopoietic stem cell transplantation, or HSCT, and in Japan for the treatment of hepatic sinusoidal obstruction syndrome (hepatic veno-occlusive disease). It is currently approved in the EU, Great Britain and other markets for the treatment of severe hepatic VOD, also known as sinusoidal obstructive syndrome, or SOS, in HSCT therapy. It is indicated in adults and pediatric patients over 1 month of age.</w:t>
      </w:r>
    </w:p>
    <w:p>
      <w:pPr>
        <w:spacing w:after="0" w:line="79"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w:t>
      </w:r>
    </w:p>
    <w:p>
      <w:pPr>
        <w:spacing w:after="0" w:line="97" w:lineRule="exact"/>
        <w:rPr>
          <w:sz w:val="20"/>
          <w:szCs w:val="20"/>
          <w:color w:val="auto"/>
        </w:rPr>
      </w:pPr>
    </w:p>
    <w:p>
      <w:pPr>
        <w:ind w:right="20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six months ended June 30, 2022 are not necessarily indicative of the results to be expected for the year ending December 31, 2022, for any other interim period or for any future period.</w:t>
      </w:r>
    </w:p>
    <w:p>
      <w:pPr>
        <w:spacing w:after="0" w:line="63" w:lineRule="exact"/>
        <w:rPr>
          <w:sz w:val="20"/>
          <w:szCs w:val="20"/>
          <w:color w:val="auto"/>
        </w:rPr>
      </w:pPr>
    </w:p>
    <w:p>
      <w:pPr>
        <w:ind w:right="100" w:firstLine="445"/>
        <w:spacing w:after="0" w:line="223" w:lineRule="exact"/>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other than as described below.</w:t>
      </w:r>
    </w:p>
    <w:p>
      <w:pPr>
        <w:spacing w:after="0" w:line="95"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In August 2020, the Financial Accounting Standards Board, or FASB, issued ASU No. 2020-06, “Debt—Debt with Conversion and Other Options (Subtopic 470-20) and Derivatives and Hedging— Contracts in Entity’s Own Equity (Subtopic 815-40): Accounting for Convertible Instruments and Contracts in an Entity’s Own Equity”, or ASU 2020-06. ASU 2020-06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The Company adopted ASU 2020-06 on January 1, 2022, on a modified retrospective basis. This impacted the accounting for our 1.50% exchangeable senior notes due 2024, or the 2024 Notes, and our 2.00% exchangeable senior notes due 2026, or the 2026 Notes, collectively known as the Exchangeable Senior Notes. As a result of the adoption of ASU 2020-06, the Exchangeable Senior Notes are now accounted for entirely as liabilities measured at amortized cost. ASU 2020-06 also removes certain settlement conditions that are required for contracts to qualify for equity classification and eliminates the treasury stock method to calculate diluted earnings per share for convertible instruments and requires the use of the if-converted method.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adoption of ASU 2020-06 resulted in the following adjustments to the condensed consolidated balance sheet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Item:</w:t>
            </w: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9"/>
              </w:rPr>
              <w:t>December 31, 2021</w:t>
            </w:r>
          </w:p>
        </w:tc>
        <w:tc>
          <w:tcPr>
            <w:tcW w:w="2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Adoption of ASU</w:t>
            </w:r>
          </w:p>
        </w:tc>
        <w:tc>
          <w:tcPr>
            <w:tcW w:w="4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188"/>
        </w:trPr>
        <w:tc>
          <w:tcPr>
            <w:tcW w:w="6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2020-06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6,018,943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6,225,102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957,700</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3,534,792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(333,524)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3,201,268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Interest expense on the Exchangeable Senior Notes will be lower as a result of adoption of this guidance. During the three and six months ended June 30, 2022 the effect of adoption reduced interest expense, net and increased net income by approximately $12 million and $24 million, respectively, and increased basic and diluted EPS by approximately $0.19 per share and $0.38 per share, respectively. The Exchangeable Senior Notes were determined to be anti-dilutive for the three and six months ended June 30, 2022. The adoption of ASU 2020-06 did not impact our cash flows or compliance with debt covenants.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 xml:space="preserve">We have implemented a comprehensive response strategy designed to manage the ongoing impact of the COVID-19 pandemic on our employees, patients and our business. The prolonged nature of the pandemic is negatively impacting our business in a varied manner due to the emergence of variants with increased transmissibility, even in vaccinated people, including with respect to limited access to health care provider offices and institutions and the willingness of patients or parents of patients to seek treatment. We believe these dynamics have negatively impacted new patient starts in the U.S. and Europe.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6"/>
          <w:szCs w:val="16"/>
          <w:color w:val="212529"/>
        </w:rPr>
        <w:t>we have begun to observe, and expect to continue to observe, a gradual</w:t>
      </w:r>
      <w:r>
        <w:rPr>
          <w:rFonts w:ascii="Arial" w:cs="Arial" w:eastAsia="Arial" w:hAnsi="Arial"/>
          <w:sz w:val="16"/>
          <w:szCs w:val="16"/>
          <w:color w:val="auto"/>
        </w:rPr>
        <w:t xml:space="preserve"> </w:t>
      </w:r>
      <w:r>
        <w:rPr>
          <w:rFonts w:ascii="Arial" w:cs="Arial" w:eastAsia="Arial" w:hAnsi="Arial"/>
          <w:sz w:val="16"/>
          <w:szCs w:val="16"/>
          <w:color w:val="212529"/>
        </w:rPr>
        <w:t xml:space="preserve">normalization in patient and health care provider practices, as providers and patients have adapted their behaviors and procedures to the evolving circumstances and as COVID-19 vaccines continue to be administered. </w:t>
      </w:r>
      <w:r>
        <w:rPr>
          <w:rFonts w:ascii="Arial" w:cs="Arial" w:eastAsia="Arial" w:hAnsi="Arial"/>
          <w:sz w:val="16"/>
          <w:szCs w:val="16"/>
          <w:color w:val="000000"/>
        </w:rPr>
        <w:t>With respect to our commercialization activities, while there continues to be some</w:t>
      </w:r>
      <w:r>
        <w:rPr>
          <w:rFonts w:ascii="Arial" w:cs="Arial" w:eastAsia="Arial" w:hAnsi="Arial"/>
          <w:sz w:val="16"/>
          <w:szCs w:val="16"/>
          <w:color w:val="212529"/>
        </w:rPr>
        <w:t xml:space="preserve"> </w:t>
      </w:r>
      <w:r>
        <w:rPr>
          <w:rFonts w:ascii="Arial" w:cs="Arial" w:eastAsia="Arial" w:hAnsi="Arial"/>
          <w:sz w:val="16"/>
          <w:szCs w:val="16"/>
          <w:color w:val="000000"/>
        </w:rPr>
        <w:t>negative impact on demand, new patient starts and treatments for our products arising from the pandemic, primarily due to the inherent limitations of telemedicine and a reprioritization of healthcare resources toward COVID-19, we have seen improvements as healthcare systems have adapted to cope with the ongoing situation. The extent of the impact on our ability to generate sales of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w:t>
      </w:r>
    </w:p>
    <w:p>
      <w:pPr>
        <w:spacing w:after="0" w:line="66"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Our business has been substantially dependent on Xyrem and while we expect that our business will continue to be substantially dependent on oxybate product sales from both Xyrem and Xywav, there is no guarantee that we can maintain oxybate revenues at or near current levels, or that oxybate revenues will continue to grow. Our ability to maintain or increase oxybate revenues and realize the anticipated benefits from our investment in Xywav are subject to a number of risks and uncertainties including, without limitation, those related to the launch of Xywav for the treatment of IH in adults and adoption in that indication; competition from the near-term introduction of authorized generic and generic versions of sodium oxybate and new products for treatment of cataplexy and/or EDS in narcolepsy in the U.S. market and from other competitors; the current and potential impacts of the COVID-19 pandemic, including the current and expected future negative impact on demand for our products;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 Xyrem, including pending antitrust and intellectual property litigation; and continued acceptance of Xywav and Xyrem by physicians and patients.</w:t>
      </w:r>
    </w:p>
    <w:p>
      <w:pPr>
        <w:spacing w:after="0" w:line="60"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recently approved or acquired products such as Epidiolex, Zepzelca and Rylaze; obtaining and maintaining adequate coverage and reimbursement for our products; contracting and rebates to pharmacy benefit managers that reduces our net revenue; increasing scrutiny of pharmaceutical product pricing and resulting changes in healthcare laws and policy; market acceptance; regulatory concerns with controlled substances generally and the potential for abuse; future legislation, action by the U.S. Drug Enforcement Administration, or DEA, or FDA action authorizing the sale, distribution, use, and insurance reimbursement of non-FDA approved cannabinoid products; delays or problems in the supply of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8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May 2021, we acquired GW. The total consideration paid by us for the entire issued share capital of GW was $7.2 billion. We refer to the acquisition of GW as the GW Acquisition. The success of the GW Acquisition will depend, in part, on our ability to realize the anticipated benefits from our and GW's historical businesses. The anticipated benefits to us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June 30, 2022, we had foreign exchange forward contracts with notional amounts totaling $667.0 million. As of June 30, 2022, the outstanding foreign exchange forward contracts had a net liability fair value of $20.3 million. The counterparties to these contracts are large multinational commercial banks, and we believe the risk of nonperformance is not significant.</w:t>
      </w:r>
    </w:p>
    <w:p>
      <w:pPr>
        <w:spacing w:after="0" w:line="80"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2022 and December 31, 2021, allowances on receivables were not material. As of June 30, 2022, three customers accounted for 74% of gross accounts receivable, Express Scripts Specialty Distribution Services, Inc. and its affiliates, or ESSDS, which accounted for 54% of gross accounts receivable, McKesson Corporation and affiliates, or McKesson, which accounted for 10% of gross accounts receivable, and Cardinal Health, Inc., or Cardinal, which accounted for 10% of gross accounts receivable. As of December 31, 2021, three customers accounted for 74% of gross accounts receivable, ESSDS, which accounted for 52% of gross accounts receivable, McKesson, which accounted for 12% of gross accounts receivable, and Cardinal, which accounted for 10% of gross accounts receivable.</w:t>
      </w:r>
    </w:p>
    <w:p>
      <w:pPr>
        <w:spacing w:after="0" w:line="64"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new guidance is not expected to have a material impact on our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Disposition and License Agreements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Sunosi U.S. Disposition</w:t>
      </w:r>
    </w:p>
    <w:p>
      <w:pPr>
        <w:spacing w:after="0" w:line="117"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March 2022, we entered into a definitive agreement to divest Sunosi to Axsome Therapeutics, or Axsome. In May 2022, we completed the U.S. divestiture of Sunosi and expect to complete the ex-U.S. divestiture later this year. Under the terms of the sale agreement,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w:t>
      </w:r>
    </w:p>
    <w:p>
      <w:pPr>
        <w:spacing w:after="0" w:line="80"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Upon closing, we recognized a loss on disposal of $40.8 million within selling, general and administrative expenses in our condensed consolidated statements of income (loss) for the three and six months ended June 30, 2022. We are accounting for the contingent consideration in the form of the future royalty as it is earned.</w:t>
      </w:r>
    </w:p>
    <w:p>
      <w:pPr>
        <w:spacing w:after="0" w:line="7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We determined that the disposal of Sunosi does not qualify for reporting as a discontinued operation since it does not represent a strategic shift that has or will have a major effect on our operations and financial results.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In the second quarter of 2022, we entered into a licensing agreement with Werewolf Therapeutics, Inc., or Werewolf, to acquire exclusive global development and commercialization rights to Werewolf's investigational WTX-613, now referred to as JZP898. JZP898 is a differentiated, conditionally-activated interferon alpha (IFNα) INDUKINE™ molecule. Under the terms of the agreement, we made an upfront payment of $15.0 million to Werewolf, which was recorded as acquired in-process research and development, or IPR&amp;D, expense in our condensed consolidated statements of income (loss) for the three and six months ended June 30, 2022. Werewolf is eligible to receive development, regulatory and commercial milestone payments of up to $1.26 billion and, if JZP898 is approved, a tiered, mid-single-digit percentage royalty on net sales of JZP898.</w:t>
      </w:r>
    </w:p>
    <w:p>
      <w:pPr>
        <w:spacing w:after="0" w:line="56" w:lineRule="exact"/>
        <w:rPr>
          <w:sz w:val="20"/>
          <w:szCs w:val="20"/>
          <w:color w:val="auto"/>
        </w:rPr>
      </w:pPr>
    </w:p>
    <w:p>
      <w:pPr>
        <w:ind w:right="260" w:firstLine="445"/>
        <w:spacing w:after="0" w:line="293" w:lineRule="auto"/>
        <w:rPr>
          <w:sz w:val="20"/>
          <w:szCs w:val="20"/>
          <w:color w:val="auto"/>
        </w:rPr>
      </w:pPr>
      <w:r>
        <w:rPr>
          <w:rFonts w:ascii="Arial" w:cs="Arial" w:eastAsia="Arial" w:hAnsi="Arial"/>
          <w:sz w:val="16"/>
          <w:szCs w:val="16"/>
          <w:color w:val="auto"/>
        </w:rPr>
        <w:t>In the second quarter of 2022, we entered into a licensing agreement with Sumitomo Pharma Co., Ltd, or Sumitomo, to acquire exclusive development and commercialization rights in the U.S., Europe and other territories for DSP-0187, now referred to as JZP441. JZP441 is a potent, highly selective oral orexin-2 receptor agonist with potential application for the treatment of narcolepsy, IH and other sleep disorders. Under the terms of the agreement, we made an upfront payment of $50.0 million to Sumitomo, which was recorded as acquired IPR&amp;D expense in our condensed consolidated statements of income (loss) for the three and six months ended June 30, 2022. Sumitomo is eligible to receive development, regulatory and commercial milestone payments of up to $1.09 billion and, if JZP441 is approved, a tiered, low double-digit royalty on Jazz's net sales of JZP441.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4"/>
                <w:szCs w:val="14"/>
                <w:b w:val="1"/>
                <w:bCs w:val="1"/>
                <w:color w:val="auto"/>
                <w:w w:val="90"/>
              </w:rPr>
              <w:t>June 30, 2022</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Cash</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Equivalents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771,265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711,265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left="179"/>
              <w:spacing w:after="0"/>
              <w:rPr>
                <w:sz w:val="20"/>
                <w:szCs w:val="20"/>
                <w:color w:val="auto"/>
              </w:rPr>
            </w:pPr>
            <w:r>
              <w:rPr>
                <w:rFonts w:ascii="Arial" w:cs="Arial" w:eastAsia="Arial" w:hAnsi="Arial"/>
                <w:sz w:val="14"/>
                <w:szCs w:val="14"/>
                <w:b w:val="1"/>
                <w:bCs w:val="1"/>
                <w:color w:val="auto"/>
                <w:w w:val="91"/>
              </w:rPr>
              <w:t>December 31, 2021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$0.7 million and $0.9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the three and six months ended June 30, 2022, respectively, and $0.4 million and $1.5 million in the three and six months ended June 30, 2021,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that were measured at fair value on a recurring basis and were categorized using the fair value hierarchy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81,281</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As of June 30, 2022,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Our derivative assets and liabilities include foreign exchange derivatives that are measured at fair value using observable market inputs such as forward rates and based on these inputs, the derivative assets and liabilities are classified within Level 2 of the fair value hierarchy. The cross-currency interest rate swap contract matured on March 31, 2022.</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2022 or 2021.</w:t>
      </w:r>
    </w:p>
    <w:p>
      <w:pPr>
        <w:spacing w:after="0" w:line="117" w:lineRule="exact"/>
        <w:rPr>
          <w:sz w:val="20"/>
          <w:szCs w:val="20"/>
          <w:color w:val="auto"/>
        </w:rPr>
      </w:pPr>
    </w:p>
    <w:p>
      <w:pPr>
        <w:ind w:right="520" w:firstLine="445"/>
        <w:spacing w:after="0" w:line="263" w:lineRule="auto"/>
        <w:rPr>
          <w:sz w:val="20"/>
          <w:szCs w:val="20"/>
          <w:color w:val="auto"/>
        </w:rPr>
      </w:pPr>
      <w:r>
        <w:rPr>
          <w:rFonts w:ascii="Arial" w:cs="Arial" w:eastAsia="Arial" w:hAnsi="Arial"/>
          <w:sz w:val="18"/>
          <w:szCs w:val="18"/>
          <w:color w:val="auto"/>
        </w:rPr>
        <w:t>As of June 30, 2022, the carrying amount of investments measured using the measurement alternative for equity investments without a readily determinable fair value was $5.5 million. The carrying amount, which is recorded within other non-current assets, is based on the latest observable transaction price.</w:t>
      </w:r>
    </w:p>
    <w:p>
      <w:pPr>
        <w:spacing w:after="0" w:line="76" w:lineRule="exact"/>
        <w:rPr>
          <w:sz w:val="20"/>
          <w:szCs w:val="20"/>
          <w:color w:val="auto"/>
        </w:rPr>
      </w:pPr>
    </w:p>
    <w:p>
      <w:pPr>
        <w:jc w:val="both"/>
        <w:ind w:right="160" w:firstLine="445"/>
        <w:spacing w:after="0" w:line="311" w:lineRule="auto"/>
        <w:rPr>
          <w:sz w:val="20"/>
          <w:szCs w:val="20"/>
          <w:color w:val="auto"/>
        </w:rPr>
      </w:pPr>
      <w:r>
        <w:rPr>
          <w:rFonts w:ascii="Arial" w:cs="Arial" w:eastAsia="Arial" w:hAnsi="Arial"/>
          <w:sz w:val="16"/>
          <w:szCs w:val="16"/>
          <w:color w:val="auto"/>
        </w:rPr>
        <w:t>As of June 30, 2022, the estimated fair values of the 2024 Notes, the 2026 Notes, the 4.375% senior secured notes, due 2029, or the Secured Notes, and the seven-year $3.1 billion term loan B facility, or the Dollar Term Loan, were approximately $571 million, $1.2 billion, $1.3 billion and $2.9 billion respectively. The fair values of each of these debt facilities was estimated using quoted market prices obtained from brokers (Level 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79"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In order to hedge our exposure to foreign currency exchange risk associated with our seven-year €625.0 million term loan B facility, or the Euro Term Loan, we entered into a cross-currency interest rate swap contract in May 2021, which matured on March 31, 2022. The terms of this contract converted the principal repayments and interest payments on the Euro Term Loan into U.S. dollars. The carrying amount of the Euro Term Loan and the fair value of the cross-currency interest rate swap</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contract were remeasured on a monthly basis, with changes in the euro to U.S. dollar foreign exchange rates recognized within foreign exchange gain (loss) in the condensed consolidated statements of income (loss).</w:t>
      </w:r>
    </w:p>
    <w:p>
      <w:pPr>
        <w:spacing w:after="0" w:line="6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6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57"/>
        </w:trPr>
        <w:tc>
          <w:tcPr>
            <w:tcW w:w="5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Loss recognized in accumulated other comprehensive income (loss),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gridSpan w:val="3"/>
            <w:vMerge w:val="restart"/>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gridSpan w:val="3"/>
            <w:vMerge w:val="restart"/>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340" w:type="dxa"/>
            <w:vAlign w:val="bottom"/>
            <w:vMerge w:val="continue"/>
            <w:shd w:val="clear" w:color="auto" w:fill="CCEEFF"/>
          </w:tcPr>
          <w:p>
            <w:pPr>
              <w:spacing w:after="0"/>
              <w:rPr>
                <w:sz w:val="19"/>
                <w:szCs w:val="19"/>
                <w:color w:val="auto"/>
              </w:rPr>
            </w:pPr>
          </w:p>
        </w:tc>
        <w:tc>
          <w:tcPr>
            <w:tcW w:w="156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76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0"/>
              </w:rPr>
              <w:t>Loss reclassified from accumulated other comprehensive income (loss)</w:t>
            </w:r>
          </w:p>
        </w:tc>
        <w:tc>
          <w:tcPr>
            <w:tcW w:w="340" w:type="dxa"/>
            <w:vAlign w:val="bottom"/>
          </w:tcPr>
          <w:p>
            <w:pPr>
              <w:spacing w:after="0"/>
              <w:rPr>
                <w:sz w:val="15"/>
                <w:szCs w:val="15"/>
                <w:color w:val="auto"/>
              </w:rPr>
            </w:pPr>
          </w:p>
        </w:tc>
        <w:tc>
          <w:tcPr>
            <w:tcW w:w="1560" w:type="dxa"/>
            <w:vAlign w:val="bottom"/>
            <w:gridSpan w:val="3"/>
            <w:vMerge w:val="restart"/>
          </w:tcPr>
          <w:p>
            <w:pPr>
              <w:ind w:left="8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to foreign exchange gain (loss), net of tax</w:t>
            </w:r>
          </w:p>
        </w:tc>
        <w:tc>
          <w:tcPr>
            <w:tcW w:w="34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3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We also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June 30, 2022 and December 31, 2021, the notional amount of foreign exchange contracts where hedge accounting is not applied was $667.0 million and $347.2 million, respectively.</w:t>
      </w:r>
    </w:p>
    <w:p>
      <w:pPr>
        <w:spacing w:after="0" w:line="80"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foreign exchange gain (losses) in our condensed consolidated statements of income (loss) included the following gains (losses) associated with foreign exchange contracts not designated as hedging instruments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86"/>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gain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r>
    </w:tbl>
    <w:p>
      <w:pPr>
        <w:spacing w:after="0" w:line="175"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cash flow effects of our derivative contracts for the six months ended June 30, 2022 and 2021 are included within net cash provided by operating activities in the condensed consolidated statements of cash flows, except for the settlement of notional amounts of the cross-currency interest rate contract, which are included in net cash provided by (used in) financing activities.</w:t>
      </w:r>
    </w:p>
    <w:p>
      <w:pPr>
        <w:spacing w:after="0" w:line="76"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In May 2021, we repaid the term loan to which these interest rate swap agreements related, at which point the interest rate swap contracts were de-designated as cash flow hedges. The interest rate swap agreements matured in July 2021.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impact on accumulated other comprehensive income (loss) and earnings from interest rate swap contracts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was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Contracts:</w:t>
            </w:r>
          </w:p>
        </w:tc>
        <w:tc>
          <w:tcPr>
            <w:tcW w:w="200" w:type="dxa"/>
            <w:vAlign w:val="bottom"/>
          </w:tcPr>
          <w:p>
            <w:pPr>
              <w:spacing w:after="0"/>
              <w:rPr>
                <w:sz w:val="14"/>
                <w:szCs w:val="1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2021</w:t>
            </w:r>
          </w:p>
        </w:tc>
        <w:tc>
          <w:tcPr>
            <w:tcW w:w="2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recognized in accumulated other comprehensive income (loss), net of tax</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140" w:type="dxa"/>
            <w:vAlign w:val="bottom"/>
          </w:tcPr>
          <w:p>
            <w:pPr>
              <w:spacing w:after="0" w:line="176" w:lineRule="exact"/>
              <w:rPr>
                <w:sz w:val="20"/>
                <w:szCs w:val="20"/>
                <w:color w:val="auto"/>
              </w:rPr>
            </w:pPr>
            <w:r>
              <w:rPr>
                <w:rFonts w:ascii="Arial" w:cs="Arial" w:eastAsia="Arial" w:hAnsi="Arial"/>
                <w:sz w:val="18"/>
                <w:szCs w:val="18"/>
                <w:color w:val="auto"/>
                <w:w w:val="91"/>
              </w:rPr>
              <w:t>Gain reclassified from accumulated other comprehensive income (loss) to interest expense, net of</w:t>
            </w:r>
          </w:p>
        </w:tc>
        <w:tc>
          <w:tcPr>
            <w:tcW w:w="20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7180" w:type="dxa"/>
            <w:vAlign w:val="bottom"/>
            <w:gridSpan w:val="2"/>
          </w:tcPr>
          <w:p>
            <w:pPr>
              <w:jc w:val="right"/>
              <w:ind w:right="1375"/>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Cross-currency interest rate contract</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fair value of derivative liability instruments</w:t>
            </w:r>
          </w:p>
        </w:tc>
        <w:tc>
          <w:tcPr>
            <w:tcW w:w="3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cross-currency interest rate contracts and foreign exchange forward contracts subject to such provisions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9"/>
          </w:tcPr>
          <w:p>
            <w:pPr>
              <w:jc w:val="center"/>
              <w:ind w:right="5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9"/>
          </w:tcPr>
          <w:p>
            <w:pPr>
              <w:jc w:val="center"/>
              <w:ind w:right="5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356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646,647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188,256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861,705</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June 30, 2022 and December 31, 2021 inventories included $606.0 million and $811.3 million, respectively, related to the purchase accounting inventory fair value step-up on inventory acquired in the GW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5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9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9560" w:type="dxa"/>
            <w:vAlign w:val="bottom"/>
            <w:gridSpan w:val="2"/>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r>
      <w:tr>
        <w:trPr>
          <w:trHeight w:val="230"/>
        </w:trPr>
        <w:tc>
          <w:tcPr>
            <w:tcW w:w="9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Goodwill allocated to divestiture of Sunosi </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(12,927)</w:t>
            </w:r>
          </w:p>
        </w:tc>
      </w:tr>
      <w:tr>
        <w:trPr>
          <w:trHeight w:val="229"/>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(127,034)</w:t>
            </w:r>
          </w:p>
        </w:tc>
      </w:tr>
      <w:tr>
        <w:trPr>
          <w:trHeight w:val="223"/>
        </w:trPr>
        <w:tc>
          <w:tcPr>
            <w:tcW w:w="9560" w:type="dxa"/>
            <w:vAlign w:val="bottom"/>
            <w:gridSpan w:val="2"/>
          </w:tcPr>
          <w:p>
            <w:pPr>
              <w:ind w:left="20"/>
              <w:spacing w:after="0"/>
              <w:rPr>
                <w:sz w:val="20"/>
                <w:szCs w:val="20"/>
                <w:color w:val="auto"/>
              </w:rPr>
            </w:pPr>
            <w:r>
              <w:rPr>
                <w:rFonts w:ascii="Arial" w:cs="Arial" w:eastAsia="Arial" w:hAnsi="Arial"/>
                <w:sz w:val="18"/>
                <w:szCs w:val="18"/>
                <w:color w:val="auto"/>
              </w:rPr>
              <w:t>Balance at June 30, 2022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1,687,648</w:t>
            </w:r>
          </w:p>
        </w:tc>
      </w:tr>
      <w:tr>
        <w:trPr>
          <w:trHeight w:val="20"/>
        </w:trPr>
        <w:tc>
          <w:tcPr>
            <w:tcW w:w="12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See Note 2 for further information relating to this divestiture.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7,506,501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(1,407,709)</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6,098,792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8,195,675</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(1,198,333)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7,520,488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(1,421,696)</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6,098,792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8,210,692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Acquired in-process research</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development 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7,659,655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(1,421,696)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6,237,959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8,365,678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decrease in the gross carrying amount of intangible assets as of June 30, 2022 compared to December 31, 2021 primarily reflects the sale of the Sunosi acquired developed technology asset to Axsome and the negative impact of foreign currency translation adjustments due to the weakening of sterling and euro against the U.S. dollar.</w:t>
      </w:r>
    </w:p>
    <w:p>
      <w:pPr>
        <w:spacing w:after="0" w:line="76"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Based on finite-lived intangible assets recorded as of June 30, 2022, and assuming the underlying assets will not be impaired and that we will not change the expected lives of the assets, future amortization expenses were estimated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Estimated 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(remainder)</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285,275</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570,550</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570,550</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570,550</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3,531,317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6,098,792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70,572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69,079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64,008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16,234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342,208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239,523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256,837</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460"/>
              <w:spacing w:after="0"/>
              <w:rPr>
                <w:sz w:val="20"/>
                <w:szCs w:val="20"/>
                <w:color w:val="auto"/>
              </w:rPr>
            </w:pPr>
            <w:r>
              <w:rPr>
                <w:rFonts w:ascii="Arial" w:cs="Arial" w:eastAsia="Arial" w:hAnsi="Arial"/>
                <w:sz w:val="18"/>
                <w:szCs w:val="18"/>
                <w:color w:val="auto"/>
              </w:rPr>
              <w:t>Other current assets consisted of the following (in thousands):</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23"/>
                <w:szCs w:val="23"/>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income taxes on intercompany profit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252,392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Accrued liabilities consisted of the following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23"/>
                <w:szCs w:val="23"/>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158,870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Sales return reserve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Selling and marketing accruals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Inventory-related accruals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milestones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construction-in-progress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24"/>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Unamortized - debt issuance costs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discount - equity component</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w:t>
            </w: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7400" w:type="dxa"/>
            <w:vAlign w:val="bottom"/>
          </w:tcPr>
          <w:p>
            <w:pPr>
              <w:ind w:left="40"/>
              <w:spacing w:after="0"/>
              <w:rPr>
                <w:sz w:val="20"/>
                <w:szCs w:val="20"/>
                <w:color w:val="auto"/>
              </w:rPr>
            </w:pPr>
            <w:r>
              <w:rPr>
                <w:rFonts w:ascii="Arial" w:cs="Arial" w:eastAsia="Arial" w:hAnsi="Arial"/>
                <w:sz w:val="18"/>
                <w:szCs w:val="18"/>
                <w:color w:val="auto"/>
              </w:rPr>
              <w:t>Notes, net</w:t>
            </w: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571,384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503,763</w:t>
            </w:r>
          </w:p>
        </w:tc>
      </w:tr>
      <w:tr>
        <w:trPr>
          <w:trHeight w:val="270"/>
        </w:trPr>
        <w:tc>
          <w:tcPr>
            <w:tcW w:w="380" w:type="dxa"/>
            <w:vAlign w:val="bottom"/>
            <w:shd w:val="clear" w:color="auto" w:fill="CCEEFF"/>
          </w:tcPr>
          <w:p>
            <w:pPr>
              <w:spacing w:after="0"/>
              <w:rPr>
                <w:sz w:val="23"/>
                <w:szCs w:val="23"/>
                <w:color w:val="auto"/>
              </w:rPr>
            </w:pPr>
          </w:p>
        </w:tc>
        <w:tc>
          <w:tcPr>
            <w:tcW w:w="7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7400" w:type="dxa"/>
            <w:vAlign w:val="bottom"/>
          </w:tcPr>
          <w:p>
            <w:pPr>
              <w:ind w:left="40"/>
              <w:spacing w:after="0"/>
              <w:rPr>
                <w:sz w:val="20"/>
                <w:szCs w:val="20"/>
                <w:color w:val="auto"/>
              </w:rPr>
            </w:pPr>
            <w:r>
              <w:rPr>
                <w:rFonts w:ascii="Arial" w:cs="Arial" w:eastAsia="Arial" w:hAnsi="Arial"/>
                <w:sz w:val="18"/>
                <w:szCs w:val="18"/>
                <w:color w:val="auto"/>
              </w:rPr>
              <w:t>Notes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 debt issuance costs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Unamortized discount - equity component</w:t>
            </w: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(139,323)</w:t>
            </w:r>
          </w:p>
        </w:tc>
      </w:tr>
      <w:tr>
        <w:trPr>
          <w:trHeight w:val="223"/>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849,270</w:t>
            </w:r>
          </w:p>
        </w:tc>
      </w:tr>
      <w:tr>
        <w:trPr>
          <w:trHeight w:val="270"/>
        </w:trPr>
        <w:tc>
          <w:tcPr>
            <w:tcW w:w="778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Notes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1,473,810</w:t>
            </w:r>
          </w:p>
        </w:tc>
      </w:tr>
      <w:tr>
        <w:trPr>
          <w:trHeight w:val="270"/>
        </w:trPr>
        <w:tc>
          <w:tcPr>
            <w:tcW w:w="778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7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2,984,809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3,223,100</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6,020,998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6,049,943</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5,989,998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6,018,943</w:t>
            </w:r>
          </w:p>
        </w:tc>
      </w:tr>
      <w:tr>
        <w:trPr>
          <w:trHeight w:val="20"/>
        </w:trPr>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0" w:lineRule="exact"/>
        <w:rPr>
          <w:sz w:val="20"/>
          <w:szCs w:val="20"/>
          <w:color w:val="auto"/>
        </w:rPr>
      </w:pPr>
    </w:p>
    <w:p>
      <w:pPr>
        <w:ind w:right="240" w:firstLine="8"/>
        <w:spacing w:after="0" w:line="284" w:lineRule="auto"/>
        <w:tabs>
          <w:tab w:leader="none" w:pos="229"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May 2021, we entered into a credit agreement that provided for (i) the Dollar Term Loan, (ii) the Euro Term Loan, together with the Dollar Term Loan, collectively known as the Term Loan and (iii) a five-year $500.0 million revolving credit facility. In 2021, we made voluntary prepayments on the Euro Term Loan totaling</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€416.7 million, or $502.0 million, and in March 2022 we repaid the remaining outstanding principal of €208.3 million, or $251.0 million.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2026</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2020, we completed a private placement of $1.0 billion principal amount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adoption of ASU 2020-06, the 2026 Notes are accounted for as a single liability measured at its amortized cost. The total liability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reflected net of issuance costs of $15.3 million which will be amortized over the term of the 2026 Notes. The effective interest rate of the 2026 Notes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 During the three and six months ended June 30, 2022, we recognized interest expense of $5.6 million and $11.1 million, respectively,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and $10.0 million, related to the contractual coupon rate and $0.6 million and $1.1 million, related to the amortization of debt issuance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1 for further information on the adoption of ASU 2020-06.</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2024</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2017, we completed a private placement of $575.0 million principal amount of 2024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79"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300" w:firstLine="445"/>
        <w:spacing w:after="0" w:line="257" w:lineRule="auto"/>
        <w:rPr>
          <w:sz w:val="20"/>
          <w:szCs w:val="20"/>
          <w:color w:val="auto"/>
        </w:rPr>
      </w:pPr>
      <w:r>
        <w:rPr>
          <w:rFonts w:ascii="Arial" w:cs="Arial" w:eastAsia="Arial" w:hAnsi="Arial"/>
          <w:sz w:val="18"/>
          <w:szCs w:val="18"/>
          <w:color w:val="auto"/>
        </w:rPr>
        <w:t>Following adoption of ASU 2020-06, the 2024 Notes are accounted for as a single liability measured at its amortized cost. The total liability is reflected net of issuance costs of $11.4 million which will be amortized over the term of the 2024 Notes. The effective interest rate of the 2024 Notes is 1.79%. During the three and six months ended June 30, 2022, we recognized interest expense of $2.5 million and $5.0 million, respectively, of which $2.1 million and $4.2 million related to the contractual coupon rate and $0.4 million and $0.8 million, related to the amortization of debt issuance costs. Please see Note 1 for further information on the adoption of ASU 2020-06.</w:t>
      </w:r>
    </w:p>
    <w:p>
      <w:pPr>
        <w:spacing w:after="0" w:line="8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Scheduled maturities with respect to our long-term debt principal balances outstanding as of June 30, 2022 were as follows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4,429,500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2022 and December 31, 2021.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right="180" w:firstLine="445"/>
        <w:spacing w:after="0" w:line="277" w:lineRule="auto"/>
        <w:rPr>
          <w:sz w:val="20"/>
          <w:szCs w:val="20"/>
          <w:color w:val="auto"/>
        </w:rPr>
      </w:pPr>
      <w:r>
        <w:rPr>
          <w:rFonts w:ascii="Arial" w:cs="Arial" w:eastAsia="Arial" w:hAnsi="Arial"/>
          <w:sz w:val="18"/>
          <w:szCs w:val="18"/>
          <w:color w:val="auto"/>
        </w:rPr>
        <w:t>As of June 30, 2022, we had $59.1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Class Action</w:t>
      </w:r>
    </w:p>
    <w:p>
      <w:pPr>
        <w:spacing w:after="0" w:line="117"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76"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69"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December 2020, the above cases were centralized and transferred to the United States District Court for the Northern District of California, where the multidistrict litigation will proceed for the purpose of discovery and pre-trial proceedings. In January 2021, the United States District Court for the Northern District of California issued a Case Management Order that schedules this case for trial in February 2023.</w:t>
      </w:r>
    </w:p>
    <w:p>
      <w:pPr>
        <w:spacing w:after="0" w:line="57" w:lineRule="exact"/>
        <w:rPr>
          <w:sz w:val="20"/>
          <w:szCs w:val="20"/>
          <w:color w:val="auto"/>
        </w:rPr>
      </w:pPr>
    </w:p>
    <w:p>
      <w:pPr>
        <w:ind w:right="300" w:firstLine="445"/>
        <w:spacing w:after="0" w:line="275" w:lineRule="auto"/>
        <w:rPr>
          <w:sz w:val="20"/>
          <w:szCs w:val="20"/>
          <w:color w:val="auto"/>
        </w:rPr>
      </w:pPr>
      <w:r>
        <w:rPr>
          <w:rFonts w:ascii="Arial" w:cs="Arial" w:eastAsia="Arial" w:hAnsi="Arial"/>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8"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0" w:firstLine="445"/>
        <w:spacing w:after="0" w:line="311" w:lineRule="auto"/>
        <w:rPr>
          <w:sz w:val="20"/>
          <w:szCs w:val="20"/>
          <w:color w:val="auto"/>
        </w:rPr>
      </w:pPr>
      <w:r>
        <w:rPr>
          <w:rFonts w:ascii="Arial" w:cs="Arial" w:eastAsia="Arial" w:hAnsi="Arial"/>
          <w:sz w:val="16"/>
          <w:szCs w:val="16"/>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41"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On May 9, 2022, Aetna Inc.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 hearing on class certification in the consolidated multi-district litigation referenced above is scheduled for March 2023. A trial date will be set following a ruling on class certification.</w:t>
      </w:r>
    </w:p>
    <w:p>
      <w:pPr>
        <w:spacing w:after="0" w:line="62"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78"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Patent Litigation</w:t>
      </w:r>
    </w:p>
    <w:p>
      <w:pPr>
        <w:spacing w:after="0" w:line="117"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On May 13, 2021, we filed a patent infringement suit against Avadel Pharmaceuticals plc, or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360" w:firstLine="445"/>
        <w:spacing w:after="0" w:line="257" w:lineRule="auto"/>
        <w:rPr>
          <w:sz w:val="20"/>
          <w:szCs w:val="20"/>
          <w:color w:val="auto"/>
        </w:rPr>
      </w:pPr>
      <w:r>
        <w:rPr>
          <w:rFonts w:ascii="Arial" w:cs="Arial" w:eastAsia="Arial" w:hAnsi="Arial"/>
          <w:sz w:val="18"/>
          <w:szCs w:val="18"/>
          <w:color w:val="auto"/>
        </w:rPr>
        <w:t>On November 10, 2021, we filed an additional patent infringement suit against Avadel in the United States District Court for the District of Delaware. The third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w:t>
      </w:r>
    </w:p>
    <w:p>
      <w:pPr>
        <w:spacing w:after="0" w:line="7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w:t>
      </w:r>
    </w:p>
    <w:p>
      <w:pPr>
        <w:spacing w:after="0" w:line="84"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Canopy Patent Litigation</w:t>
      </w:r>
    </w:p>
    <w:p>
      <w:pPr>
        <w:spacing w:after="0" w:line="11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In December 2020, Canopy Growth Corporation filed a complaint against our subsidiary, GW, in the United States District Court for the 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United States District Court for the Western District of Texas held a claim construction hearing regarding the disputed term of the ‘632 patent. In November 2021, the Court issued a claim construction order. On February 23, 2022, the parties filed a Joint Motion and Stipulation to Enter Final Judgment in favor of GW. On February 25, 2022, the Court granted the parties’ motion and entered final judgment in favor of GW. Pursuant to the stipulation, Canopy filed a notice of appeal of the Court’s ruling on the disputed term in March 2022.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Lupin Patent Litigation</w:t>
      </w:r>
    </w:p>
    <w:p>
      <w:pPr>
        <w:spacing w:after="0" w:line="117"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9"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 No trial date has been set in the consolidated case.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Otsuka Patent Litigation</w:t>
      </w:r>
    </w:p>
    <w:p>
      <w:pPr>
        <w:spacing w:after="0" w:line="117"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w:t>
      </w:r>
    </w:p>
    <w:p>
      <w:pPr>
        <w:spacing w:after="0" w:line="63"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In December 2021, GW filed an application contesting the jurisdiction of the Patents Court. On May 3, 2022, the Patents Court denied GW’s application. GW has filed papers with the Court of Appeal seeking leave to challenge the Patents Court’s decision.</w:t>
      </w:r>
    </w:p>
    <w:p>
      <w:pPr>
        <w:spacing w:after="0" w:line="62"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In January 2022, we filed a lawsuit against Otsuka in the Supreme Court of the State of New York, County of New York, seeking a declaration that Otsuka is not entitled to any royalties on sales of Epidiolex under the Research Collaboration and License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accumulated other comprehensive loss as of June 30, 2022 and December 31, 2021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(705,797)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(705,797)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(705,797)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(705,669)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During the six months ended June 30, 2022, other comprehensive loss primarily reflects foreign currency translation adjustments, primarily due to the weakening of the sterling and the euro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Ordinary Share</w:t>
      </w:r>
    </w:p>
    <w:p>
      <w:pPr>
        <w:spacing w:after="0" w:line="121" w:lineRule="exact"/>
        <w:rPr>
          <w:sz w:val="20"/>
          <w:szCs w:val="20"/>
          <w:color w:val="auto"/>
        </w:rPr>
      </w:pPr>
    </w:p>
    <w:p>
      <w:pPr>
        <w:ind w:right="30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tcPr>
          <w:p>
            <w:pPr>
              <w:jc w:val="right"/>
              <w:ind w:right="677"/>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3"/>
              </w:rPr>
              <w:t>34,665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(363,316)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36,312</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(241,484)</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8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3"/>
              </w:rPr>
              <w:t>62,436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62,152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w w:val="99"/>
              </w:rPr>
              <w:t>Dilutive effect of employee equity incentive and purchase plans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color w:val="auto"/>
                <w:w w:val="96"/>
              </w:rPr>
              <w:t>Weighted-average ordinary shares used in per share calculations -</w:t>
            </w:r>
          </w:p>
        </w:tc>
        <w:tc>
          <w:tcPr>
            <w:tcW w:w="8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3"/>
              </w:rPr>
              <w:t>63,431</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59,448</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63,171</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77"/>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are determined by applying the treasury stock method to the assumed exercise of share options, the assumed vesting of outstanding Restricted Stock Units, or RSUs, and Performance-based restricted stock units, or PRSUs,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The potential issue of ordinary shares upon exchange of the Exchangeable Senior Notes was anti-dilutive and had no impact on diluted net income per ordinary share for the three and six months ended June 30, 2022.</w:t>
      </w:r>
    </w:p>
    <w:p>
      <w:pPr>
        <w:spacing w:after="0" w:line="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821"/>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left="82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496"/>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9,044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10,139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9,044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2,041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669,732</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199,580</w:t>
            </w:r>
          </w:p>
        </w:tc>
      </w:tr>
      <w:tr>
        <w:trPr>
          <w:trHeight w:val="223"/>
        </w:trPr>
        <w:tc>
          <w:tcPr>
            <w:tcW w:w="5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869,312</w:t>
            </w: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Epidiolex/Epidyolex</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175,289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333,182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109,481</w:t>
            </w: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r>
      <w:tr>
        <w:trPr>
          <w:trHeight w:val="230"/>
        </w:trPr>
        <w:tc>
          <w:tcPr>
            <w:tcW w:w="51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Sativex</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1,004,484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Zepzelca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110,258</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Vyxeos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64,608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69,382</w:t>
            </w:r>
          </w:p>
        </w:tc>
      </w:tr>
      <w:tr>
        <w:trPr>
          <w:trHeight w:val="223"/>
        </w:trPr>
        <w:tc>
          <w:tcPr>
            <w:tcW w:w="5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229,825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426,629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341,963</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w:t>
            </w: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1,351,871</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1,359,392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product sales for Epidiolex/Epidyolex and Sativex are included from the acquisition of GW on May 5, 2021.</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product sales for Sunosi U.S. are included until the date of divestment to Axsome of May 9, 2022.</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1,239,192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94,503</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25,697</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932,878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1,746,599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1,359,392</w:t>
            </w: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3"/>
          </w:tcPr>
          <w:p>
            <w:pPr>
              <w:jc w:val="center"/>
              <w:ind w:left="861"/>
              <w:spacing w:after="0"/>
              <w:rPr>
                <w:sz w:val="20"/>
                <w:szCs w:val="20"/>
                <w:color w:val="auto"/>
              </w:rPr>
            </w:pPr>
            <w:r>
              <w:rPr>
                <w:rFonts w:ascii="Arial" w:cs="Arial" w:eastAsia="Arial" w:hAnsi="Arial"/>
                <w:sz w:val="14"/>
                <w:szCs w:val="14"/>
                <w:b w:val="1"/>
                <w:bCs w:val="1"/>
                <w:color w:val="auto"/>
                <w:w w:val="92"/>
              </w:rPr>
              <w:t>Six Months Ended</w:t>
            </w:r>
          </w:p>
        </w:tc>
        <w:tc>
          <w:tcPr>
            <w:tcW w:w="94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49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r>
    </w:tbl>
    <w:p>
      <w:pPr>
        <w:spacing w:after="0" w:line="3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The deferred revenue balance as of June 30, 2022 primarily related to deferred upfront fees received from Nippon Shinyaku Co., Ltd., or Nippon Shinyaku, in connection with two license, development and commercialization agreements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granting Nippon Shinyaku exclusive rights to develop and commercialize each of Defitelio and Vyxeos in Japan. We recognized contract revenues of $0.5 million and $1.0 million during the three and six months ended June 30, 2022, respectively, relating to these upfront payments. The deferred revenue balances are being recognized over an average of four years representing the period over which we expect to perform our research and developments obligations under each agreement.</w:t>
      </w:r>
    </w:p>
    <w:p>
      <w:pPr>
        <w:spacing w:after="0" w:line="79"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six months ended June 30, 2022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3"/>
              </w:rPr>
              <w:t>2,556</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1"/>
              </w:rPr>
              <w:t>(1,047)</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3"/>
              </w:rPr>
              <w:t>1,509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36,233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58,179</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14,902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53,687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48,163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103,757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82,648</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(8,178)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86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42,547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39,985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67,717</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jc w:val="both"/>
        <w:ind w:right="540" w:firstLine="445"/>
        <w:spacing w:after="0" w:line="286" w:lineRule="auto"/>
        <w:rPr>
          <w:sz w:val="20"/>
          <w:szCs w:val="20"/>
          <w:color w:val="auto"/>
        </w:rPr>
      </w:pPr>
      <w:r>
        <w:rPr>
          <w:rFonts w:ascii="Arial" w:cs="Arial" w:eastAsia="Arial" w:hAnsi="Arial"/>
          <w:sz w:val="17"/>
          <w:szCs w:val="17"/>
          <w:color w:val="auto"/>
        </w:rPr>
        <w:t>There were no share options granted in the three and six months ended June 30, 2022. The table below shows the number of shares underlying options granted to purchase our ordinary shares, the weighted-average assumptions used in the Black-Scholes option pricing model and the resulting weighted-average grant date fair value of share options granted for the three and six months ended June 30,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49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2021</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30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3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51.39</w:t>
            </w:r>
          </w:p>
        </w:tc>
        <w:tc>
          <w:tcPr>
            <w:tcW w:w="2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(years)</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Range of risk-free rates</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0.4-0.8%</w:t>
            </w:r>
          </w:p>
        </w:tc>
        <w:tc>
          <w:tcPr>
            <w:tcW w:w="2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864"/>
        </w:trPr>
        <w:tc>
          <w:tcPr>
            <w:tcW w:w="4980" w:type="dxa"/>
            <w:vAlign w:val="bottom"/>
          </w:tcPr>
          <w:p>
            <w:pPr>
              <w:spacing w:after="0"/>
              <w:rPr>
                <w:sz w:val="24"/>
                <w:szCs w:val="24"/>
                <w:color w:val="auto"/>
              </w:rPr>
            </w:pPr>
          </w:p>
        </w:tc>
        <w:tc>
          <w:tcPr>
            <w:tcW w:w="3020" w:type="dxa"/>
            <w:vAlign w:val="bottom"/>
          </w:tcPr>
          <w:p>
            <w:pPr>
              <w:jc w:val="right"/>
              <w:ind w:right="21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Nominal Strike Price Options</w:t>
      </w:r>
    </w:p>
    <w:p>
      <w:pPr>
        <w:spacing w:after="0" w:line="117" w:lineRule="exact"/>
        <w:rPr>
          <w:sz w:val="20"/>
          <w:szCs w:val="20"/>
          <w:color w:val="auto"/>
        </w:rPr>
      </w:pPr>
    </w:p>
    <w:p>
      <w:pPr>
        <w:ind w:right="180" w:firstLine="445"/>
        <w:spacing w:after="0" w:line="308" w:lineRule="auto"/>
        <w:rPr>
          <w:sz w:val="20"/>
          <w:szCs w:val="20"/>
          <w:color w:val="auto"/>
        </w:rPr>
      </w:pPr>
      <w:r>
        <w:rPr>
          <w:rFonts w:ascii="Arial" w:cs="Arial" w:eastAsia="Arial" w:hAnsi="Arial"/>
          <w:sz w:val="17"/>
          <w:szCs w:val="17"/>
          <w:color w:val="auto"/>
        </w:rPr>
        <w:t>During the second quarter of 2021, we issued nominal strike price share options to replace certain unvested GW awards in connection with the GW Acquisition. There were no nominal strike price share options granted in the three and six months ended June 30, 2022.</w:t>
      </w:r>
    </w:p>
    <w:p>
      <w:pPr>
        <w:spacing w:after="0" w:line="38"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table below shows the number of nominal strike price options granted covering an equal number of our ordinary shares and the weighted-average grant date fair value: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and Six Months</w:t>
            </w:r>
          </w:p>
        </w:tc>
      </w:tr>
      <w:tr>
        <w:trPr>
          <w:trHeight w:val="135"/>
        </w:trPr>
        <w:tc>
          <w:tcPr>
            <w:tcW w:w="9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88"/>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June 30, 2021</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Nominal strike price share options granted (in thousands)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170.82</w:t>
            </w: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right="10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153.29</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170.55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152.40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170.05</w:t>
            </w:r>
          </w:p>
        </w:tc>
      </w:tr>
    </w:tbl>
    <w:p>
      <w:pPr>
        <w:spacing w:after="0" w:line="18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2023 and December 31, 2024, respectively. Following the determination of the Company’s achievement with respect to the performance criteria, the amount of shares awarded will be subject to adjustment based on the application of a relative total shareholder return, or TSR modifier. The number of shares that may be earned ranges between 0% and 200% of the target number of PRSUs granted based on the degree of achievement of the applicable performance metric and the application of the relative TSR modifier.</w:t>
      </w:r>
    </w:p>
    <w:p>
      <w:pPr>
        <w:spacing w:after="0" w:line="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174.69</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190.81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179.12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190.81</w:t>
            </w:r>
          </w:p>
        </w:tc>
      </w:tr>
    </w:tbl>
    <w:p>
      <w:pPr>
        <w:spacing w:after="0" w:line="187" w:lineRule="exact"/>
        <w:rPr>
          <w:sz w:val="20"/>
          <w:szCs w:val="20"/>
          <w:color w:val="auto"/>
        </w:rPr>
      </w:pPr>
    </w:p>
    <w:p>
      <w:pPr>
        <w:ind w:right="400" w:firstLine="445"/>
        <w:spacing w:after="0" w:line="286" w:lineRule="auto"/>
        <w:rPr>
          <w:sz w:val="20"/>
          <w:szCs w:val="20"/>
          <w:color w:val="auto"/>
        </w:rPr>
      </w:pPr>
      <w:r>
        <w:rPr>
          <w:rFonts w:ascii="Arial" w:cs="Arial" w:eastAsia="Arial" w:hAnsi="Arial"/>
          <w:sz w:val="17"/>
          <w:szCs w:val="17"/>
          <w:color w:val="auto"/>
        </w:rPr>
        <w:t>As the PRSUs granted in 2021 and 2022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w:t>
      </w:r>
    </w:p>
    <w:p>
      <w:pPr>
        <w:spacing w:after="0" w:line="57"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As of June 30, 2022, compensation cost not yet recognized related to unvested share options, RSUs and PRSUs was $23.1 million, $377.0 million and $50.4 million, respectively, which is expected to be recognized over a weighted-average period of 1.4 years, 3.0 years and 2.1 years,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Our income tax benefit was $16.1 million and $15.6 million for the three and six months ended June 30, 2022, respectively, compared to an income tax expense of $228.6 million and $246.6 million for the same periods in 2021. Our income tax expense for the three and six months ended June 30, 2021 included an expense of $251.4 million arising on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remeasurement of our U.K. net deferred tax liability, which arose primarily in relation to the GW Acquisition, due to a change in the statutory rate in the U.K. following enactment of the U.K. Finance Act 2021. Excluding this impact, the increase in the income tax benefit resulted primarily from the mix of pre-tax income and losses incurred across tax jurisdictions. We do not provide for Irish income taxes on undistributed earnings of our foreign operations that are intended to be indefinitely reinvested in our foreign subsidiaries.</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the U.S. (both at the federal level and in various state jurisdictions) and the U.K. In Ireland we are no longer subject to income tax audits by taxing authorities for the years prior to 2017. The U.S. jurisdictions generally have statute of limitations three to four years from the later of the return due date or the date when the return was filed. However, in the U.S. (at the federal level and in most states), carryforwards that were generated in 2017 and earlier may still be adjusted upon examination by the tax authorities. In the U.K., we are no longer subject to income tax audits by taxing authorities for the years prior to 2018. Certain of our Luxembourg subsidiaries are currently under examination by the Luxembourg taxing authorities for the years ended December 31, 2017 and 2018. Certain of our German subsidiaries are currently under examination by the German taxing authorities for the years ended 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18" w:lineRule="exact"/>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4"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At the 40th Annual J.P. Morgan Healthcare Conference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Commercial Achievements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products are approved in countries around the world to improve patient care.</w:t>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Product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NEUROSCIENCE</w:t>
      </w:r>
    </w:p>
    <w:p>
      <w:pPr>
        <w:spacing w:after="0" w:line="200" w:lineRule="exact"/>
        <w:rPr>
          <w:sz w:val="20"/>
          <w:szCs w:val="20"/>
          <w:color w:val="auto"/>
        </w:rPr>
      </w:pPr>
    </w:p>
    <w:p>
      <w:pPr>
        <w:spacing w:after="0" w:line="248" w:lineRule="exact"/>
        <w:rPr>
          <w:sz w:val="20"/>
          <w:szCs w:val="20"/>
          <w:color w:val="auto"/>
        </w:rPr>
      </w:pPr>
    </w:p>
    <w:p>
      <w:pPr>
        <w:ind w:left="20"/>
        <w:spacing w:after="0" w:line="238" w:lineRule="auto"/>
        <w:rPr>
          <w:sz w:val="20"/>
          <w:szCs w:val="20"/>
          <w:color w:val="auto"/>
        </w:rPr>
      </w:pPr>
      <w:r>
        <w:rPr>
          <w:rFonts w:ascii="Arial" w:cs="Arial" w:eastAsia="Arial" w:hAnsi="Arial"/>
          <w:sz w:val="16"/>
          <w:szCs w:val="16"/>
          <w:color w:val="auto"/>
        </w:rPr>
        <w:t>Xywav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(calcium, magnesium, potassium, and sodium oxybates)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1660" w:type="dxa"/>
            <w:vAlign w:val="bottom"/>
          </w:tcPr>
          <w:p>
            <w:pPr>
              <w:spacing w:after="0"/>
              <w:rPr>
                <w:sz w:val="20"/>
                <w:szCs w:val="20"/>
                <w:color w:val="auto"/>
              </w:rPr>
            </w:pPr>
            <w:r>
              <w:rPr>
                <w:rFonts w:ascii="Arial" w:cs="Arial" w:eastAsia="Arial" w:hAnsi="Arial"/>
                <w:sz w:val="18"/>
                <w:szCs w:val="18"/>
                <w:b w:val="1"/>
                <w:bCs w:val="1"/>
                <w:color w:val="auto"/>
                <w:w w:val="94"/>
              </w:rPr>
              <w:t>Initial Approval Date</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cataplexy or excessive daytime</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July 2020</w:t>
            </w:r>
          </w:p>
        </w:tc>
        <w:tc>
          <w:tcPr>
            <w:tcW w:w="0" w:type="dxa"/>
            <w:vAlign w:val="bottom"/>
          </w:tcPr>
          <w:p>
            <w:pPr>
              <w:spacing w:after="0"/>
              <w:rPr>
                <w:sz w:val="1"/>
                <w:szCs w:val="1"/>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0"/>
              </w:rPr>
              <w:t>sleepiness, or EDS, in patients seven years of age</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and older with narcolepsy.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idiopathic hypersomnia, or IH, in</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August 2021</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adults.</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-958215</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41" w:lineRule="exact"/>
        <w:rPr>
          <w:sz w:val="20"/>
          <w:szCs w:val="20"/>
          <w:color w:val="auto"/>
        </w:rPr>
      </w:pPr>
    </w:p>
    <w:p>
      <w:pPr>
        <w:sectPr>
          <w:pgSz w:w="11900" w:h="16838" w:orient="portrait"/>
          <w:cols w:equalWidth="0" w:num="3">
            <w:col w:w="2420" w:space="400"/>
            <w:col w:w="5340" w:space="70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380" w:type="dxa"/>
            <w:vAlign w:val="bottom"/>
            <w:shd w:val="clear" w:color="auto" w:fill="CCEEFF"/>
          </w:tcPr>
          <w:p>
            <w:pPr>
              <w:spacing w:after="0"/>
              <w:rPr>
                <w:sz w:val="19"/>
                <w:szCs w:val="19"/>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Treatment of cataplexy or EDS in patients seven</w:t>
            </w:r>
          </w:p>
        </w:tc>
        <w:tc>
          <w:tcPr>
            <w:tcW w:w="17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July 2002</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14"/>
                <w:szCs w:val="14"/>
                <w:color w:val="auto"/>
              </w:rPr>
            </w:pPr>
          </w:p>
        </w:tc>
        <w:tc>
          <w:tcPr>
            <w:tcW w:w="402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years of age and older with narcolepsy.</w:t>
            </w:r>
          </w:p>
        </w:tc>
        <w:tc>
          <w:tcPr>
            <w:tcW w:w="1780" w:type="dxa"/>
            <w:vAlign w:val="bottom"/>
            <w:vMerge w:val="continue"/>
            <w:shd w:val="clear" w:color="auto" w:fill="CCEEFF"/>
          </w:tcPr>
          <w:p>
            <w:pPr>
              <w:spacing w:after="0"/>
              <w:rPr>
                <w:sz w:val="14"/>
                <w:szCs w:val="14"/>
                <w:color w:val="auto"/>
              </w:rPr>
            </w:pPr>
          </w:p>
        </w:tc>
        <w:tc>
          <w:tcPr>
            <w:tcW w:w="30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380" w:type="dxa"/>
            <w:vAlign w:val="bottom"/>
            <w:shd w:val="clear" w:color="auto" w:fill="CCEEFF"/>
          </w:tcPr>
          <w:p>
            <w:pPr>
              <w:spacing w:after="0"/>
              <w:rPr>
                <w:sz w:val="5"/>
                <w:szCs w:val="5"/>
                <w:color w:val="auto"/>
              </w:rPr>
            </w:pPr>
          </w:p>
        </w:tc>
        <w:tc>
          <w:tcPr>
            <w:tcW w:w="4020" w:type="dxa"/>
            <w:vAlign w:val="bottom"/>
            <w:vMerge w:val="continue"/>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30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For the treatment of cataplexy in patients with</w:t>
            </w: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2005</w:t>
            </w: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380" w:type="dxa"/>
            <w:vAlign w:val="bottom"/>
            <w:vMerge w:val="continue"/>
            <w:shd w:val="clear" w:color="auto" w:fill="CCEEFF"/>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narcolepsy.</w:t>
            </w:r>
          </w:p>
        </w:tc>
        <w:tc>
          <w:tcPr>
            <w:tcW w:w="178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380" w:type="dxa"/>
            <w:vAlign w:val="bottom"/>
            <w:shd w:val="clear" w:color="auto" w:fill="CCEEFF"/>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Treatment of narcolepsy with cataplexy in adult</w:t>
            </w:r>
          </w:p>
        </w:tc>
        <w:tc>
          <w:tcPr>
            <w:tcW w:w="1780" w:type="dxa"/>
            <w:vAlign w:val="bottom"/>
            <w:shd w:val="clear" w:color="auto" w:fill="CCEEFF"/>
          </w:tcPr>
          <w:p>
            <w:pPr>
              <w:spacing w:after="0"/>
              <w:rPr>
                <w:sz w:val="24"/>
                <w:szCs w:val="24"/>
                <w:color w:val="auto"/>
              </w:rPr>
            </w:pP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EU, Great Britain,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spacing w:after="0"/>
              <w:rPr>
                <w:sz w:val="9"/>
                <w:szCs w:val="9"/>
                <w:color w:val="auto"/>
              </w:rPr>
            </w:pPr>
          </w:p>
        </w:tc>
        <w:tc>
          <w:tcPr>
            <w:tcW w:w="4020" w:type="dxa"/>
            <w:vAlign w:val="bottom"/>
            <w:vMerge w:val="restart"/>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patients, adolescents and children from age of 7</w:t>
            </w:r>
          </w:p>
        </w:tc>
        <w:tc>
          <w:tcPr>
            <w:tcW w:w="1780" w:type="dxa"/>
            <w:vAlign w:val="bottom"/>
            <w:shd w:val="clear" w:color="auto" w:fill="CCEEFF"/>
          </w:tcPr>
          <w:p>
            <w:pPr>
              <w:spacing w:after="0"/>
              <w:rPr>
                <w:sz w:val="9"/>
                <w:szCs w:val="9"/>
                <w:color w:val="auto"/>
              </w:rPr>
            </w:pPr>
          </w:p>
        </w:tc>
        <w:tc>
          <w:tcPr>
            <w:tcW w:w="304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4020" w:type="dxa"/>
            <w:vAlign w:val="bottom"/>
            <w:vMerge w:val="continue"/>
            <w:shd w:val="clear" w:color="auto" w:fill="CCEEFF"/>
          </w:tcPr>
          <w:p>
            <w:pPr>
              <w:spacing w:after="0"/>
              <w:rPr>
                <w:sz w:val="6"/>
                <w:szCs w:val="6"/>
                <w:color w:val="auto"/>
              </w:rPr>
            </w:pPr>
          </w:p>
        </w:tc>
        <w:tc>
          <w:tcPr>
            <w:tcW w:w="1780" w:type="dxa"/>
            <w:vAlign w:val="bottom"/>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October 2005</w:t>
            </w:r>
          </w:p>
        </w:tc>
        <w:tc>
          <w:tcPr>
            <w:tcW w:w="3040" w:type="dxa"/>
            <w:vAlign w:val="bottom"/>
            <w:vMerge w:val="restart"/>
            <w:shd w:val="clear" w:color="auto" w:fill="CCEEFF"/>
          </w:tcPr>
          <w:p>
            <w:pPr>
              <w:ind w:left="680"/>
              <w:spacing w:after="0" w:line="176" w:lineRule="exact"/>
              <w:rPr>
                <w:sz w:val="20"/>
                <w:szCs w:val="20"/>
                <w:color w:val="auto"/>
              </w:rPr>
            </w:pPr>
            <w:r>
              <w:rPr>
                <w:rFonts w:ascii="Arial" w:cs="Arial" w:eastAsia="Arial" w:hAnsi="Arial"/>
                <w:sz w:val="18"/>
                <w:szCs w:val="18"/>
                <w:color w:val="auto"/>
              </w:rPr>
              <w:t>markets (through licensing</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380" w:type="dxa"/>
            <w:vAlign w:val="bottom"/>
            <w:shd w:val="clear" w:color="auto" w:fill="CCEEFF"/>
          </w:tcPr>
          <w:p>
            <w:pPr>
              <w:spacing w:after="0"/>
              <w:rPr>
                <w:sz w:val="8"/>
                <w:szCs w:val="8"/>
                <w:color w:val="auto"/>
              </w:rPr>
            </w:pPr>
          </w:p>
        </w:tc>
        <w:tc>
          <w:tcPr>
            <w:tcW w:w="402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years.</w:t>
            </w:r>
          </w:p>
        </w:tc>
        <w:tc>
          <w:tcPr>
            <w:tcW w:w="1780" w:type="dxa"/>
            <w:vAlign w:val="bottom"/>
            <w:vMerge w:val="continue"/>
            <w:shd w:val="clear" w:color="auto" w:fill="CCEEFF"/>
          </w:tcPr>
          <w:p>
            <w:pPr>
              <w:spacing w:after="0"/>
              <w:rPr>
                <w:sz w:val="8"/>
                <w:szCs w:val="8"/>
                <w:color w:val="auto"/>
              </w:rPr>
            </w:pPr>
          </w:p>
        </w:tc>
        <w:tc>
          <w:tcPr>
            <w:tcW w:w="304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rPr>
                <w:sz w:val="11"/>
                <w:szCs w:val="11"/>
                <w:color w:val="auto"/>
              </w:rPr>
            </w:pPr>
          </w:p>
        </w:tc>
        <w:tc>
          <w:tcPr>
            <w:tcW w:w="4020" w:type="dxa"/>
            <w:vAlign w:val="bottom"/>
            <w:vMerge w:val="continue"/>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agreement)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80" w:type="dxa"/>
            <w:vAlign w:val="bottom"/>
            <w:shd w:val="clear" w:color="auto" w:fill="CCEEFF"/>
          </w:tcPr>
          <w:p>
            <w:pPr>
              <w:spacing w:after="0"/>
              <w:rPr>
                <w:sz w:val="8"/>
                <w:szCs w:val="8"/>
                <w:color w:val="auto"/>
              </w:rPr>
            </w:pPr>
          </w:p>
        </w:tc>
        <w:tc>
          <w:tcPr>
            <w:tcW w:w="402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304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0"/>
        </w:trPr>
        <w:tc>
          <w:tcPr>
            <w:tcW w:w="2380" w:type="dxa"/>
            <w:vAlign w:val="bottom"/>
          </w:tcPr>
          <w:p>
            <w:pPr>
              <w:spacing w:after="0"/>
              <w:rPr>
                <w:sz w:val="24"/>
                <w:szCs w:val="24"/>
                <w:color w:val="auto"/>
              </w:rPr>
            </w:pPr>
          </w:p>
        </w:tc>
        <w:tc>
          <w:tcPr>
            <w:tcW w:w="4020" w:type="dxa"/>
            <w:vAlign w:val="bottom"/>
          </w:tcPr>
          <w:p>
            <w:pPr>
              <w:ind w:left="3160"/>
              <w:spacing w:after="0"/>
              <w:rPr>
                <w:sz w:val="20"/>
                <w:szCs w:val="20"/>
                <w:color w:val="auto"/>
              </w:rPr>
            </w:pPr>
            <w:r>
              <w:rPr>
                <w:rFonts w:ascii="Arial" w:cs="Arial" w:eastAsia="Arial" w:hAnsi="Arial"/>
                <w:sz w:val="18"/>
                <w:szCs w:val="18"/>
                <w:color w:val="auto"/>
              </w:rPr>
              <w:t>31</w:t>
            </w:r>
          </w:p>
        </w:tc>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8"/>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Epidiolex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tc>
        <w:tc>
          <w:tcPr>
            <w:tcW w:w="4100" w:type="dxa"/>
            <w:vAlign w:val="bottom"/>
          </w:tcPr>
          <w:p>
            <w:pPr>
              <w:ind w:left="500"/>
              <w:spacing w:after="0"/>
              <w:rPr>
                <w:sz w:val="20"/>
                <w:szCs w:val="20"/>
                <w:color w:val="auto"/>
              </w:rPr>
            </w:pPr>
            <w:r>
              <w:rPr>
                <w:rFonts w:ascii="Arial" w:cs="Arial" w:eastAsia="Arial" w:hAnsi="Arial"/>
                <w:sz w:val="18"/>
                <w:szCs w:val="18"/>
                <w:color w:val="auto"/>
                <w:w w:val="96"/>
              </w:rPr>
              <w:t>Treatment of seizures associated with Lennox-</w:t>
            </w:r>
          </w:p>
        </w:tc>
        <w:tc>
          <w:tcPr>
            <w:tcW w:w="2760" w:type="dxa"/>
            <w:vAlign w:val="bottom"/>
            <w:vMerge w:val="restart"/>
          </w:tcPr>
          <w:p>
            <w:pPr>
              <w:ind w:left="2440"/>
              <w:spacing w:after="0"/>
              <w:rPr>
                <w:sz w:val="20"/>
                <w:szCs w:val="20"/>
                <w:color w:val="auto"/>
              </w:rPr>
            </w:pPr>
            <w:r>
              <w:rPr>
                <w:rFonts w:ascii="Arial" w:cs="Arial" w:eastAsia="Arial" w:hAnsi="Arial"/>
                <w:sz w:val="18"/>
                <w:szCs w:val="18"/>
                <w:color w:val="auto"/>
                <w:w w:val="85"/>
              </w:rPr>
              <w:t>U.S.</w:t>
            </w:r>
          </w:p>
        </w:tc>
        <w:tc>
          <w:tcPr>
            <w:tcW w:w="0" w:type="dxa"/>
            <w:vAlign w:val="bottom"/>
          </w:tcPr>
          <w:p>
            <w:pPr>
              <w:spacing w:after="0"/>
              <w:rPr>
                <w:sz w:val="1"/>
                <w:szCs w:val="1"/>
                <w:color w:val="auto"/>
              </w:rPr>
            </w:pPr>
          </w:p>
        </w:tc>
      </w:tr>
      <w:tr>
        <w:trPr>
          <w:trHeight w:val="82"/>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100" w:type="dxa"/>
            <w:vAlign w:val="bottom"/>
            <w:vMerge w:val="restart"/>
          </w:tcPr>
          <w:p>
            <w:pPr>
              <w:ind w:left="500"/>
              <w:spacing w:after="0" w:line="205" w:lineRule="exact"/>
              <w:rPr>
                <w:sz w:val="20"/>
                <w:szCs w:val="20"/>
                <w:color w:val="auto"/>
              </w:rPr>
            </w:pPr>
            <w:r>
              <w:rPr>
                <w:rFonts w:ascii="Arial" w:cs="Arial" w:eastAsia="Arial" w:hAnsi="Arial"/>
                <w:sz w:val="18"/>
                <w:szCs w:val="18"/>
                <w:color w:val="auto"/>
                <w:w w:val="92"/>
              </w:rPr>
              <w:t>Gastaut syndrome, or LGS, Dravet syndrome, or</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2760" w:type="dxa"/>
            <w:vAlign w:val="bottom"/>
          </w:tcPr>
          <w:p>
            <w:pPr>
              <w:ind w:left="80"/>
              <w:spacing w:after="0" w:line="123" w:lineRule="exact"/>
              <w:rPr>
                <w:sz w:val="20"/>
                <w:szCs w:val="20"/>
                <w:color w:val="auto"/>
              </w:rPr>
            </w:pPr>
            <w:r>
              <w:rPr>
                <w:rFonts w:ascii="Arial" w:cs="Arial" w:eastAsia="Arial" w:hAnsi="Arial"/>
                <w:sz w:val="13"/>
                <w:szCs w:val="13"/>
                <w:color w:val="auto"/>
              </w:rPr>
              <w:t>June 2018</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100" w:type="dxa"/>
            <w:vAlign w:val="bottom"/>
          </w:tcPr>
          <w:p>
            <w:pPr>
              <w:ind w:left="500"/>
              <w:spacing w:after="0" w:line="173" w:lineRule="exact"/>
              <w:rPr>
                <w:sz w:val="20"/>
                <w:szCs w:val="20"/>
                <w:color w:val="auto"/>
              </w:rPr>
            </w:pPr>
            <w:r>
              <w:rPr>
                <w:rFonts w:ascii="Arial" w:cs="Arial" w:eastAsia="Arial" w:hAnsi="Arial"/>
                <w:sz w:val="18"/>
                <w:szCs w:val="18"/>
                <w:color w:val="auto"/>
                <w:w w:val="98"/>
              </w:rPr>
              <w:t>DS, or tuberous sclerosis complex, or TSC, in</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patients 1 year of age and older.</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2820"/>
        <w:spacing w:after="0" w:line="228" w:lineRule="auto"/>
        <w:rPr>
          <w:sz w:val="20"/>
          <w:szCs w:val="20"/>
          <w:color w:val="auto"/>
        </w:rPr>
      </w:pPr>
      <w:r>
        <w:rPr>
          <w:rFonts w:ascii="Arial" w:cs="Arial" w:eastAsia="Arial" w:hAnsi="Arial"/>
          <w:sz w:val="17"/>
          <w:szCs w:val="17"/>
          <w:color w:val="auto"/>
        </w:rPr>
        <w:t>For adjunctive therapy of seizures associated with LGS or DS, in conjunction with clobazam, for patients 2 years of age and older.*</w:t>
      </w:r>
    </w:p>
    <w:p>
      <w:pPr>
        <w:ind w:left="20"/>
        <w:spacing w:after="0" w:line="207" w:lineRule="auto"/>
        <w:rPr>
          <w:sz w:val="20"/>
          <w:szCs w:val="20"/>
          <w:color w:val="auto"/>
        </w:rPr>
      </w:pPr>
      <w:r>
        <w:rPr>
          <w:rFonts w:ascii="Arial" w:cs="Arial" w:eastAsia="Arial" w:hAnsi="Arial"/>
          <w:sz w:val="18"/>
          <w:szCs w:val="18"/>
          <w:color w:val="auto"/>
        </w:rPr>
        <w:t>Epidyolex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p>
      <w:pPr>
        <w:ind w:left="2820"/>
        <w:spacing w:after="0" w:line="268" w:lineRule="auto"/>
        <w:rPr>
          <w:sz w:val="20"/>
          <w:szCs w:val="20"/>
          <w:color w:val="auto"/>
        </w:rPr>
      </w:pPr>
      <w:r>
        <w:rPr>
          <w:rFonts w:ascii="Arial" w:cs="Arial" w:eastAsia="Arial" w:hAnsi="Arial"/>
          <w:sz w:val="16"/>
          <w:szCs w:val="16"/>
          <w:color w:val="auto"/>
        </w:rPr>
        <w:t>For adjunctive therapy of seizures associated with TSC for patients 2 years of age and older.**</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September 2019</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 w:lineRule="exact"/>
        <w:rPr>
          <w:sz w:val="20"/>
          <w:szCs w:val="20"/>
          <w:color w:val="auto"/>
        </w:rPr>
      </w:pPr>
    </w:p>
    <w:p>
      <w:pPr>
        <w:sectPr>
          <w:pgSz w:w="11900" w:h="16838" w:orient="portrait"/>
          <w:cols w:equalWidth="0" w:num="3">
            <w:col w:w="6420" w:space="80"/>
            <w:col w:w="164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360" w:type="dxa"/>
            <w:vAlign w:val="bottom"/>
            <w:shd w:val="clear" w:color="auto" w:fill="CCEEFF"/>
          </w:tcPr>
          <w:p>
            <w:pPr>
              <w:spacing w:after="0"/>
              <w:rPr>
                <w:sz w:val="17"/>
                <w:szCs w:val="17"/>
                <w:color w:val="auto"/>
              </w:rPr>
            </w:pPr>
          </w:p>
        </w:tc>
        <w:tc>
          <w:tcPr>
            <w:tcW w:w="4100" w:type="dxa"/>
            <w:vAlign w:val="bottom"/>
            <w:shd w:val="clear" w:color="auto" w:fill="CCEEFF"/>
          </w:tcPr>
          <w:p>
            <w:pPr>
              <w:ind w:left="460"/>
              <w:spacing w:after="0" w:line="195" w:lineRule="exact"/>
              <w:rPr>
                <w:sz w:val="20"/>
                <w:szCs w:val="20"/>
                <w:color w:val="auto"/>
              </w:rPr>
            </w:pPr>
            <w:r>
              <w:rPr>
                <w:rFonts w:ascii="Arial" w:cs="Arial" w:eastAsia="Arial" w:hAnsi="Arial"/>
                <w:sz w:val="18"/>
                <w:szCs w:val="18"/>
                <w:color w:val="auto"/>
                <w:w w:val="98"/>
              </w:rPr>
              <w:t>Improve wakefulness and reduce EDS in adult</w:t>
            </w:r>
          </w:p>
        </w:tc>
        <w:tc>
          <w:tcPr>
            <w:tcW w:w="17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410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patients with narcolepsy (with or without</w:t>
            </w:r>
          </w:p>
        </w:tc>
        <w:tc>
          <w:tcPr>
            <w:tcW w:w="1700" w:type="dxa"/>
            <w:vAlign w:val="bottom"/>
            <w:shd w:val="clear" w:color="auto" w:fill="CCEEFF"/>
          </w:tcPr>
          <w:p>
            <w:pPr>
              <w:spacing w:after="0"/>
              <w:rPr>
                <w:sz w:val="16"/>
                <w:szCs w:val="16"/>
                <w:color w:val="auto"/>
              </w:rPr>
            </w:pP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EU, Great Britain, other</w:t>
            </w:r>
          </w:p>
        </w:tc>
        <w:tc>
          <w:tcPr>
            <w:tcW w:w="0" w:type="dxa"/>
            <w:vAlign w:val="bottom"/>
          </w:tcPr>
          <w:p>
            <w:pPr>
              <w:spacing w:after="0"/>
              <w:rPr>
                <w:sz w:val="1"/>
                <w:szCs w:val="1"/>
                <w:color w:val="auto"/>
              </w:rPr>
            </w:pPr>
          </w:p>
        </w:tc>
      </w:tr>
      <w:tr>
        <w:trPr>
          <w:trHeight w:val="244"/>
        </w:trPr>
        <w:tc>
          <w:tcPr>
            <w:tcW w:w="2360" w:type="dxa"/>
            <w:vAlign w:val="bottom"/>
            <w:shd w:val="clear" w:color="auto" w:fill="CCEEFF"/>
          </w:tcPr>
          <w:p>
            <w:pPr>
              <w:spacing w:after="0"/>
              <w:rPr>
                <w:sz w:val="21"/>
                <w:szCs w:val="21"/>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cataplexy) or adult patients with obstructive sleep</w:t>
            </w: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3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360" w:type="dxa"/>
            <w:vAlign w:val="bottom"/>
            <w:shd w:val="clear" w:color="auto" w:fill="CCEEFF"/>
          </w:tcPr>
          <w:p>
            <w:pPr>
              <w:spacing w:after="0"/>
              <w:rPr>
                <w:sz w:val="11"/>
                <w:szCs w:val="11"/>
                <w:color w:val="auto"/>
              </w:rPr>
            </w:pPr>
          </w:p>
        </w:tc>
        <w:tc>
          <w:tcPr>
            <w:tcW w:w="4100" w:type="dxa"/>
            <w:vAlign w:val="bottom"/>
            <w:shd w:val="clear" w:color="auto" w:fill="CCEEFF"/>
          </w:tcPr>
          <w:p>
            <w:pPr>
              <w:ind w:left="460"/>
              <w:spacing w:after="0" w:line="134" w:lineRule="exact"/>
              <w:rPr>
                <w:sz w:val="20"/>
                <w:szCs w:val="20"/>
                <w:color w:val="auto"/>
              </w:rPr>
            </w:pPr>
            <w:r>
              <w:rPr>
                <w:rFonts w:ascii="Arial" w:cs="Arial" w:eastAsia="Arial" w:hAnsi="Arial"/>
                <w:sz w:val="15"/>
                <w:szCs w:val="15"/>
                <w:color w:val="auto"/>
              </w:rPr>
              <w:t>apnea, or OSA, whose EDS has not been</w:t>
            </w:r>
          </w:p>
        </w:tc>
        <w:tc>
          <w:tcPr>
            <w:tcW w:w="1700" w:type="dxa"/>
            <w:vAlign w:val="bottom"/>
            <w:shd w:val="clear" w:color="auto" w:fill="CCEEFF"/>
          </w:tcPr>
          <w:p>
            <w:pPr>
              <w:spacing w:after="0"/>
              <w:rPr>
                <w:sz w:val="11"/>
                <w:szCs w:val="11"/>
                <w:color w:val="auto"/>
              </w:rPr>
            </w:pPr>
          </w:p>
        </w:tc>
        <w:tc>
          <w:tcPr>
            <w:tcW w:w="3060" w:type="dxa"/>
            <w:vAlign w:val="bottom"/>
            <w:shd w:val="clear" w:color="auto" w:fill="CCEEFF"/>
          </w:tcPr>
          <w:p>
            <w:pPr>
              <w:ind w:left="700"/>
              <w:spacing w:after="0" w:line="134" w:lineRule="exact"/>
              <w:rPr>
                <w:sz w:val="20"/>
                <w:szCs w:val="20"/>
                <w:color w:val="auto"/>
              </w:rPr>
            </w:pPr>
            <w:r>
              <w:rPr>
                <w:rFonts w:ascii="Arial" w:cs="Arial" w:eastAsia="Arial" w:hAnsi="Arial"/>
                <w:sz w:val="15"/>
                <w:szCs w:val="15"/>
                <w:color w:val="auto"/>
              </w:rPr>
              <w:t>markets</w:t>
            </w:r>
          </w:p>
        </w:tc>
        <w:tc>
          <w:tcPr>
            <w:tcW w:w="0" w:type="dxa"/>
            <w:vAlign w:val="bottom"/>
          </w:tcPr>
          <w:p>
            <w:pPr>
              <w:spacing w:after="0"/>
              <w:rPr>
                <w:sz w:val="1"/>
                <w:szCs w:val="1"/>
                <w:color w:val="auto"/>
              </w:rPr>
            </w:pPr>
          </w:p>
        </w:tc>
      </w:tr>
      <w:tr>
        <w:trPr>
          <w:trHeight w:val="189"/>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tc>
        <w:tc>
          <w:tcPr>
            <w:tcW w:w="410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w w:val="99"/>
              </w:rPr>
              <w:t>satisfactorily treated by primary OSA therapy,</w:t>
            </w:r>
          </w:p>
        </w:tc>
        <w:tc>
          <w:tcPr>
            <w:tcW w:w="17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vMerge w:val="continue"/>
            <w:shd w:val="clear" w:color="auto" w:fill="CCEEFF"/>
          </w:tcPr>
          <w:p>
            <w:pPr>
              <w:spacing w:after="0"/>
              <w:rPr>
                <w:sz w:val="16"/>
                <w:szCs w:val="16"/>
                <w:color w:val="auto"/>
              </w:rPr>
            </w:pPr>
          </w:p>
        </w:tc>
        <w:tc>
          <w:tcPr>
            <w:tcW w:w="410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w w:val="95"/>
              </w:rPr>
              <w:t>such as continuous positive airway pressure, or</w:t>
            </w:r>
          </w:p>
        </w:tc>
        <w:tc>
          <w:tcPr>
            <w:tcW w:w="17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CPAP.</w:t>
            </w:r>
          </w:p>
        </w:tc>
        <w:tc>
          <w:tcPr>
            <w:tcW w:w="1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May 2021</w:t>
            </w:r>
          </w:p>
        </w:tc>
        <w:tc>
          <w:tcPr>
            <w:tcW w:w="3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81"/>
        </w:trPr>
        <w:tc>
          <w:tcPr>
            <w:tcW w:w="2360" w:type="dxa"/>
            <w:vAlign w:val="bottom"/>
            <w:shd w:val="clear" w:color="auto" w:fill="CCEEFF"/>
          </w:tcPr>
          <w:p>
            <w:pPr>
              <w:spacing w:after="0"/>
              <w:rPr>
                <w:sz w:val="7"/>
                <w:szCs w:val="7"/>
                <w:color w:val="auto"/>
              </w:rPr>
            </w:pPr>
          </w:p>
        </w:tc>
        <w:tc>
          <w:tcPr>
            <w:tcW w:w="4100" w:type="dxa"/>
            <w:vAlign w:val="bottom"/>
            <w:vMerge w:val="restart"/>
            <w:shd w:val="clear" w:color="auto" w:fill="CCEEFF"/>
          </w:tcPr>
          <w:p>
            <w:pPr>
              <w:ind w:left="460"/>
              <w:spacing w:after="0" w:line="201" w:lineRule="exact"/>
              <w:rPr>
                <w:sz w:val="20"/>
                <w:szCs w:val="20"/>
                <w:color w:val="auto"/>
              </w:rPr>
            </w:pPr>
            <w:r>
              <w:rPr>
                <w:rFonts w:ascii="Arial" w:cs="Arial" w:eastAsia="Arial" w:hAnsi="Arial"/>
                <w:sz w:val="18"/>
                <w:szCs w:val="18"/>
                <w:color w:val="auto"/>
              </w:rPr>
              <w:t>Treatment of EDS in adult patients with</w:t>
            </w:r>
          </w:p>
        </w:tc>
        <w:tc>
          <w:tcPr>
            <w:tcW w:w="1700" w:type="dxa"/>
            <w:vAlign w:val="bottom"/>
            <w:shd w:val="clear" w:color="auto" w:fill="CCEEFF"/>
          </w:tcPr>
          <w:p>
            <w:pPr>
              <w:spacing w:after="0"/>
              <w:rPr>
                <w:sz w:val="7"/>
                <w:szCs w:val="7"/>
                <w:color w:val="auto"/>
              </w:rPr>
            </w:pPr>
          </w:p>
        </w:tc>
        <w:tc>
          <w:tcPr>
            <w:tcW w:w="3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360" w:type="dxa"/>
            <w:vAlign w:val="bottom"/>
            <w:shd w:val="clear" w:color="auto" w:fill="CCEEFF"/>
          </w:tcPr>
          <w:p>
            <w:pPr>
              <w:spacing w:after="0"/>
              <w:rPr>
                <w:sz w:val="10"/>
                <w:szCs w:val="10"/>
                <w:color w:val="auto"/>
              </w:rPr>
            </w:pPr>
          </w:p>
        </w:tc>
        <w:tc>
          <w:tcPr>
            <w:tcW w:w="4100" w:type="dxa"/>
            <w:vAlign w:val="bottom"/>
            <w:vMerge w:val="continue"/>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CCEEFF"/>
          </w:tcPr>
          <w:p>
            <w:pPr>
              <w:spacing w:after="0"/>
              <w:rPr>
                <w:sz w:val="21"/>
                <w:szCs w:val="21"/>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narcolepsy or OSA.</w:t>
            </w:r>
          </w:p>
        </w:tc>
        <w:tc>
          <w:tcPr>
            <w:tcW w:w="17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Sativex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(nabiximols)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Zepzelca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(lurbinectedin)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line="189" w:lineRule="exact"/>
              <w:rPr>
                <w:sz w:val="20"/>
                <w:szCs w:val="20"/>
                <w:color w:val="auto"/>
              </w:rPr>
            </w:pPr>
            <w:r>
              <w:rPr>
                <w:rFonts w:ascii="Arial" w:cs="Arial" w:eastAsia="Arial" w:hAnsi="Arial"/>
                <w:sz w:val="18"/>
                <w:szCs w:val="18"/>
                <w:color w:val="auto"/>
              </w:rPr>
              <w:t>Treatment for adult patients with moderate to</w:t>
            </w:r>
          </w:p>
        </w:tc>
        <w:tc>
          <w:tcPr>
            <w:tcW w:w="800" w:type="dxa"/>
            <w:vAlign w:val="bottom"/>
          </w:tcPr>
          <w:p>
            <w:pPr>
              <w:spacing w:after="0"/>
              <w:rPr>
                <w:sz w:val="16"/>
                <w:szCs w:val="16"/>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w w:val="91"/>
              </w:rPr>
              <w:t>severe spasticity due to multiple sclerosis, or MS,</w:t>
            </w:r>
          </w:p>
        </w:tc>
        <w:tc>
          <w:tcPr>
            <w:tcW w:w="800" w:type="dxa"/>
            <w:vAlign w:val="bottom"/>
          </w:tcPr>
          <w:p>
            <w:pPr>
              <w:spacing w:after="0"/>
              <w:rPr>
                <w:sz w:val="16"/>
                <w:szCs w:val="16"/>
                <w:color w:val="auto"/>
              </w:rPr>
            </w:pPr>
          </w:p>
        </w:tc>
      </w:tr>
      <w:tr>
        <w:trPr>
          <w:trHeight w:val="205"/>
        </w:trPr>
        <w:tc>
          <w:tcPr>
            <w:tcW w:w="3620" w:type="dxa"/>
            <w:vAlign w:val="bottom"/>
          </w:tcPr>
          <w:p>
            <w:pPr>
              <w:spacing w:after="0" w:line="205" w:lineRule="exact"/>
              <w:rPr>
                <w:sz w:val="20"/>
                <w:szCs w:val="20"/>
                <w:color w:val="auto"/>
              </w:rPr>
            </w:pPr>
            <w:r>
              <w:rPr>
                <w:rFonts w:ascii="Arial" w:cs="Arial" w:eastAsia="Arial" w:hAnsi="Arial"/>
                <w:sz w:val="18"/>
                <w:szCs w:val="18"/>
                <w:color w:val="auto"/>
                <w:w w:val="90"/>
              </w:rPr>
              <w:t>who have not responded adequately to other anti-</w:t>
            </w:r>
          </w:p>
        </w:tc>
        <w:tc>
          <w:tcPr>
            <w:tcW w:w="800" w:type="dxa"/>
            <w:vAlign w:val="bottom"/>
          </w:tcPr>
          <w:p>
            <w:pPr>
              <w:ind w:left="60"/>
              <w:spacing w:after="0" w:line="205" w:lineRule="exact"/>
              <w:rPr>
                <w:sz w:val="20"/>
                <w:szCs w:val="20"/>
                <w:color w:val="auto"/>
              </w:rPr>
            </w:pPr>
            <w:r>
              <w:rPr>
                <w:rFonts w:ascii="Arial" w:cs="Arial" w:eastAsia="Arial" w:hAnsi="Arial"/>
                <w:sz w:val="18"/>
                <w:szCs w:val="18"/>
                <w:color w:val="auto"/>
                <w:w w:val="85"/>
              </w:rPr>
              <w:t>June 2010</w:t>
            </w:r>
          </w:p>
        </w:tc>
      </w:tr>
      <w:tr>
        <w:trPr>
          <w:trHeight w:val="173"/>
        </w:trPr>
        <w:tc>
          <w:tcPr>
            <w:tcW w:w="3620" w:type="dxa"/>
            <w:vAlign w:val="bottom"/>
          </w:tcPr>
          <w:p>
            <w:pPr>
              <w:spacing w:after="0" w:line="173" w:lineRule="exact"/>
              <w:rPr>
                <w:sz w:val="20"/>
                <w:szCs w:val="20"/>
                <w:color w:val="auto"/>
              </w:rPr>
            </w:pPr>
            <w:r>
              <w:rPr>
                <w:rFonts w:ascii="Arial" w:cs="Arial" w:eastAsia="Arial" w:hAnsi="Arial"/>
                <w:sz w:val="18"/>
                <w:szCs w:val="18"/>
                <w:color w:val="auto"/>
              </w:rPr>
              <w:t>spasticity medication and who demonstrate</w:t>
            </w:r>
          </w:p>
        </w:tc>
        <w:tc>
          <w:tcPr>
            <w:tcW w:w="800" w:type="dxa"/>
            <w:vAlign w:val="bottom"/>
          </w:tcPr>
          <w:p>
            <w:pPr>
              <w:spacing w:after="0"/>
              <w:rPr>
                <w:sz w:val="15"/>
                <w:szCs w:val="15"/>
                <w:color w:val="auto"/>
              </w:rPr>
            </w:pPr>
          </w:p>
        </w:tc>
      </w:tr>
      <w:tr>
        <w:trPr>
          <w:trHeight w:val="205"/>
        </w:trPr>
        <w:tc>
          <w:tcPr>
            <w:tcW w:w="3620" w:type="dxa"/>
            <w:vAlign w:val="bottom"/>
          </w:tcPr>
          <w:p>
            <w:pPr>
              <w:spacing w:after="0" w:line="205" w:lineRule="exact"/>
              <w:rPr>
                <w:sz w:val="20"/>
                <w:szCs w:val="20"/>
                <w:color w:val="auto"/>
              </w:rPr>
            </w:pPr>
            <w:r>
              <w:rPr>
                <w:rFonts w:ascii="Arial" w:cs="Arial" w:eastAsia="Arial" w:hAnsi="Arial"/>
                <w:sz w:val="18"/>
                <w:szCs w:val="18"/>
                <w:color w:val="auto"/>
              </w:rPr>
              <w:t>clinically significant improvement in spasticity</w:t>
            </w:r>
          </w:p>
        </w:tc>
        <w:tc>
          <w:tcPr>
            <w:tcW w:w="80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related symptoms during an initial trial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13335</wp:posOffset>
            </wp:positionV>
            <wp:extent cx="711517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30" w:lineRule="exact"/>
        <w:rPr>
          <w:sz w:val="20"/>
          <w:szCs w:val="20"/>
          <w:color w:val="auto"/>
        </w:rPr>
      </w:pPr>
    </w:p>
    <w:p>
      <w:pPr>
        <w:ind w:right="1800"/>
        <w:spacing w:after="0" w:line="215" w:lineRule="auto"/>
        <w:rPr>
          <w:sz w:val="20"/>
          <w:szCs w:val="20"/>
          <w:color w:val="auto"/>
        </w:rPr>
      </w:pPr>
      <w:r>
        <w:rPr>
          <w:rFonts w:ascii="Arial" w:cs="Arial" w:eastAsia="Arial" w:hAnsi="Arial"/>
          <w:sz w:val="17"/>
          <w:szCs w:val="17"/>
          <w:color w:val="auto"/>
        </w:rPr>
        <w:t>Treatment of adult patients with metastatic small cell lung cancer, or SCLC, with disease</w:t>
      </w:r>
    </w:p>
    <w:p>
      <w:pPr>
        <w:spacing w:after="0" w:line="2" w:lineRule="exact"/>
        <w:rPr>
          <w:sz w:val="20"/>
          <w:szCs w:val="20"/>
          <w:color w:val="auto"/>
        </w:rPr>
      </w:pPr>
    </w:p>
    <w:p>
      <w:pPr>
        <w:ind w:right="900"/>
        <w:spacing w:after="0" w:line="183" w:lineRule="auto"/>
        <w:rPr>
          <w:sz w:val="20"/>
          <w:szCs w:val="20"/>
          <w:color w:val="auto"/>
        </w:rPr>
      </w:pPr>
      <w:r>
        <w:rPr>
          <w:rFonts w:ascii="Arial" w:cs="Arial" w:eastAsia="Arial" w:hAnsi="Arial"/>
          <w:sz w:val="16"/>
          <w:szCs w:val="16"/>
          <w:color w:val="auto"/>
        </w:rPr>
        <w:t xml:space="preserve">progression on or after platinum-based </w:t>
      </w:r>
      <w:r>
        <w:rPr>
          <w:rFonts w:ascii="Arial" w:cs="Arial" w:eastAsia="Arial" w:hAnsi="Arial"/>
          <w:sz w:val="30"/>
          <w:szCs w:val="30"/>
          <w:color w:val="auto"/>
          <w:vertAlign w:val="superscript"/>
        </w:rPr>
        <w:t>June 2020</w:t>
      </w:r>
      <w:r>
        <w:rPr>
          <w:rFonts w:ascii="Arial" w:cs="Arial" w:eastAsia="Arial" w:hAnsi="Arial"/>
          <w:sz w:val="16"/>
          <w:szCs w:val="16"/>
          <w:color w:val="auto"/>
        </w:rPr>
        <w:t xml:space="preserve"> chemotherapy.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U.K. (other markets through licensing agreements with partners)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U.S. (licensed from</w:t>
      </w:r>
    </w:p>
    <w:p>
      <w:pPr>
        <w:spacing w:after="0"/>
        <w:rPr>
          <w:sz w:val="20"/>
          <w:szCs w:val="20"/>
          <w:color w:val="auto"/>
        </w:rPr>
      </w:pPr>
      <w:r>
        <w:rPr>
          <w:rFonts w:ascii="Arial" w:cs="Arial" w:eastAsia="Arial" w:hAnsi="Arial"/>
          <w:sz w:val="18"/>
          <w:szCs w:val="18"/>
          <w:color w:val="auto"/>
        </w:rPr>
        <w:t>PharmaMar)****</w:t>
      </w:r>
    </w:p>
    <w:p>
      <w:pPr>
        <w:spacing w:after="0" w:line="286" w:lineRule="exact"/>
        <w:rPr>
          <w:sz w:val="20"/>
          <w:szCs w:val="20"/>
          <w:color w:val="auto"/>
        </w:rPr>
      </w:pPr>
    </w:p>
    <w:p>
      <w:pPr>
        <w:sectPr>
          <w:pgSz w:w="11900" w:h="16838" w:orient="portrait"/>
          <w:cols w:equalWidth="0" w:num="3">
            <w:col w:w="2100" w:space="720"/>
            <w:col w:w="532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w w:val="97"/>
              </w:rPr>
              <w:t>Treatment of adults with Stage III or metastatic</w:t>
            </w:r>
          </w:p>
        </w:tc>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September 2021</w:t>
            </w:r>
          </w:p>
        </w:tc>
        <w:tc>
          <w:tcPr>
            <w:tcW w:w="2960" w:type="dxa"/>
            <w:vAlign w:val="bottom"/>
            <w:gridSpan w:val="2"/>
          </w:tcPr>
          <w:p>
            <w:pPr>
              <w:ind w:left="580"/>
              <w:spacing w:after="0"/>
              <w:rPr>
                <w:sz w:val="20"/>
                <w:szCs w:val="20"/>
                <w:color w:val="auto"/>
              </w:rPr>
            </w:pPr>
            <w:r>
              <w:rPr>
                <w:rFonts w:ascii="Arial" w:cs="Arial" w:eastAsia="Arial" w:hAnsi="Arial"/>
                <w:sz w:val="18"/>
                <w:szCs w:val="18"/>
                <w:color w:val="auto"/>
              </w:rPr>
              <w:t>Canada (licensed from</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3940" w:type="dxa"/>
            <w:vAlign w:val="bottom"/>
          </w:tcPr>
          <w:p>
            <w:pPr>
              <w:ind w:left="300"/>
              <w:spacing w:after="0" w:line="201" w:lineRule="exact"/>
              <w:rPr>
                <w:sz w:val="20"/>
                <w:szCs w:val="20"/>
                <w:color w:val="auto"/>
              </w:rPr>
            </w:pPr>
            <w:r>
              <w:rPr>
                <w:rFonts w:ascii="Arial" w:cs="Arial" w:eastAsia="Arial" w:hAnsi="Arial"/>
                <w:sz w:val="18"/>
                <w:szCs w:val="18"/>
                <w:color w:val="auto"/>
                <w:w w:val="92"/>
              </w:rPr>
              <w:t>SCLC who have progressed on or after platinum-</w:t>
            </w:r>
          </w:p>
        </w:tc>
        <w:tc>
          <w:tcPr>
            <w:tcW w:w="1820" w:type="dxa"/>
            <w:vAlign w:val="bottom"/>
            <w:vMerge w:val="continue"/>
          </w:tcPr>
          <w:p>
            <w:pPr>
              <w:spacing w:after="0"/>
              <w:rPr>
                <w:sz w:val="17"/>
                <w:szCs w:val="17"/>
                <w:color w:val="auto"/>
              </w:rPr>
            </w:pPr>
          </w:p>
        </w:tc>
        <w:tc>
          <w:tcPr>
            <w:tcW w:w="296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PharmaMar)*****</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containing therapy.</w:t>
            </w: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spacing w:after="0"/>
              <w:rPr>
                <w:sz w:val="15"/>
                <w:szCs w:val="15"/>
                <w:color w:val="auto"/>
              </w:rPr>
            </w:pPr>
          </w:p>
        </w:tc>
        <w:tc>
          <w:tcPr>
            <w:tcW w:w="3940" w:type="dxa"/>
            <w:vAlign w:val="bottom"/>
            <w:shd w:val="clear" w:color="auto" w:fill="CCEEFF"/>
          </w:tcPr>
          <w:p>
            <w:pPr>
              <w:ind w:left="300"/>
              <w:spacing w:after="0" w:line="182" w:lineRule="exact"/>
              <w:rPr>
                <w:sz w:val="20"/>
                <w:szCs w:val="20"/>
                <w:color w:val="auto"/>
              </w:rPr>
            </w:pPr>
            <w:r>
              <w:rPr>
                <w:rFonts w:ascii="Arial" w:cs="Arial" w:eastAsia="Arial" w:hAnsi="Arial"/>
                <w:sz w:val="18"/>
                <w:szCs w:val="18"/>
                <w:color w:val="auto"/>
                <w:w w:val="94"/>
              </w:rPr>
              <w:t>A component of a multi-agent chemotherapeutic</w:t>
            </w:r>
          </w:p>
        </w:tc>
        <w:tc>
          <w:tcPr>
            <w:tcW w:w="18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Rylaze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(asparaginase erwinia</w:t>
            </w:r>
          </w:p>
        </w:tc>
        <w:tc>
          <w:tcPr>
            <w:tcW w:w="3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regimen for the treatment of acute lymphoblastic</w:t>
            </w:r>
          </w:p>
        </w:tc>
        <w:tc>
          <w:tcPr>
            <w:tcW w:w="18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June 2021</w:t>
            </w:r>
          </w:p>
        </w:tc>
        <w:tc>
          <w:tcPr>
            <w:tcW w:w="2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chrysanthemi (recombinant)-</w:t>
            </w:r>
          </w:p>
        </w:tc>
        <w:tc>
          <w:tcPr>
            <w:tcW w:w="39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leukemia, or ALL, and lymphoblastic lymphoma,</w:t>
            </w:r>
          </w:p>
        </w:tc>
        <w:tc>
          <w:tcPr>
            <w:tcW w:w="1820" w:type="dxa"/>
            <w:vAlign w:val="bottom"/>
            <w:vMerge w:val="continue"/>
            <w:shd w:val="clear" w:color="auto" w:fill="CCEEFF"/>
          </w:tcPr>
          <w:p>
            <w:pPr>
              <w:spacing w:after="0"/>
              <w:rPr>
                <w:sz w:val="15"/>
                <w:szCs w:val="15"/>
                <w:color w:val="auto"/>
              </w:rPr>
            </w:pPr>
          </w:p>
        </w:tc>
        <w:tc>
          <w:tcPr>
            <w:tcW w:w="29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rywn)</w:t>
            </w:r>
          </w:p>
        </w:tc>
        <w:tc>
          <w:tcPr>
            <w:tcW w:w="3940" w:type="dxa"/>
            <w:vAlign w:val="bottom"/>
            <w:shd w:val="clear" w:color="auto" w:fill="CCEEFF"/>
          </w:tcPr>
          <w:p>
            <w:pPr>
              <w:ind w:left="300"/>
              <w:spacing w:after="0" w:line="95" w:lineRule="exact"/>
              <w:rPr>
                <w:sz w:val="20"/>
                <w:szCs w:val="20"/>
                <w:color w:val="auto"/>
              </w:rPr>
            </w:pPr>
            <w:r>
              <w:rPr>
                <w:rFonts w:ascii="Arial" w:cs="Arial" w:eastAsia="Arial" w:hAnsi="Arial"/>
                <w:sz w:val="10"/>
                <w:szCs w:val="10"/>
                <w:color w:val="auto"/>
              </w:rPr>
              <w:t>or LBL, in adult and pediatric patients 1 month or</w:t>
            </w:r>
          </w:p>
        </w:tc>
        <w:tc>
          <w:tcPr>
            <w:tcW w:w="1820" w:type="dxa"/>
            <w:vAlign w:val="bottom"/>
            <w:shd w:val="clear" w:color="auto" w:fill="CCEEFF"/>
          </w:tcPr>
          <w:p>
            <w:pPr>
              <w:spacing w:after="0"/>
              <w:rPr>
                <w:sz w:val="8"/>
                <w:szCs w:val="8"/>
                <w:color w:val="auto"/>
              </w:rPr>
            </w:pPr>
          </w:p>
        </w:tc>
        <w:tc>
          <w:tcPr>
            <w:tcW w:w="29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vMerge w:val="continue"/>
            <w:shd w:val="clear" w:color="auto" w:fill="CCEEFF"/>
          </w:tcPr>
          <w:p>
            <w:pPr>
              <w:spacing w:after="0"/>
              <w:rPr>
                <w:sz w:val="11"/>
                <w:szCs w:val="11"/>
                <w:color w:val="auto"/>
              </w:rPr>
            </w:pPr>
          </w:p>
        </w:tc>
        <w:tc>
          <w:tcPr>
            <w:tcW w:w="3940" w:type="dxa"/>
            <w:vAlign w:val="bottom"/>
            <w:vMerge w:val="restart"/>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 xml:space="preserve">older who have developed hypersensitivity to </w:t>
            </w:r>
            <w:r>
              <w:rPr>
                <w:rFonts w:ascii="Arial" w:cs="Arial" w:eastAsia="Arial" w:hAnsi="Arial"/>
                <w:sz w:val="18"/>
                <w:szCs w:val="18"/>
                <w:i w:val="1"/>
                <w:iCs w:val="1"/>
                <w:color w:val="auto"/>
                <w:w w:val="95"/>
              </w:rPr>
              <w:t>E.</w:t>
            </w:r>
          </w:p>
        </w:tc>
        <w:tc>
          <w:tcPr>
            <w:tcW w:w="18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520" w:type="dxa"/>
            <w:vAlign w:val="bottom"/>
            <w:shd w:val="clear" w:color="auto" w:fill="CCEEFF"/>
          </w:tcPr>
          <w:p>
            <w:pPr>
              <w:spacing w:after="0"/>
              <w:rPr>
                <w:sz w:val="3"/>
                <w:szCs w:val="3"/>
                <w:color w:val="auto"/>
              </w:rPr>
            </w:pPr>
          </w:p>
        </w:tc>
        <w:tc>
          <w:tcPr>
            <w:tcW w:w="3940" w:type="dxa"/>
            <w:vAlign w:val="bottom"/>
            <w:vMerge w:val="continue"/>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CEEFF"/>
          </w:tcPr>
          <w:p>
            <w:pPr>
              <w:spacing w:after="0"/>
              <w:rPr>
                <w:sz w:val="19"/>
                <w:szCs w:val="19"/>
                <w:color w:val="auto"/>
              </w:rPr>
            </w:pPr>
          </w:p>
        </w:tc>
        <w:tc>
          <w:tcPr>
            <w:tcW w:w="39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coli</w:t>
            </w:r>
            <w:r>
              <w:rPr>
                <w:rFonts w:ascii="Arial" w:cs="Arial" w:eastAsia="Arial" w:hAnsi="Arial"/>
                <w:sz w:val="18"/>
                <w:szCs w:val="18"/>
                <w:color w:val="auto"/>
              </w:rPr>
              <w:t>-derived asparaginase.</w:t>
            </w:r>
          </w:p>
        </w:tc>
        <w:tc>
          <w:tcPr>
            <w:tcW w:w="18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20" w:type="dxa"/>
            <w:vAlign w:val="bottom"/>
          </w:tcPr>
          <w:p>
            <w:pPr>
              <w:spacing w:after="0"/>
              <w:rPr>
                <w:sz w:val="24"/>
                <w:szCs w:val="24"/>
                <w:color w:val="auto"/>
              </w:rPr>
            </w:pPr>
          </w:p>
        </w:tc>
        <w:tc>
          <w:tcPr>
            <w:tcW w:w="3940" w:type="dxa"/>
            <w:vAlign w:val="bottom"/>
          </w:tcPr>
          <w:p>
            <w:pPr>
              <w:ind w:left="3020"/>
              <w:spacing w:after="0"/>
              <w:rPr>
                <w:sz w:val="20"/>
                <w:szCs w:val="20"/>
                <w:color w:val="auto"/>
              </w:rPr>
            </w:pPr>
            <w:r>
              <w:rPr>
                <w:rFonts w:ascii="Arial" w:cs="Arial" w:eastAsia="Arial" w:hAnsi="Arial"/>
                <w:sz w:val="18"/>
                <w:szCs w:val="18"/>
                <w:color w:val="auto"/>
              </w:rPr>
              <w:t>32</w:t>
            </w:r>
          </w:p>
        </w:tc>
        <w:tc>
          <w:tcPr>
            <w:tcW w:w="1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right="120"/>
        <w:spacing w:after="0" w:line="238"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0"/>
        <w:spacing w:after="0" w:line="207" w:lineRule="auto"/>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Treatment of newly-diagnosed therapy-related acute myeloid leukemia, or t-AML or AML with myelodysplasia-related changes (AML-MRC) in adults and pediatric patients one year and older.</w:t>
      </w:r>
    </w:p>
    <w:p>
      <w:pPr>
        <w:spacing w:after="0" w:line="1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Treatment of adults with newly-diagnosed t-AML or AML-MRC.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August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August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276" w:lineRule="exact"/>
        <w:rPr>
          <w:sz w:val="20"/>
          <w:szCs w:val="20"/>
          <w:color w:val="auto"/>
        </w:rPr>
      </w:pPr>
    </w:p>
    <w:p>
      <w:pPr>
        <w:sectPr>
          <w:pgSz w:w="11900" w:h="16838" w:orient="portrait"/>
          <w:cols w:equalWidth="0" w:num="4">
            <w:col w:w="2580" w:space="240"/>
            <w:col w:w="3600" w:space="80"/>
            <w:col w:w="1640" w:space="720"/>
            <w:col w:w="2360"/>
          </w:cols>
          <w:pgMar w:left="320" w:top="125" w:right="359" w:bottom="1440" w:gutter="0" w:footer="0" w:header="0"/>
        </w:sectPr>
      </w:pPr>
    </w:p>
    <w:tbl>
      <w:tblPr>
        <w:tblLayout w:type="fixed"/>
        <w:tblInd w:w="0" w:type="dxa"/>
        <w:tblCellMar>
          <w:top w:w="0" w:type="dxa"/>
          <w:left w:w="0" w:type="dxa"/>
          <w:bottom w:w="0" w:type="dxa"/>
          <w:right w:w="0" w:type="dxa"/>
        </w:tblCellMar>
      </w:tblPr>
      <w:tr>
        <w:trPr>
          <w:trHeight w:val="366"/>
        </w:trPr>
        <w:tc>
          <w:tcPr>
            <w:tcW w:w="6440" w:type="dxa"/>
            <w:vAlign w:val="bottom"/>
            <w:gridSpan w:val="2"/>
          </w:tcPr>
          <w:p>
            <w:pPr>
              <w:ind w:left="20"/>
              <w:spacing w:after="0" w:line="366" w:lineRule="exact"/>
              <w:rPr>
                <w:sz w:val="20"/>
                <w:szCs w:val="20"/>
                <w:color w:val="auto"/>
              </w:rPr>
            </w:pPr>
            <w:r>
              <w:rPr>
                <w:rFonts w:ascii="Arial" w:cs="Arial" w:eastAsia="Arial" w:hAnsi="Arial"/>
                <w:sz w:val="35"/>
                <w:szCs w:val="35"/>
                <w:color w:val="auto"/>
                <w:w w:val="91"/>
                <w:vertAlign w:val="subscript"/>
              </w:rPr>
              <w:t>Vyxeos</w:t>
            </w:r>
            <w:r>
              <w:rPr>
                <w:rFonts w:ascii="Arial" w:cs="Arial" w:eastAsia="Arial" w:hAnsi="Arial"/>
                <w:sz w:val="12"/>
                <w:szCs w:val="12"/>
                <w:color w:val="auto"/>
                <w:w w:val="91"/>
              </w:rPr>
              <w:t xml:space="preserve">® </w:t>
            </w:r>
            <w:r>
              <w:rPr>
                <w:rFonts w:ascii="Arial" w:cs="Arial" w:eastAsia="Arial" w:hAnsi="Arial"/>
                <w:sz w:val="35"/>
                <w:szCs w:val="35"/>
                <w:color w:val="auto"/>
                <w:w w:val="91"/>
                <w:vertAlign w:val="subscript"/>
              </w:rPr>
              <w:t>Daunorubicin and cytarabine</w:t>
            </w:r>
            <w:r>
              <w:rPr>
                <w:rFonts w:ascii="Arial" w:cs="Arial" w:eastAsia="Arial" w:hAnsi="Arial"/>
                <w:sz w:val="12"/>
                <w:szCs w:val="12"/>
                <w:color w:val="auto"/>
                <w:w w:val="91"/>
              </w:rPr>
              <w:t xml:space="preserve"> </w:t>
            </w:r>
            <w:r>
              <w:rPr>
                <w:rFonts w:ascii="Arial" w:cs="Arial" w:eastAsia="Arial" w:hAnsi="Arial"/>
                <w:sz w:val="17"/>
                <w:szCs w:val="17"/>
                <w:color w:val="auto"/>
                <w:w w:val="91"/>
              </w:rPr>
              <w:t>Treatment of adults with newly diagnosed</w:t>
            </w:r>
          </w:p>
        </w:tc>
        <w:tc>
          <w:tcPr>
            <w:tcW w:w="1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w w:val="92"/>
              </w:rPr>
              <w:t>liposome for injection Powder, 44 mg</w:t>
            </w:r>
          </w:p>
        </w:tc>
        <w:tc>
          <w:tcPr>
            <w:tcW w:w="5400" w:type="dxa"/>
            <w:vAlign w:val="bottom"/>
            <w:gridSpan w:val="2"/>
          </w:tcPr>
          <w:p>
            <w:pPr>
              <w:ind w:left="40"/>
              <w:spacing w:after="0" w:line="201" w:lineRule="exact"/>
              <w:rPr>
                <w:sz w:val="20"/>
                <w:szCs w:val="20"/>
                <w:color w:val="auto"/>
              </w:rPr>
            </w:pPr>
            <w:r>
              <w:rPr>
                <w:rFonts w:ascii="Arial" w:cs="Arial" w:eastAsia="Arial" w:hAnsi="Arial"/>
                <w:sz w:val="14"/>
                <w:szCs w:val="14"/>
                <w:color w:val="auto"/>
              </w:rPr>
              <w:t xml:space="preserve">therapy-related t-AML or AML with AML-MRC. </w:t>
            </w:r>
            <w:r>
              <w:rPr>
                <w:rFonts w:ascii="Arial" w:cs="Arial" w:eastAsia="Arial" w:hAnsi="Arial"/>
                <w:sz w:val="23"/>
                <w:szCs w:val="23"/>
                <w:color w:val="auto"/>
                <w:vertAlign w:val="subscript"/>
              </w:rPr>
              <w:t>April 2021</w:t>
            </w:r>
          </w:p>
        </w:tc>
        <w:tc>
          <w:tcPr>
            <w:tcW w:w="3040" w:type="dxa"/>
            <w:vAlign w:val="bottom"/>
          </w:tcPr>
          <w:p>
            <w:pPr>
              <w:ind w:left="680"/>
              <w:spacing w:after="0" w:line="201"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line="189" w:lineRule="exact"/>
              <w:rPr>
                <w:sz w:val="20"/>
                <w:szCs w:val="20"/>
                <w:color w:val="auto"/>
              </w:rPr>
            </w:pPr>
            <w:r>
              <w:rPr>
                <w:rFonts w:ascii="Arial" w:cs="Arial" w:eastAsia="Arial" w:hAnsi="Arial"/>
                <w:sz w:val="18"/>
                <w:szCs w:val="18"/>
                <w:color w:val="auto"/>
                <w:w w:val="94"/>
              </w:rPr>
              <w:t>daunorubicin and 100 mg cytarabine</w:t>
            </w:r>
          </w:p>
        </w:tc>
        <w:tc>
          <w:tcPr>
            <w:tcW w:w="3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per vial, intravenous infusion</w:t>
            </w:r>
          </w:p>
        </w:tc>
        <w:tc>
          <w:tcPr>
            <w:tcW w:w="3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Defitelio® (defibrotide sodium)</w:t>
            </w:r>
          </w:p>
        </w:tc>
        <w:tc>
          <w:tcPr>
            <w:tcW w:w="36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Treatment of adult and pediatric patients with</w:t>
            </w:r>
          </w:p>
        </w:tc>
        <w:tc>
          <w:tcPr>
            <w:tcW w:w="174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15"/>
                <w:szCs w:val="15"/>
                <w:color w:val="auto"/>
              </w:rPr>
            </w:pPr>
          </w:p>
        </w:tc>
        <w:tc>
          <w:tcPr>
            <w:tcW w:w="36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hepatic veno-occlusive disease, or VOD, also</w:t>
            </w:r>
          </w:p>
        </w:tc>
        <w:tc>
          <w:tcPr>
            <w:tcW w:w="17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March 2016</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15"/>
                <w:szCs w:val="15"/>
                <w:color w:val="auto"/>
              </w:rPr>
            </w:pPr>
          </w:p>
        </w:tc>
        <w:tc>
          <w:tcPr>
            <w:tcW w:w="36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known as SOS, with renal or pulmonary</w:t>
            </w:r>
          </w:p>
        </w:tc>
        <w:tc>
          <w:tcPr>
            <w:tcW w:w="1740" w:type="dxa"/>
            <w:vAlign w:val="bottom"/>
            <w:vMerge w:val="continue"/>
            <w:shd w:val="clear" w:color="auto" w:fill="CCEEFF"/>
          </w:tcPr>
          <w:p>
            <w:pPr>
              <w:spacing w:after="0"/>
              <w:rPr>
                <w:sz w:val="15"/>
                <w:szCs w:val="15"/>
                <w:color w:val="auto"/>
              </w:rPr>
            </w:pPr>
          </w:p>
        </w:tc>
        <w:tc>
          <w:tcPr>
            <w:tcW w:w="3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15"/>
                <w:szCs w:val="15"/>
                <w:color w:val="auto"/>
              </w:rPr>
            </w:pPr>
          </w:p>
        </w:tc>
        <w:tc>
          <w:tcPr>
            <w:tcW w:w="36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dysfunction following hematopoietic stem cell</w:t>
            </w:r>
          </w:p>
        </w:tc>
        <w:tc>
          <w:tcPr>
            <w:tcW w:w="174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transplantation, or HSCT.</w:t>
            </w:r>
          </w:p>
        </w:tc>
        <w:tc>
          <w:tcPr>
            <w:tcW w:w="17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 (defibrotide)</w:t>
            </w: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Treatment of severe hepatic VOD, also known as</w:t>
            </w:r>
          </w:p>
        </w:tc>
        <w:tc>
          <w:tcPr>
            <w:tcW w:w="17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October 2013</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EU, Great Britain, other</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15"/>
                <w:szCs w:val="15"/>
                <w:color w:val="auto"/>
              </w:rPr>
            </w:pPr>
          </w:p>
        </w:tc>
        <w:tc>
          <w:tcPr>
            <w:tcW w:w="36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SOS, following HSCT therapy.</w:t>
            </w:r>
          </w:p>
        </w:tc>
        <w:tc>
          <w:tcPr>
            <w:tcW w:w="1740" w:type="dxa"/>
            <w:vAlign w:val="bottom"/>
            <w:vMerge w:val="continue"/>
            <w:shd w:val="clear" w:color="auto" w:fill="CCEEFF"/>
          </w:tcPr>
          <w:p>
            <w:pPr>
              <w:spacing w:after="0"/>
              <w:rPr>
                <w:sz w:val="15"/>
                <w:szCs w:val="15"/>
                <w:color w:val="auto"/>
              </w:rPr>
            </w:pPr>
          </w:p>
        </w:tc>
        <w:tc>
          <w:tcPr>
            <w:tcW w:w="3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*Clobazam restriction limited to EU and Great Britain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**TSC approval pending in certain markets</w:t>
      </w:r>
    </w:p>
    <w:p>
      <w:pPr>
        <w:spacing w:after="0" w:line="117" w:lineRule="exact"/>
        <w:rPr>
          <w:sz w:val="20"/>
          <w:szCs w:val="20"/>
          <w:color w:val="auto"/>
        </w:rPr>
      </w:pPr>
    </w:p>
    <w:p>
      <w:pPr>
        <w:ind w:right="500"/>
        <w:spacing w:after="0" w:line="220" w:lineRule="exact"/>
        <w:rPr>
          <w:sz w:val="20"/>
          <w:szCs w:val="20"/>
          <w:color w:val="auto"/>
        </w:rPr>
      </w:pPr>
      <w:r>
        <w:rPr>
          <w:rFonts w:ascii="Arial" w:cs="Arial" w:eastAsia="Arial" w:hAnsi="Arial"/>
          <w:sz w:val="18"/>
          <w:szCs w:val="18"/>
          <w:color w:val="auto"/>
        </w:rPr>
        <w:t>***In May 2022, we completed the U.S. divestiture of Sunosi to Axsome Therapeutics, or Axsome; we expect to complete the ex-U.S. divestiture to Axsome later this year. For more information, see Note 2, Disposition and License Agreements, of the Notes to Condensed Consolidated Financial Statements, included in Part I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****Accelerated approval received from the U.S. Food and Drug Administration, or FDA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*****Conditional approval received from Health Canada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We are the global leader in the development and commercialization of oxybate therapy for patients with sleep disorders. Xyrem was approved by FDA in 2002, and has become a standard of care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w:t>
      </w:r>
    </w:p>
    <w:p>
      <w:pPr>
        <w:spacing w:after="0" w:line="63"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Since there is no cure for narcolepsy and long-term disease management is needed, we believe that Xywav represents an important new therapeutic option for patients with this sleep disorder. Our commercial efforts are focused on educating patients and physicians about the lifelong impact of high sodium intake, and how the use of Xywav enables them to address what is a modifiable risk factor.</w:t>
      </w:r>
    </w:p>
    <w:p>
      <w:pPr>
        <w:spacing w:after="0" w:line="76"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In June 2021, FDA recognized seven years of Orphan Drug Exclusivity, or ODE, for Xywav in narcolepsy. ODE extends through July 2027.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w:t>
      </w:r>
    </w:p>
    <w:p>
      <w:pPr>
        <w:spacing w:after="0" w:line="80"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We view the adoption of Xywav in narcolepsy as a positive indication that physicians and patients appreciate the benefits of a lower sodium oxybate option. We continue to see Xywav adoption among existing Xyrem patients, as well as the majority of new-to-oxybate narcolepsy patients.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On August 12, 2021, FDA approved Xywav for the treatment of IH in adults. Xywav is the first and only FDA-approved therapy to treat IH. We initiated the U.S. commercial launch of Xywav for the treatment of IH in adults on November 1,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spacing w:after="0" w:line="80"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We now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7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We have seen strong adoption of Xywav in narcolepsy since its launch in November 2020, and increasing adoption in IH since its launch in November 2021. Exiting the second quarter of 2022, there were approximately 8,700 patients taking Xywav, including approximately 7,550 patients with narcolepsy and approximately 1,150 patients with IH. With respect to Xywav and Xyrem in the aggregate, the average number of active oxybate patients on therapy was approximately 17,100 in the second quarter of 2022.</w:t>
      </w:r>
    </w:p>
    <w:p>
      <w:pPr>
        <w:spacing w:after="0" w:line="7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use as adjunctive therapy of seizures associated with LGS or DS, in conjunction with clobazam, for patients two years of age and older. The clobazam restriction is limited to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and Australia.</w:t>
      </w:r>
    </w:p>
    <w:p>
      <w:pPr>
        <w:spacing w:after="0" w:line="86" w:lineRule="exact"/>
        <w:rPr>
          <w:sz w:val="20"/>
          <w:szCs w:val="20"/>
          <w:color w:val="auto"/>
        </w:rPr>
      </w:pPr>
    </w:p>
    <w:p>
      <w:pPr>
        <w:ind w:right="40" w:firstLine="445"/>
        <w:spacing w:after="0" w:line="311" w:lineRule="auto"/>
        <w:rPr>
          <w:sz w:val="20"/>
          <w:szCs w:val="20"/>
          <w:color w:val="auto"/>
        </w:rPr>
      </w:pPr>
      <w:r>
        <w:rPr>
          <w:rFonts w:ascii="Arial" w:cs="Arial" w:eastAsia="Arial" w:hAnsi="Arial"/>
          <w:sz w:val="16"/>
          <w:szCs w:val="16"/>
          <w:color w:val="auto"/>
        </w:rPr>
        <w:t>Sativex (nabiximols) is approved in more than 29 countries outside the U.S. for the treatment of adult patients with moderate to severe spasticity due to MS who have not responded adequately to other anti-spasticity medication. We market Sativex directly in the U.K. and through licensing agreements with partners in other countries. We are working toward potential approval of nabiximols in the U.S. with multiple Phase 3 clinical trials in progress.</w:t>
      </w:r>
    </w:p>
    <w:p>
      <w:pPr>
        <w:spacing w:after="0" w:line="4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In addition to our currently-marketed products, we previously marketed Sunosi® (solriamfetol) in the U.S. and, pending the completion of the ex-U.S. divestiture of Sunosi to Axsome Therapeutics, or Axsome, we continue to market Sunosi in Europe and Canada. In this regard, in March 2022, we entered into a definitive agreement to divest Sunosi to Axsome. In May 2022, we completed the U.S. divestiture of Sunosi to Axsome and we expect to complete the ex-U.S. divestiture to Axsome later this year. Under the terms of the sale agreement with Axsome, Axsome received the rights to Sunosi in all of the existing territories available to us. We received an upfront payment of $53.0 million, and will receive a high single-digit royalty on Axsome’s U.S. net sales of Sunosi in current indications and a mid-single-digit royalty on Axsome’s U.S. net sales of Sunosi in future indications. The divestiture of Sunosi to Axsome is intended to enable us to sharpen our focus on our highest strategic priorities designed to deliver sustainable growth and enhanced shareholder value. In assessing the positioning of Sunosi in the overall treatment landscape, we believe that Axsome is well positioned to deliver access to this important medicine and to maximize the value of Sunosi to us through future growth.</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80" w:firstLine="445"/>
        <w:spacing w:after="0" w:line="274" w:lineRule="auto"/>
        <w:rPr>
          <w:sz w:val="20"/>
          <w:szCs w:val="20"/>
          <w:color w:val="auto"/>
        </w:rPr>
      </w:pPr>
      <w:r>
        <w:rPr>
          <w:rFonts w:ascii="Arial" w:cs="Arial" w:eastAsia="Arial" w:hAnsi="Arial"/>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and see continued opportunities for growth in second-line share and overall demand, reflecting the significant unmet need and favorable Zepzelca product profile. In collaboration with F. Hoffmann-La Roche Ltd (Roche), we have initiated a Phase 3 pivotal clinical trial in first-line extensive stage SCLC of Zepzelca in combination with Tecentriq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(atezolizumab). We are also developing Zepzelca in additional indications.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80" w:lineRule="auto"/>
        <w:rPr>
          <w:sz w:val="20"/>
          <w:szCs w:val="20"/>
          <w:color w:val="auto"/>
        </w:rPr>
      </w:pPr>
      <w:r>
        <w:rPr>
          <w:rFonts w:ascii="Arial" w:cs="Arial" w:eastAsia="Arial" w:hAnsi="Arial"/>
          <w:sz w:val="16"/>
          <w:szCs w:val="16"/>
          <w:color w:val="auto"/>
        </w:rPr>
        <w:t xml:space="preserve">Rylaze was approved by FDA in June 2021 under the Real-Time Oncology Review, or RTOR,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Rylaze is the only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manufactured product that maintains a clinically meaningful level of asparaginase activity throughout the entire duration of treatment. We developed Rylaze to address the needs of patients and health care providers for an innovative, high-quality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with reliable supply. The current indication is for an intramuscular, or IM, dosing regimen of 25 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every 48 hours. We submitted a supplemental Biologics License Application, or sBLA, with additional data in support of a Monday/Wednesday/Friday, or M/W/F, IM dosing schedule in January 2022 and submitted a separate sBLA for intravenous, or IV, administration in April 2022, both of which have been granted review under the RTOR program with Prescription Drug User Fee Act, or PDUFA, action dates in 2022 and 2023, respectively. We also completed a Marketing Authorization Application, or MAA, submission to the European Medicines Agency, or EMA, in May 2022 for M/W/F and every 48-hour dosing schedules and IV and IM administration, with potential for approval in 2023. In addition, we submitted a New Drug Submission, or NDS, to Health Canada in September 2021. We are also advancing the program for potential submission, approval and launch in Japan, as well as planning additional submissions in other markets.</w:t>
      </w:r>
    </w:p>
    <w:p>
      <w:pPr>
        <w:spacing w:after="0" w:line="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Vyxeos is a treatment for adults with newly-diagnosed t-AML, or AML-MRC. In March 2021, FDA approved a revised label to include a new</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indication to treat newly-diagnosed t-AML, or AML with myelodysplasia-related changes in pediatric patients aged one year and older. We have a number</w:t>
      </w:r>
    </w:p>
    <w:p>
      <w:pPr>
        <w:spacing w:after="0" w:line="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of ongoing development activities and continue to expand into new markets internationally. Despite an ongoing trend in the U.S. towards lower-intensity treatments and away from Vyxeos that accelerated due to the COVID-19 pandemic, we continue to see recovery in demand for Vyxeos and expect future demand for appropriate secondary AML patients to remain steady. In Europe, we continue to expect a negative impact on demand for and utilization of Vyxeos compared to historical periods due to COVID-19.</w:t>
      </w:r>
    </w:p>
    <w:p>
      <w:pPr>
        <w:spacing w:after="0" w:line="79"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Defitelio is the first and only approved treatment for patients with VOD following HSCT. There was a significant decline in the number of patients receiving HSCT due to the effects of the COVID-19 pandemic. We anticipate the use of Defitelio will increase to the extent that hospital systems globally are able to continue moving forward with HSCT procedures.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 xml:space="preserve">With the approvals and launches of Rylaze for the treatment ALL or LBL in pediatric and adult patients one month and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and Xywav for IH in 2021, we accomplished our goal to deliver five product launches through 2020 and 2021. We have taken both Rylaze and Xywav from concept to commercialization.</w:t>
      </w:r>
    </w:p>
    <w:p>
      <w:pPr>
        <w:spacing w:after="0" w:line="76"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Our neuroscience R&amp;D efforts include the planned initiation of a pivotal Phase 3 clinical trial of Epidiolex for the treatment of Epilepsy with Myoclonic-Atonic Seizures, or EMAS, also known as Doose syndrome. This trial is expected to evaluate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w:t>
      </w:r>
    </w:p>
    <w:p>
      <w:pPr>
        <w:spacing w:after="0" w:line="80" w:lineRule="exact"/>
        <w:rPr>
          <w:sz w:val="20"/>
          <w:szCs w:val="20"/>
          <w:color w:val="auto"/>
        </w:rPr>
      </w:pPr>
    </w:p>
    <w:p>
      <w:pPr>
        <w:ind w:right="220" w:firstLine="445"/>
        <w:spacing w:after="0" w:line="296" w:lineRule="auto"/>
        <w:rPr>
          <w:sz w:val="20"/>
          <w:szCs w:val="20"/>
          <w:color w:val="auto"/>
        </w:rPr>
      </w:pPr>
      <w:r>
        <w:rPr>
          <w:rFonts w:ascii="Arial" w:cs="Arial" w:eastAsia="Arial" w:hAnsi="Arial"/>
          <w:sz w:val="16"/>
          <w:szCs w:val="16"/>
          <w:color w:val="auto"/>
        </w:rPr>
        <w:t>For nabiximols, we have multiple Phase 3 clinical trials in MS-related spasticity in progress. Spasticity occurs in up to 84% of MS patients, and approximately one-third of those who experience spasticity live with uncontrolled symptoms. In June 2022, we announced top-line results from the first and smallest trial, which evaluated the safety and efficacy of nabiximols in 68 patients with MS spasticity. The trial did not meet the primary endpoint of change in Lower Limb Muscle Tone-6, or LLMT-6, between baseline and Day 21, as measured by the Modified Ashworth Scale, or MAS. The safety profile of nabiximols in this trial was consistent with previously reported adverse events, with no new safety signals attributable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nabiximols oromucosal spray observed in this population. We continue to assess the trial results, which will be presented at a future medical meeting.</w:t>
      </w:r>
    </w:p>
    <w:p>
      <w:pPr>
        <w:spacing w:after="0" w:line="12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Additionally, in December 2021 we initiated Phase 2 clinical trials for suvecaltamide, or JZP385, for essential tremor, or ET, and for JZP150 for post-traumatic stress disorder, or PTSD. These are both patient populations that suffer significant impacts to their quality of life and for whom there are limited current treatment options. We are also pursuing early-stage activities related to the development of JZP324, an extended-release low sodium, oxybate formulation that we believe could provide a clinically meaningful option for narcolepsy patients.</w:t>
      </w:r>
    </w:p>
    <w:p>
      <w:pPr>
        <w:spacing w:after="0" w:line="119"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Within our oncology R&amp;D program, there is a robust development plan being executed for Zepzelca. We are collaborating with Roche on a pivotal Phase 3 clinical trial evaluating Zepzelca in combination with Tecentriq in first-line extensive stage SCLC. In December 2021, our licensor PharmaMar initiated a confirmatory trial in second-line SCLC. This is a three-arm trial comparing Zepzelca as either monotherapy or in combination with irinotecan to investigator's choice of irinotecan or topotecan. Data from this trial could confirm the benefit of Zepzelca in the treatment of SCLC when patients progress following first-line treatment with a platinum-based regimen.</w:t>
      </w:r>
    </w:p>
    <w:p>
      <w:pPr>
        <w:spacing w:after="0" w:line="80" w:lineRule="exact"/>
        <w:rPr>
          <w:sz w:val="20"/>
          <w:szCs w:val="20"/>
          <w:color w:val="auto"/>
        </w:rPr>
      </w:pPr>
    </w:p>
    <w:p>
      <w:pPr>
        <w:jc w:val="both"/>
        <w:ind w:right="40" w:firstLine="445"/>
        <w:spacing w:after="0" w:line="259" w:lineRule="auto"/>
        <w:rPr>
          <w:sz w:val="20"/>
          <w:szCs w:val="20"/>
          <w:color w:val="auto"/>
        </w:rPr>
      </w:pPr>
      <w:r>
        <w:rPr>
          <w:rFonts w:ascii="Arial" w:cs="Arial" w:eastAsia="Arial" w:hAnsi="Arial"/>
          <w:sz w:val="18"/>
          <w:szCs w:val="18"/>
          <w:color w:val="auto"/>
        </w:rPr>
        <w:t>In 2022, we initiated a Phase 2 basket trial to explore Zepzelca monotherapy in patients with select advanced or metastatic solid tumors. Cohorts will include advanced urothelial cancer, large cell neuroendocrine tumor of the lung and homologous recombination deficient, or HRD, cancers. In addition, we have initiated a Phase 4 observational study to collect real world safety and outcome data in adult Zepzelca monotherapy patients with SCLC who progress on or after prior platinum-containing chemotherapy.</w:t>
      </w:r>
    </w:p>
    <w:p>
      <w:pPr>
        <w:spacing w:after="0" w:line="79" w:lineRule="exact"/>
        <w:rPr>
          <w:sz w:val="20"/>
          <w:szCs w:val="20"/>
          <w:color w:val="auto"/>
        </w:rPr>
      </w:pPr>
    </w:p>
    <w:p>
      <w:pPr>
        <w:ind w:right="420" w:firstLine="445"/>
        <w:spacing w:after="0" w:line="263" w:lineRule="auto"/>
        <w:rPr>
          <w:sz w:val="20"/>
          <w:szCs w:val="20"/>
          <w:color w:val="auto"/>
        </w:rPr>
      </w:pPr>
      <w:r>
        <w:rPr>
          <w:rFonts w:ascii="Arial" w:cs="Arial" w:eastAsia="Arial" w:hAnsi="Arial"/>
          <w:sz w:val="18"/>
          <w:szCs w:val="18"/>
          <w:color w:val="auto"/>
        </w:rPr>
        <w:t>For Rylaze, in January 2022 we submitted an sBLA with data in support of a M/W/F IM dosing schedule and submitted a separate sBLA for intravenous administration in April 2022, both of which have been granted review under the RTOR program. We completed a MAA submission to the EMA in May 2022.</w:t>
      </w:r>
    </w:p>
    <w:p>
      <w:pPr>
        <w:spacing w:after="0" w:line="76"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In June 2022, we announced the FDA had cleared our Investigational New Drug, or IND, application for JZP815. JZP815 is an investigational, pre-clinical stage pan-RAF kinase inhibitor that targets specific components of the mitogen-activated protein kinase, or MAPK, pathway that, when activated by oncogenic mutations, can be a frequent driver of human cancer.</w:t>
      </w:r>
    </w:p>
    <w:p>
      <w:pPr>
        <w:spacing w:after="0" w:line="76"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the second quarter of 2022, we acquired development and commercialization rights to two early-stage molecules, consistent with our objective to expand our pipeline. In April 2022, we announced that we had entered into a licensing agreement with Werewolf Therapeutics, Inc., or Werewolf, to acquire exclusive global development and commercialization rights to Werewolf's investigational WTX-613, now referred to as JZP898. JZP898 is a differentiated, conditionally-activated interferon alpha, or IFNα, INDUKINE™ molecule.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w:t>
      </w:r>
    </w:p>
    <w:p>
      <w:pPr>
        <w:spacing w:after="0" w:line="84" w:lineRule="exact"/>
        <w:rPr>
          <w:sz w:val="20"/>
          <w:szCs w:val="20"/>
          <w:color w:val="auto"/>
        </w:rPr>
      </w:pPr>
    </w:p>
    <w:p>
      <w:pPr>
        <w:ind w:right="380" w:firstLine="445"/>
        <w:spacing w:after="0" w:line="296" w:lineRule="auto"/>
        <w:rPr>
          <w:sz w:val="20"/>
          <w:szCs w:val="20"/>
          <w:color w:val="auto"/>
        </w:rPr>
      </w:pPr>
      <w:r>
        <w:rPr>
          <w:rFonts w:ascii="Arial" w:cs="Arial" w:eastAsia="Arial" w:hAnsi="Arial"/>
          <w:sz w:val="16"/>
          <w:szCs w:val="16"/>
          <w:color w:val="auto"/>
        </w:rPr>
        <w:t>In May 2022, we announced that we had entered into a licensing agreement with Sumitomo Pharma Co., Ltd, or Sumitomo, to acquire exclusive development and commercialization rights in the United States, Europe and other territories for DSP-0187, now referred to as JZP441, a potent, highly selective oral orexin-2 receptor agonist with potential application for the treatment of narcolepsy, IH and other sleep disorders.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Jazz's net sales of JZP441.</w:t>
      </w:r>
    </w:p>
    <w:p>
      <w:pPr>
        <w:spacing w:after="0" w:line="53"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8040" w:type="dxa"/>
            <w:vAlign w:val="bottom"/>
            <w:gridSpan w:val="4"/>
          </w:tcPr>
          <w:p>
            <w:pPr>
              <w:ind w:left="1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Epidiolex</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EMAS, also known as Doose syndrome (planned study)</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Nabiximols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MS Spasticity (multiple studies ongoing)</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Spinal cord injury spasticity (planned study)</w:t>
            </w: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Suvecaltamide (JZP385)</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ET (ongoing study)</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PTSD (ongoing study)</w:t>
            </w:r>
          </w:p>
        </w:tc>
        <w:tc>
          <w:tcPr>
            <w:tcW w:w="100" w:type="dxa"/>
            <w:vAlign w:val="bottom"/>
          </w:tcPr>
          <w:p>
            <w:pPr>
              <w:spacing w:after="0"/>
              <w:rPr>
                <w:sz w:val="20"/>
                <w:szCs w:val="20"/>
                <w:color w:val="auto"/>
              </w:rPr>
            </w:pPr>
          </w:p>
        </w:tc>
      </w:tr>
      <w:tr>
        <w:trPr>
          <w:trHeight w:val="86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940" w:type="dxa"/>
            <w:vAlign w:val="bottom"/>
            <w:gridSpan w:val="3"/>
          </w:tcPr>
          <w:p>
            <w:pPr>
              <w:jc w:val="right"/>
              <w:ind w:right="54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7280" w:type="dxa"/>
            <w:vAlign w:val="bottom"/>
            <w:gridSpan w:val="3"/>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Additional cannabinoids</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Autism spectrum disorders (ongoing study)</w:t>
            </w:r>
          </w:p>
        </w:tc>
      </w:tr>
      <w:tr>
        <w:trPr>
          <w:trHeight w:val="230"/>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JZP324</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Oxybate extended-release formulation (planned study)</w:t>
            </w: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JZP441 (DSP-0187)</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Potent, highly selective oral orexin-2 receptor agonist (Japan)</w:t>
            </w: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Neonatal hypoxic-ischemic encephalopathy (ongoing study)</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Neuropsychiatry targets (ongoing study)</w:t>
            </w:r>
          </w:p>
        </w:tc>
      </w:tr>
      <w:tr>
        <w:trPr>
          <w:trHeight w:val="230"/>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Neuroscience</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Cannabinoids</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ONCOLOGY</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Review</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Rylaze</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ALL/LBL</w:t>
            </w: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3"/>
              </w:rPr>
              <w:t>FDA approval in June 2021; submitted sBLA in January 2022 seeking approval for M/W/F</w:t>
            </w: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IM dosing schedule; submitted separate sBLA seeking approval for intravenous</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administration; completed MAA submission to EMA in May 2022</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Zepzelca</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(ongoing study)</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Confirmatory Study (PharmaMar study) (ongoing study)</w:t>
            </w: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AML or high-risk Myelodysplastic Syndrome, or MDS (AML18) (cooperative group</w:t>
            </w: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4"/>
              </w:rPr>
              <w:t>studies) (ongoing study) Newly diagnosed adults with standard- and high-risk AML (AML</w:t>
            </w: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2"/>
              </w:rPr>
              <w:t>Study Group cooperative group study) (ongoing study) Newly diagnosed pediatric patients</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with AML (Children’s Oncology Group cooperative group study) (ongoing study)</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2</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Zepzelca</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5"/>
              </w:rPr>
              <w:t>Basket trial including urothelial cancer, large cell neuroendocrine tumor of the lung, and</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HRD cancers (ongoing study)</w:t>
            </w: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2"/>
              </w:rPr>
              <w:t>High-risk MDS (European Myelodysplastic Syndromes (cooperative group study) (ongoing</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study)</w:t>
            </w:r>
          </w:p>
        </w:tc>
      </w:tr>
      <w:tr>
        <w:trPr>
          <w:trHeight w:val="29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w w:val="99"/>
              </w:rPr>
              <w:t>Newly diagnosed older adults with high-risk AML (cooperative group study) (planned</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study)</w:t>
            </w: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 + venetoclax</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3"/>
              </w:rPr>
              <w:t>De novo or relapsed/refractory, or R/R, AML (MD Anderson collaboration study) (ongoing</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study)</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8"/>
              </w:rPr>
              <w:t>Low intensity dosing for higher risk MDS (MD Anderson collaboration study) (ongoing</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study)</w:t>
            </w: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Vyxeos + other approved therapies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(ongoing study)</w:t>
            </w:r>
          </w:p>
        </w:tc>
      </w:tr>
      <w:tr>
        <w:trPr>
          <w:trHeight w:val="3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First-line, fit AML (Phase 1b study) (ongoing study)</w:t>
            </w: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Low intensity therapy for first-line, unfit AML (Phase 1b study) (ongoing study)</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Hematology/oncology exploratory activities</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ALL and other hematological malignancies (collaboration with Ligand)</w:t>
            </w: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JZP815/Pan-Raf inhibitor program</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Raf and Ras mutant tumors (acquired from Redx)</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JZP898</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Conditionally-activated interferon alpha (IFNα) INDUKINE™ molecule</w:t>
            </w: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Undisclosed target</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Ras/Raf/MAPK pathway (collaboration with Redx)</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Oncology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71995" cy="25717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p>
      <w:pPr>
        <w:ind w:left="140"/>
        <w:spacing w:after="0"/>
        <w:rPr>
          <w:sz w:val="20"/>
          <w:szCs w:val="20"/>
          <w:color w:val="auto"/>
        </w:rPr>
      </w:pPr>
      <w:r>
        <w:rPr>
          <w:rFonts w:ascii="Arial" w:cs="Arial" w:eastAsia="Arial" w:hAnsi="Arial"/>
          <w:sz w:val="16"/>
          <w:szCs w:val="16"/>
          <w:color w:val="auto"/>
        </w:rPr>
        <w:t>Exosome targets (up to 3 targets)</w:t>
      </w:r>
    </w:p>
    <w:p>
      <w:pPr>
        <w:spacing w:after="0" w:line="20" w:lineRule="exact"/>
        <w:rPr>
          <w:sz w:val="20"/>
          <w:szCs w:val="20"/>
          <w:color w:val="auto"/>
        </w:rPr>
      </w:pPr>
      <w:r>
        <w:rPr>
          <w:sz w:val="20"/>
          <w:szCs w:val="20"/>
          <w:color w:val="auto"/>
        </w:rPr>
        <w:br w:type="column"/>
      </w:r>
    </w:p>
    <w:p>
      <w:pPr>
        <w:ind w:right="160"/>
        <w:spacing w:after="0" w:line="234" w:lineRule="auto"/>
        <w:rPr>
          <w:sz w:val="20"/>
          <w:szCs w:val="20"/>
          <w:color w:val="auto"/>
        </w:rPr>
      </w:pPr>
      <w:r>
        <w:rPr>
          <w:rFonts w:ascii="Arial" w:cs="Arial" w:eastAsia="Arial" w:hAnsi="Arial"/>
          <w:sz w:val="18"/>
          <w:szCs w:val="18"/>
          <w:color w:val="auto"/>
        </w:rPr>
        <w:t>Hematological malignancies/solid tumors (collaboration with Codiak BioSciences, Inc., or Codiak)</w:t>
      </w:r>
    </w:p>
    <w:p>
      <w:pPr>
        <w:spacing w:after="0" w:line="1" w:lineRule="exact"/>
        <w:rPr>
          <w:sz w:val="20"/>
          <w:szCs w:val="20"/>
          <w:color w:val="auto"/>
        </w:rPr>
      </w:pPr>
    </w:p>
    <w:p>
      <w:pPr>
        <w:sectPr>
          <w:pgSz w:w="11900" w:h="16838" w:orient="portrait"/>
          <w:cols w:equalWidth="0" w:num="2">
            <w:col w:w="3740" w:space="720"/>
            <w:col w:w="6680"/>
          </w:cols>
          <w:pgMar w:left="320" w:top="108" w:right="439" w:bottom="1440" w:gutter="0" w:footer="0" w:header="0"/>
          <w:type w:val="continuous"/>
        </w:sectPr>
      </w:pPr>
    </w:p>
    <w:p>
      <w:pPr>
        <w:ind w:left="140"/>
        <w:spacing w:after="0"/>
        <w:tabs>
          <w:tab w:leader="none" w:pos="4440" w:val="left"/>
        </w:tabs>
        <w:rPr>
          <w:sz w:val="20"/>
          <w:szCs w:val="20"/>
          <w:color w:val="auto"/>
        </w:rPr>
      </w:pPr>
      <w:r>
        <w:rPr>
          <w:rFonts w:ascii="Arial" w:cs="Arial" w:eastAsia="Arial" w:hAnsi="Arial"/>
          <w:sz w:val="18"/>
          <w:szCs w:val="18"/>
          <w:color w:val="auto"/>
        </w:rPr>
        <w:t>Undisclosed targets</w:t>
      </w:r>
      <w:r>
        <w:rPr>
          <w:sz w:val="20"/>
          <w:szCs w:val="20"/>
          <w:color w:val="auto"/>
        </w:rPr>
        <w:tab/>
      </w:r>
      <w:r>
        <w:rPr>
          <w:rFonts w:ascii="Arial" w:cs="Arial" w:eastAsia="Arial" w:hAnsi="Arial"/>
          <w:sz w:val="17"/>
          <w:szCs w:val="17"/>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are increasing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 xml:space="preserve">We have implemented a comprehensive response strategy designed to manage the impact of the COVID-19 pandemic on our employees, patients and our business. The prolonged nature of the pandemic is negatively impacting our business in a varied manner due to the emergence of variants with increased transmissibility, even in vaccinated people, including limited access to health care provider offices and institutions and the willingness of patients or parents of patients to seek treatment or change existing treatments.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6"/>
          <w:szCs w:val="16"/>
          <w:color w:val="212529"/>
        </w:rPr>
        <w:t>we have begun to</w:t>
      </w:r>
      <w:r>
        <w:rPr>
          <w:rFonts w:ascii="Arial" w:cs="Arial" w:eastAsia="Arial" w:hAnsi="Arial"/>
          <w:sz w:val="16"/>
          <w:szCs w:val="16"/>
          <w:color w:val="auto"/>
        </w:rPr>
        <w:t xml:space="preserve"> </w:t>
      </w:r>
      <w:r>
        <w:rPr>
          <w:rFonts w:ascii="Arial" w:cs="Arial" w:eastAsia="Arial" w:hAnsi="Arial"/>
          <w:sz w:val="16"/>
          <w:szCs w:val="16"/>
          <w:color w:val="212529"/>
        </w:rPr>
        <w:t>observe, and expect to continue to observe, a gradual normalization in patient and health care provider practices, as providers and patients have adapted their behaviors and procedures to the evolving circumstances and as COVID-19 vaccines continue to be administered.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Workplace and Employees</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virtual and in-person work. In addition to rolling out new technologies and collaboration tools, we have implemented processes and resources to support our employees in the event an employee receives a positive COVID-19 diagnosis. We have reopened our sites to enable our employees to return to our global offices, which takes into account applicable public health authority and local government guidelines, and which is designed to ensure community and employee safety. We have moved to a more flexible mix of virtual and in-person working designed to advance our culture, drive innovation and agility and enable greater balance and well-being for our workforce. This should also enable us to reconfigure our physical workspaces to optimize the footprint of our company-owned or leased office spaces.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There continues to be some negative impact on demand, new patient starts and treatments for our products arising from the pandemic, primarily due to the inherent limitations of telemedicine and a reprioritization of healthcare resources toward COVID-19. As healthcare systems have adapted to cope with the ongoing situation, we have seen improvements.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lack of access to health care providers has caused, and may continue to cause, delays in appropriate diagnosis, treatment and ongoing care for some patients, which has negatively impacted, and could continue to impact, prescribing and use of our products.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Our manufacturing facilities in Athlone, Ireland, which produces Xywav and Xyrem, Villa Guardia, Italy, which produces defibrotide, and Kent Science Park, U.K., which produces Epidiolex/Epidyolex and Sativex, are operational with essential staff onsite and office-based staff working onsite and virtually as business needs require. We currently expect to have adequate global supply of all of our products for 2022.</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With respect to our clinical trial activities, we have taken measures to implement remote and virtual approaches, including remote data monitoring where possible, to maintain patient safety and trial continuity and to preserve study integrity.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seen some COVID-19-related impact to our mid- and late-stage clinical trial activity. We rely on contract research organizations or other third parties to assist us with clinical trials, and we cannot guarantee that they will perform their contractual duties in a timely and satisfactory manner as a result of the evolving effects of the COVID-19 pandemic. Similarly, our ability to recruit and retain patients and principal investigators and site staff who, as health care providers, have heightened exposure to COVID-19, is adversely impacting our clinical trial operations. Supply chain disruptions related to the pandemic have also impacted our ability to initiate clinical trials as originally planned.</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In addition, we are supporting our local communities and patient-focused organizations in COVID-19 relief efforts including through corporate donations to charitable organizations providing food and medical relief to communities in which we operate, and other localities where the needs related to the impact of COVID-19 are greatest. We are engaging with patient advocacy organizations to better understand the impact of COVID-19 and working to enable patients living with sleep disorders, epilepsies and oncology conditions with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Our business has been substantially dependent on Xyrem. Our future plans assume that Xywav, with 92% lower sodium compared to Xyrem, depending on the dose, absence of a sodium warning and dosing titration option, will become the treatment of choice for patients who can benefit from oxybate treatment, including current Xyrem patients and patients who previously were not prescribed Xyrem for whom sodium content is a concern. In June 2021, FDA recognized seven years of ODE for Xywav in narcolepsy through July 21, 2027 stating that Xywav is clinically superior to Xyrem by means of greater safety due to reduced chronic sodium burden. While we expect that our business will continue to be substantially dependent on oxybate product sales from both Xywav and Xyrem, there is no guarantee that we can maintain oxybate sales at or near historical levels, or that oxybate sales will continue to grow.</w:t>
      </w:r>
    </w:p>
    <w:p>
      <w:pPr>
        <w:spacing w:after="0" w:line="8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ability to successfully commercialize Xywav will depend on, among other things, our ability to maintain adequate coverage and reimbursement for Xywav and acceptance of Xywav by payors, physicians and patients, including of Xywav for the treatment of IH in adults.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PBMs and other third party payors, or that we will be able to ensure patient access and acceptance on institutional formularies. Entering into agreements with PBMs and payors to ensure patient access has and will likely continue to result in higher gross to net deductions. In addition to the COVID-19-related impacts described above, we expect our oxybate products to face near-term competition from generic and authorized generic versions of sodium oxybate pursuant to the settlement agreements we have entered into with multiple abbreviated new drug application, or ANDA, filers. Generic competition can decrease the prices at which Xywav and Xyrem are sold and the number of prescriptions written for Xywav and Xyrem. Xywav and Xyrem may also face increased competition from new branded products for treatment of cataplexy and/or EDS in narcolepsy in the U.S. market.</w:t>
      </w:r>
    </w:p>
    <w:p>
      <w:pPr>
        <w:spacing w:after="0" w:line="74"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 depends on the extent to which patients and physicians accept and adopt Epidiolex as a treatment for seizures associated with LGS, DS and TSC,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70" w:lineRule="exact"/>
        <w:rPr>
          <w:sz w:val="20"/>
          <w:szCs w:val="20"/>
          <w:color w:val="auto"/>
        </w:rPr>
      </w:pPr>
    </w:p>
    <w:p>
      <w:pPr>
        <w:ind w:right="38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53"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The success of the GW Acquisition will depend, in part, on our ability to realize the anticipated benefits from our and GW’s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As a result, the anticipated benefits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68" w:lineRule="exact"/>
        <w:rPr>
          <w:sz w:val="20"/>
          <w:szCs w:val="20"/>
          <w:color w:val="auto"/>
        </w:rPr>
      </w:pPr>
    </w:p>
    <w:p>
      <w:pPr>
        <w:ind w:right="200" w:firstLine="445"/>
        <w:spacing w:after="0" w:line="272" w:lineRule="auto"/>
        <w:rPr>
          <w:sz w:val="20"/>
          <w:szCs w:val="20"/>
          <w:color w:val="auto"/>
        </w:rPr>
      </w:pPr>
      <w:r>
        <w:rPr>
          <w:rFonts w:ascii="Arial" w:cs="Arial" w:eastAsia="Arial" w:hAnsi="Arial"/>
          <w:sz w:val="17"/>
          <w:szCs w:val="17"/>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 institutional access for our products and future approved products, we will not be able to achieve a return on our investment and our business, financial condition, results of operations and growth prospects would be materially adversely affected.</w:t>
      </w:r>
    </w:p>
    <w:p>
      <w:pPr>
        <w:spacing w:after="0" w:line="69"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may be removed from control under the Controlled Substances Act entirely. If any of our product candidates receive FDA approval, the U.S. Drug Enforcement Administration, or DEA, will make a scheduling determination. If any foreign regulatory authority determines that Epidyolex may have potential for abuse, or if DEA makes a similar determination for nabiximols, it may require us to generate more clinical or other data than we currently anticipate to establish whether or to what extent the substance has an abuse potential, which could increase the cost, delay the approval and/or delay the launch of that product. In addition, there are non-FDA approved cannabidiol preparations being made available from companies through the state-enabled medical marijuana industry, which might attempt to compete with Epidiolex and, if approved by FDA, nabiximols. If we are unable to compete successfully, our commercial opportunities will be reduced and our business, results of operations and financial conditions may be materially harmed.</w:t>
      </w:r>
    </w:p>
    <w:p>
      <w:pPr>
        <w:spacing w:after="0" w:line="73" w:lineRule="exact"/>
        <w:rPr>
          <w:sz w:val="20"/>
          <w:szCs w:val="20"/>
          <w:color w:val="auto"/>
        </w:rPr>
      </w:pPr>
    </w:p>
    <w:p>
      <w:pPr>
        <w:ind w:right="40" w:firstLine="445"/>
        <w:spacing w:after="0" w:line="217" w:lineRule="exact"/>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see Note 10, Commitments and Contingencies-Legal Proceedings of the Notes to Condensed Consolidated Financial Statements, included in Part I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w:t>
      </w:r>
    </w:p>
    <w:p>
      <w:pPr>
        <w:spacing w:after="0" w:line="98"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II, Item 1A of this Quarterly Report on Form 10-Q.</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vMerge w:val="restart"/>
          </w:tcPr>
          <w:p>
            <w:pPr>
              <w:jc w:val="center"/>
              <w:ind w:right="250"/>
              <w:spacing w:after="0"/>
              <w:rPr>
                <w:sz w:val="20"/>
                <w:szCs w:val="20"/>
                <w:color w:val="auto"/>
              </w:rPr>
            </w:pPr>
            <w:r>
              <w:rPr>
                <w:rFonts w:ascii="Arial" w:cs="Arial" w:eastAsia="Arial" w:hAnsi="Arial"/>
                <w:sz w:val="14"/>
                <w:szCs w:val="14"/>
                <w:b w:val="1"/>
                <w:bCs w:val="1"/>
                <w:color w:val="auto"/>
                <w:w w:val="92"/>
              </w:rPr>
              <w:t>Increase/</w:t>
            </w: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1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4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2"/>
              <w:spacing w:after="0" w:line="184"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2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2"/>
              <w:spacing w:after="0" w:line="184" w:lineRule="exact"/>
              <w:rPr>
                <w:sz w:val="20"/>
                <w:szCs w:val="20"/>
                <w:color w:val="auto"/>
              </w:rPr>
            </w:pPr>
            <w:r>
              <w:rPr>
                <w:rFonts w:ascii="Arial" w:cs="Arial" w:eastAsia="Arial" w:hAnsi="Arial"/>
                <w:sz w:val="14"/>
                <w:szCs w:val="14"/>
                <w:b w:val="1"/>
                <w:bCs w:val="1"/>
                <w:color w:val="auto"/>
                <w:w w:val="96"/>
              </w:rPr>
              <w:t xml:space="preserve">2021 </w:t>
            </w:r>
            <w:r>
              <w:rPr>
                <w:rFonts w:ascii="Arial" w:cs="Arial" w:eastAsia="Arial" w:hAnsi="Arial"/>
                <w:sz w:val="18"/>
                <w:szCs w:val="18"/>
                <w:b w:val="1"/>
                <w:bCs w:val="1"/>
                <w:color w:val="auto"/>
                <w:w w:val="96"/>
                <w:vertAlign w:val="superscript"/>
              </w:rPr>
              <w:t>(1)</w:t>
            </w:r>
          </w:p>
        </w:tc>
        <w:tc>
          <w:tcPr>
            <w:tcW w:w="100" w:type="dxa"/>
            <w:vAlign w:val="bottom"/>
          </w:tcPr>
          <w:p>
            <w:pPr>
              <w:spacing w:after="0"/>
              <w:rPr>
                <w:sz w:val="15"/>
                <w:szCs w:val="15"/>
                <w:color w:val="auto"/>
              </w:rPr>
            </w:pPr>
          </w:p>
        </w:tc>
        <w:tc>
          <w:tcPr>
            <w:tcW w:w="1120" w:type="dxa"/>
            <w:vAlign w:val="bottom"/>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748,340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1,351,871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Cost of product sales (excluding amortization of</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124,208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119,194</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239,492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159,383</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technologies)</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366,473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429,031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675,286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689,539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132,696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140,480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208,672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Acquired in-process 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N/A(2)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133,873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96,796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N/A(2)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228,621</w:t>
            </w:r>
          </w:p>
        </w:tc>
        <w:tc>
          <w:tcPr>
            <w:tcW w:w="120" w:type="dxa"/>
            <w:vAlign w:val="bottom"/>
          </w:tcPr>
          <w:p>
            <w:pPr>
              <w:spacing w:after="0"/>
              <w:rPr>
                <w:sz w:val="19"/>
                <w:szCs w:val="19"/>
                <w:color w:val="auto"/>
              </w:rPr>
            </w:pPr>
          </w:p>
        </w:tc>
        <w:tc>
          <w:tcPr>
            <w:tcW w:w="1460" w:type="dxa"/>
            <w:vAlign w:val="bottom"/>
            <w:gridSpan w:val="3"/>
          </w:tcPr>
          <w:p>
            <w:pPr>
              <w:jc w:val="right"/>
              <w:ind w:right="270"/>
              <w:spacing w:after="0"/>
              <w:rPr>
                <w:sz w:val="20"/>
                <w:szCs w:val="20"/>
                <w:color w:val="auto"/>
              </w:rPr>
            </w:pPr>
            <w:r>
              <w:rPr>
                <w:rFonts w:ascii="Arial" w:cs="Arial" w:eastAsia="Arial" w:hAnsi="Arial"/>
                <w:sz w:val="18"/>
                <w:szCs w:val="18"/>
                <w:color w:val="auto"/>
              </w:rPr>
              <w:t>N/A(3)</w:t>
            </w:r>
          </w:p>
        </w:tc>
        <w:tc>
          <w:tcPr>
            <w:tcW w:w="940" w:type="dxa"/>
            <w:vAlign w:val="bottom"/>
          </w:tcPr>
          <w:p>
            <w:pPr>
              <w:jc w:val="right"/>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246,640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(gain) of investees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results of operations of the GW business have been included from the closing of the acquisition of GW on May 5, 2021.</w:t>
      </w:r>
    </w:p>
    <w:p>
      <w:pPr>
        <w:spacing w:after="0" w:line="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5" w:lineRule="exact"/>
        <w:rPr>
          <w:rFonts w:ascii="Arial" w:cs="Arial" w:eastAsia="Arial" w:hAnsi="Arial"/>
          <w:sz w:val="16"/>
          <w:szCs w:val="16"/>
          <w:color w:val="auto"/>
        </w:rPr>
      </w:pPr>
    </w:p>
    <w:p>
      <w:pPr>
        <w:ind w:left="660" w:right="300" w:hanging="652"/>
        <w:spacing w:after="0" w:line="25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fluctuations in the income tax expense (benefit) for the three and six months ended June 30, 2022 and 2021 are as a result of changes in the mix of pre-tax income and losses across our jurisdictions and the impact of the change in the statutory tax rate in the U.K. on the 2021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22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1"/>
              <w:spacing w:after="0" w:line="184"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1"/>
              <w:spacing w:after="0" w:line="184"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124,164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199,580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109,481</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109,481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Sativex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1,004,484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Zepzelca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Vyxeos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28,314</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69,382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163,787</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341,963</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1,351,871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751,811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1,359,392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4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results of operations of the GW business have been included from the closing of the acquisition of GW on May 5, 2021.</w:t>
      </w:r>
    </w:p>
    <w:p>
      <w:pPr>
        <w:spacing w:after="0" w:line="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product sales for Sunosi U.S. are included until the date of divestment to Axsome of May 9, 2022.</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Total oxybate product sales increased by $46.1 million and $68.7 million in the three and six months ended June 30, 2022, respectively, compared to the same periods in 2021. Total oxybate revenue bottle volume increased by 5% and 4% in the three and six months ended June 30, 2022, respectively, compared to the same periods in 2021. Average active oxybate patients on therapy were approximately 17,100 in the second quarter of 2022, an increase of approximately 8% compared to the same period in 2021. Xyrem product sales decreased in the three and six months ended June 30, 2022 compared to the same periods in 2021 primarily due to a decrease in sales volume, reflecting the continued adoption of Xywav by existing Xyrem patients, partially offset by a higher average net selling price. Price increases were instituted in January 2021 and January 2022. Xywav product sales increased in the three and six months ended June 30, 2022 compared to the same periods in 2021 primarily due to higher sales volume, with bottle volume increasing by 81% and 106%, respectively. Xywav product sales were positively impacted by the launch of Xywav for IH and continued strong adoption in narcolepsy driven by educational initiatives around the benefit of lowering sodium intake. Epidiolex/Epidyolex product sales in the three and six months ended June 30, 2022 were $175.3 million and $333.2 million, respectively. On a pro forma basis, Epidiolex/Epidyolex product sales increased by 12% and 10% in the three and six months ended June 30, 2022, respectively, compared to the same periods in 2021, primarily due to an increase in commercial sales volume and a higher average net selling price, partially offset by higher gross to net deductions. Price increases were instituted in January 2021 and January 2022. We completed the U.S divestiture of Sunosi in May 2022. Sunosi product sales increased in the three months ended June 30, 2022 compared to the same period in 2021 primarily due to lower gross to net deductions, driven by the release of the product returns reserve upon completion of the U.S. divestment, partially offset by lower sales volume, and increased in the six months ended June 30, 2022 compared to the same period in 2021 primarily due to lower gross to net deductions.</w:t>
      </w:r>
    </w:p>
    <w:p>
      <w:pPr>
        <w:spacing w:after="0" w:line="72" w:lineRule="exact"/>
        <w:rPr>
          <w:sz w:val="20"/>
          <w:szCs w:val="20"/>
          <w:color w:val="auto"/>
        </w:rPr>
      </w:pPr>
    </w:p>
    <w:p>
      <w:pPr>
        <w:jc w:val="both"/>
        <w:ind w:right="80" w:firstLine="445"/>
        <w:spacing w:after="0" w:line="287" w:lineRule="auto"/>
        <w:rPr>
          <w:sz w:val="20"/>
          <w:szCs w:val="20"/>
          <w:color w:val="auto"/>
        </w:rPr>
      </w:pPr>
      <w:r>
        <w:rPr>
          <w:rFonts w:ascii="Arial" w:cs="Arial" w:eastAsia="Arial" w:hAnsi="Arial"/>
          <w:sz w:val="16"/>
          <w:szCs w:val="16"/>
          <w:color w:val="auto"/>
        </w:rPr>
        <w:t>Zepzelca product sales increased in the three and six months ended June 30, 2022 compared to the same periods in 2021 primarily due to an increase in sales volume resulting from continued adoption of Zepzelca in the treatment of second-line SCLC and a higher average net selling price. Price increases were instituted in July 2021 and January 2022. Rylaze product sales were $73.0 million and $127.2 million in the three and six months ended</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June 30, 2022, respectively, following its U.S. launch in July 2021. Vyxeos product sales increased in the three and six months ended June 30, 2022 compared to the same periods in 2021 primarily due to an increase in sales volume, partially offset by the negative impact of foreign exchange rates. Defitelio/defibrotide product sales increased in the three and six months ended June 30, 2022 compared to the same periods in 2021 primarily due to a higher average net selling price and an increase in sales volume, partially offset by the negative impact of foreign exchange rates. We distributed our final Erwinaze inventory in June 2021 following expiration of our license and supply agreement.</w:t>
      </w:r>
    </w:p>
    <w:p>
      <w:pPr>
        <w:spacing w:after="0" w:line="70" w:lineRule="exact"/>
        <w:rPr>
          <w:sz w:val="20"/>
          <w:szCs w:val="20"/>
          <w:color w:val="auto"/>
        </w:rPr>
      </w:pPr>
    </w:p>
    <w:p>
      <w:pPr>
        <w:ind w:right="440" w:firstLine="445"/>
        <w:spacing w:after="0" w:line="259" w:lineRule="auto"/>
        <w:rPr>
          <w:sz w:val="20"/>
          <w:szCs w:val="20"/>
          <w:color w:val="auto"/>
        </w:rPr>
      </w:pPr>
      <w:r>
        <w:rPr>
          <w:rFonts w:ascii="Arial" w:cs="Arial" w:eastAsia="Arial" w:hAnsi="Arial"/>
          <w:sz w:val="18"/>
          <w:szCs w:val="18"/>
          <w:color w:val="auto"/>
        </w:rPr>
        <w:t>We expect total product sales, net will increase in 2022 over 2021, primarily due to an increase in product sales of Xywav partially offset by a decrease in Xyrem, as patients continue to transition to Xywav, expected growth in, and the inclusion of a full year sales of, Epidiolex and Rylaze and expected growth in Zepzelca, partially offset by a reduction in Erwinaze following expiration of our license and supply agreement and a reduction in Sunosi following completion of the sale to Axsome.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Cost of product sales increased in the three and six months ended June 30, 2022 compared to the same periods in 2021 primarily due to the cost of product sales acquired in the acquisition of GW, including increases in the acquisition accounting inventory fair value step-up expense, or fair value step-up expense, of $2.3 million and $66.3 million in the three and six months ended June 30, 2022, respectively. Gross margin as a percentage of net product sales was 86.6% and 86.2% for the three and six months ended June 30, 2022 compared to 84.1% and 88.2% for the same periods in 2021. The increase in our gross margin percentage in the three months ended June 30, 2022 was primarily due to a change in product mix. The decrease in our gross margin percentage in the six months ended June 30, 2022 was primarily due to the impact of the fair value step-up expense. We expect our cost of product sales to increase in 2022 compared to 2021 primarily driven by the inclusion of a full year of fair value step-up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Selling, general and administrative expenses decreased in the three and six months ended June 30, 2022 compared to the same periods in 2021, primarily due to lower transaction and integration expenses related to the acquisition of GW and lower Sunosi U.S. marketing related costs in the 2022 periods, offset by the loss on disposal of Sunosi and an increase in compensation related expenses driven by the inclusion of GW related headcount costs for the full periods in 2022. We expect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general and administrative expenses in 2022 to decrease compared to 2021, primarily due to a reduction in transaction and integration expenses, together with synergies expected to be realized in connection with the acquisition of GW, partially offset by the inclusion of a full year of expense related to the acquired GW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98,211</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84,155</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24,903</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Research and development expenses increased by $6.4 million and $59.8 million in the three and six months ended June 30, 2022, respectively, compared to the same periods in 2021. Clinical studies and outside services costs decreased in the three months ended June 30, 2022 compared to the same period in 2021 primarily due to a reduction in costs related to JZP458 (Rylaze) and JZP385 and increased in the six months ended June 30, 2022 compared to the same period in 2021 primarily due to the addition of costs related to clinical programs for Epidiolex, nabiximols and cannabinoids and an increase in costs related to JZP150. Personnel expenses increased in the three and six months ended June 30, 2022, compared to the same periods in 2021 due to the inclusion of GW-related headcount costs for the full periods in 2022.</w:t>
      </w:r>
    </w:p>
    <w:p>
      <w:pPr>
        <w:spacing w:after="0" w:line="70"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For 2022, we expect that our research and development expenses will continue to increase from previous levels due to the inclusion of a full year of expense with respect to the acquired GW business and as we prepare for anticipated data read-outs from clinical trials, initiate and undertake additional clinical trials and related development work and potentially acquire rights to additional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Intangible asset amortization increased by $8.0 million and $111.9 million in the three and six months ended June 30, 2022, respectively, compared to the same periods in 2021 primarily due to the inclusion of the amortization of the intangible assets arising from the acquisition of GW, primarily related to Epidiolex, offset by a decrease relating to the Erwinaze intangible asset that was fully amortized in June 2021. Intangible asset amortization is expected to increase in 2022 compared to 2021 primarily as a result of the inclusion of a full years amortization on the intangible assets acquired in the acquisition of GW.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120" w:firstLine="445"/>
        <w:spacing w:after="0" w:line="308" w:lineRule="auto"/>
        <w:rPr>
          <w:sz w:val="20"/>
          <w:szCs w:val="20"/>
          <w:color w:val="auto"/>
        </w:rPr>
      </w:pPr>
      <w:r>
        <w:rPr>
          <w:rFonts w:ascii="Arial" w:cs="Arial" w:eastAsia="Arial" w:hAnsi="Arial"/>
          <w:sz w:val="17"/>
          <w:szCs w:val="17"/>
          <w:color w:val="auto"/>
        </w:rPr>
        <w:t>Acquired in-process research and development, or IPR&amp;D, expense in the three and six months ended June 30, 2022 primarily related to the upfront payments made in connection with our licensing agreements with Sumitomo and Werewolf of $50.0 million and $15.0 million, respectively.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expense, net in the three months ended June 30, 2022, was in line with the same period in 2021. Interest expense, net, increased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$37.1 million in the six months ended June 30, 2022, compared to the same periods in 2021, primarily due to higher interest expense from the seven-year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 billion term loan B facility, or the Dollar Term Loan, the seven-year €625.0 million term loan B facility, or the Euro Term Loan, together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Dollar Term Loan known as the Term Loan, and the 4.375% senior secured notes, due 2029, or the Secured Notes. We expect interest expense, net for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broadly in line with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117" w:lineRule="exact"/>
        <w:rPr>
          <w:sz w:val="20"/>
          <w:szCs w:val="20"/>
          <w:color w:val="auto"/>
        </w:rPr>
      </w:pPr>
    </w:p>
    <w:p>
      <w:pPr>
        <w:ind w:right="540" w:firstLine="445"/>
        <w:spacing w:after="0" w:line="263" w:lineRule="auto"/>
        <w:rPr>
          <w:sz w:val="20"/>
          <w:szCs w:val="20"/>
          <w:color w:val="auto"/>
        </w:rPr>
      </w:pPr>
      <w:r>
        <w:rPr>
          <w:rFonts w:ascii="Arial" w:cs="Arial" w:eastAsia="Arial" w:hAnsi="Arial"/>
          <w:sz w:val="18"/>
          <w:szCs w:val="18"/>
          <w:color w:val="auto"/>
        </w:rPr>
        <w:t>The foreign exchange loss (gain)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Our income tax benefit was $16.1 million and $15.6 million for the three and six months ended June 30, 2022, respectively, compared to an income tax expense of $228.6 million and $246.6 million for the same periods in 2021. Our income tax expense for the three and six months ended June 30, 2021 included an expense of $251.4 million arising on the remeasurement of our U.K. net deferred tax liability, which arose primarily in relation to the GW Acquisition, due to a change in the statutory rate in the U.K. following enactment of the U.K. Finance Act 2021. Excluding this impact, the increase in the income tax benefit resulted primarily from the mix of pre-tax income and losses incurred across tax jurisdictions. We do not provide for Irish income taxes on undistributed earnings of our foreign operations that are intended to be indefinitely reinvested in our foreign subsidiaries.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As of June 30, 2022, we had cash, cash equivalents and investments of $771.3 million, borrowing availability under our revolving credit facility of $500.0 million and long-term debt principal balance of $6.1 billion. Our long-term debt included $3.1 billion in aggregate principal amount of the Dollar Term Loan, $1.5 billion in aggregate principal amount of the Secured Notes, $1.0 billion principal amount of the 2.00% exchangeable senior notes due 2026, or the 2026 Notes and $575.0 million principal amount of the 1.50% exchangeable senior notes due 2024, or the 2024 Notes. We generated cash flows from operations of $512.0 million during the six months ended June 30, 2022, and we expect to continue to generate positive cash flows from operations which will enable us to operate our business and de-lever our balance sheet over time.</w:t>
      </w:r>
    </w:p>
    <w:p>
      <w:pPr>
        <w:spacing w:after="0" w:line="70"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the first quarter of 2022, we repaid €208.3 million, or $251.0 million which represents the remaining principal amount of the Euro Term Loan. We have made voluntary repayments of €625.0 million, or $753.0 million, relating to Euro Term Loan and mandatory repayments of $31.0 million relating to the Dollar Term Loan since the closing of the acquisition of GW in May 2021.</w:t>
      </w:r>
    </w:p>
    <w:p>
      <w:pPr>
        <w:spacing w:after="0" w:line="76" w:lineRule="exact"/>
        <w:rPr>
          <w:sz w:val="20"/>
          <w:szCs w:val="20"/>
          <w:color w:val="auto"/>
        </w:rPr>
      </w:pPr>
    </w:p>
    <w:p>
      <w:pPr>
        <w:ind w:right="160" w:firstLine="445"/>
        <w:spacing w:after="0" w:line="219" w:lineRule="exact"/>
        <w:rPr>
          <w:sz w:val="20"/>
          <w:szCs w:val="20"/>
          <w:color w:val="auto"/>
        </w:rPr>
      </w:pPr>
      <w:r>
        <w:rPr>
          <w:rFonts w:ascii="Arial" w:cs="Arial" w:eastAsia="Arial" w:hAnsi="Arial"/>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9, Debt, of the notes to the condensed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This substantial level of debt could have important consequences to our business, including, but not limited to the factors set forth in “Risk Factors” of this Quarterly Report on Form 10-Q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in Part II, Item 1A “Risk Factors” of this Quarterly Report on Form 10-Q under the headings “Risks Related to our Lead Products and Product Candidates” and “To continue to grow our business, we will need to commit substantial resources, which could result in future losses or otherwise limit our opportunities or affect our ability to operate and grow our business.” 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global economic conditions have been worsening, with disruptions to, and volatility in, the credit and financial markets in the U.S. and worldwide resulting from the effects of COVID-19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recent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December 2023. If we are unable to obtain further pre-emption authorities from our shareholders in the future, or otherwise continue to be limited by the terms of new pre-emption authorities approved by our shareholders in the future, our ability to effectively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3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jc w:val="center"/>
        <w:ind w:left="77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(126,454)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(5,175,238)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4,682,312</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Net cash provided by operating activities increased by $185.3 million in the six months ended June 30, 2022 compared to the same period in 2021, primarily due to decreased transaction and integration-related costs associated with the GW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Net cash used in investing activities decreased by $5,048.8 million in the six months ended June 30, 2022 compared to the same period in 2021, primarily due to the following:</w:t>
      </w:r>
    </w:p>
    <w:p>
      <w:pPr>
        <w:spacing w:after="0" w:line="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$6,234.8 million outflow related to the net cash paid for the GW Acquisition in the six months ended June 30, 2021;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$53.0 million upfront payment from Axsome relating to the Sunosi U.S. disposition in the six months ended June 30, 2022; offset by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$1,129.6 million decrease in net proceeds from maturity of investments, primarily time deposits in the six months ended June 30, 2022;</w:t>
      </w:r>
    </w:p>
    <w:p>
      <w:pPr>
        <w:spacing w:after="0" w:line="128" w:lineRule="exact"/>
        <w:rPr>
          <w:rFonts w:ascii="Arial" w:cs="Arial" w:eastAsia="Arial" w:hAnsi="Arial"/>
          <w:sz w:val="17"/>
          <w:szCs w:val="17"/>
          <w:color w:val="auto"/>
        </w:rPr>
      </w:pPr>
    </w:p>
    <w:p>
      <w:pPr>
        <w:ind w:left="660" w:right="540" w:hanging="328"/>
        <w:spacing w:after="0" w:line="308" w:lineRule="auto"/>
        <w:tabs>
          <w:tab w:leader="none" w:pos="655"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$69.1 million in upfront payments for acquired IPR&amp;D primarily driven by the $50.0 million and $15.0 million payments to Sumitomo and Werewolf, respectively, in connection with our licensing agreements in the six months ended June 30, 2022; and</w:t>
      </w:r>
    </w:p>
    <w:p>
      <w:pPr>
        <w:spacing w:after="0" w:line="38" w:lineRule="exact"/>
        <w:rPr>
          <w:rFonts w:ascii="Arial" w:cs="Arial" w:eastAsia="Arial" w:hAnsi="Arial"/>
          <w:sz w:val="17"/>
          <w:szCs w:val="17"/>
          <w:i w:val="1"/>
          <w:iCs w:val="1"/>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$25.0 million milestone payment to PharmaMar in relation to our first sales-based milestone for Zepzelca in the six months ended June 30,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Net cash (used in) provided by financing activities decreased by $4,942.3 million in the six months ended June 30, 2022 compared to the same period in 2021, primarily due to:</w:t>
      </w:r>
    </w:p>
    <w:p>
      <w:pPr>
        <w:spacing w:after="0" w:line="62" w:lineRule="exact"/>
        <w:rPr>
          <w:sz w:val="20"/>
          <w:szCs w:val="20"/>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proceeds from issuance of borrowings under the Credit Agreement of $3,719.9 million and the Secured Notes of $1,471.5 million in the six months ended June 30, 2021;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$55.7 million in proceeds from employee equity incentive and purchase plans;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$12.9 million in payment of employee withholding taxes related to share-based awards; offset by</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 of long-term debt of $266.5 million in the six months ended June 30, 2022, compared to $584.3 million in the six months ended June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During the six months ended June 30, 2022, there were no changes to the credit agreement, as set forth in Note 12, Debt, of the Notes to Consolidated Financial Statements included in our Annual Report on Form 10-K for the year ended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20" w:firstLine="445"/>
        <w:spacing w:after="0" w:line="263" w:lineRule="auto"/>
        <w:rPr>
          <w:sz w:val="20"/>
          <w:szCs w:val="20"/>
          <w:color w:val="auto"/>
        </w:rPr>
      </w:pPr>
      <w:r>
        <w:rPr>
          <w:rFonts w:ascii="Arial" w:cs="Arial" w:eastAsia="Arial" w:hAnsi="Arial"/>
          <w:sz w:val="18"/>
          <w:szCs w:val="18"/>
          <w:color w:val="auto"/>
        </w:rPr>
        <w:t>During the six months ended June 30, 2022, there were no material changes to our contractual obligations as set forth in Part II, Item 7 “Management’s Discussion and Analysis of Financial Condition and Results of Operations” in our Annual Report on Form 10-K for the year ended December 31,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0" w:lineRule="exact"/>
        <w:rPr>
          <w:sz w:val="20"/>
          <w:szCs w:val="20"/>
          <w:color w:val="auto"/>
        </w:rPr>
      </w:pPr>
    </w:p>
    <w:p>
      <w:pPr>
        <w:ind w:right="320" w:firstLine="445"/>
        <w:spacing w:after="0" w:line="220" w:lineRule="exact"/>
        <w:rPr>
          <w:sz w:val="20"/>
          <w:szCs w:val="20"/>
          <w:color w:val="auto"/>
        </w:rPr>
      </w:pPr>
      <w:r>
        <w:rPr>
          <w:rFonts w:ascii="Arial" w:cs="Arial" w:eastAsia="Arial" w:hAnsi="Arial"/>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00" w:firstLine="445"/>
        <w:spacing w:after="0" w:line="218"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980" w:firstLine="445"/>
        <w:spacing w:after="0" w:line="342" w:lineRule="auto"/>
        <w:rPr>
          <w:sz w:val="20"/>
          <w:szCs w:val="20"/>
          <w:color w:val="auto"/>
        </w:rPr>
      </w:pPr>
      <w:r>
        <w:rPr>
          <w:rFonts w:ascii="Arial" w:cs="Arial" w:eastAsia="Arial" w:hAnsi="Arial"/>
          <w:sz w:val="16"/>
          <w:szCs w:val="16"/>
          <w:color w:val="auto"/>
        </w:rPr>
        <w:t>During the six months ended June 30, 2022, there were no material changes to our market risk disclosures as set forth in Part II, Item 7A“Quantitative and Qualitative Disclosures About Market Risk” in our Annual Report on Form 10-K for the year ended December 31, 2021.</w:t>
      </w:r>
    </w:p>
    <w:p>
      <w:pPr>
        <w:spacing w:after="0" w:line="25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19" w:lineRule="exact"/>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Based on their evaluation, our principal executive officer and principal financial officer concluded that our disclosure controls and procedures were effective as of June 30, 2022.</w:t>
      </w:r>
    </w:p>
    <w:p>
      <w:pPr>
        <w:spacing w:after="0" w:line="9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Limitations on the Effectiveness of Controls</w:t>
      </w:r>
      <w:r>
        <w:rPr>
          <w:rFonts w:ascii="Arial" w:cs="Arial" w:eastAsia="Arial" w:hAnsi="Arial"/>
          <w:sz w:val="16"/>
          <w:szCs w:val="16"/>
          <w:color w:val="auto"/>
        </w:rPr>
        <w:t>. 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quarter ended June 30, 2022, other than continuing changes to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resulting from the integration of GW,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720" w:firstLine="445"/>
        <w:spacing w:after="0" w:line="224" w:lineRule="exact"/>
        <w:rPr>
          <w:sz w:val="20"/>
          <w:szCs w:val="20"/>
          <w:color w:val="auto"/>
        </w:rPr>
      </w:pPr>
      <w:r>
        <w:rPr>
          <w:rFonts w:ascii="Arial" w:cs="Arial" w:eastAsia="Arial" w:hAnsi="Arial"/>
          <w:sz w:val="16"/>
          <w:szCs w:val="16"/>
          <w:color w:val="auto"/>
        </w:rPr>
        <w:t>The information required to be set forth under this Item 1 is incorporated by reference to Note 10, Commitments and Contingencies—Legal Proceedings of the Notes to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You should consider carefully the risks and uncertainties described below as part of your evaluation of an investment in our ordinary shares.</w:t>
      </w:r>
    </w:p>
    <w:p>
      <w:pPr>
        <w:spacing w:after="0" w:line="80" w:lineRule="exact"/>
        <w:rPr>
          <w:sz w:val="20"/>
          <w:szCs w:val="20"/>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7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or increase sales of Epidiolex®/Epidyolex®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we expect our oxybate products and Epidiolex/Epidyolex to remain the largest parts of our business, our success also depends on our ability to effectively commercialize other products in our neuroscience and oncology therapeutic areas.</w:t>
      </w:r>
    </w:p>
    <w:p>
      <w:pPr>
        <w:spacing w:after="0" w:line="62" w:lineRule="exact"/>
        <w:rPr>
          <w:rFonts w:ascii="Arial" w:cs="Arial" w:eastAsia="Arial" w:hAnsi="Arial"/>
          <w:sz w:val="18"/>
          <w:szCs w:val="18"/>
          <w:color w:val="auto"/>
        </w:rPr>
      </w:pPr>
    </w:p>
    <w:p>
      <w:pPr>
        <w:ind w:left="660" w:right="18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face substantial competition from other companies, including companies with larger sales organizations and more experience working with large and diverse product portfolios, and face competition from generic drugs and potentially from non-FDA approved cannabidiol preparations.</w:t>
      </w:r>
    </w:p>
    <w:p>
      <w:pPr>
        <w:spacing w:after="0" w:line="15" w:lineRule="exact"/>
        <w:rPr>
          <w:rFonts w:ascii="Arial" w:cs="Arial" w:eastAsia="Arial" w:hAnsi="Arial"/>
          <w:sz w:val="16"/>
          <w:szCs w:val="16"/>
          <w:color w:val="auto"/>
        </w:rPr>
      </w:pPr>
    </w:p>
    <w:p>
      <w:pPr>
        <w:ind w:left="660" w:right="14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8"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62"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5" w:lineRule="exact"/>
        <w:rPr>
          <w:rFonts w:ascii="Arial" w:cs="Arial" w:eastAsia="Arial" w:hAnsi="Arial"/>
          <w:sz w:val="16"/>
          <w:szCs w:val="16"/>
          <w:color w:val="auto"/>
        </w:rPr>
      </w:pPr>
    </w:p>
    <w:p>
      <w:pPr>
        <w:ind w:left="660" w:right="7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the GW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1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rFonts w:ascii="Arial" w:cs="Arial" w:eastAsia="Arial" w:hAnsi="Arial"/>
          <w:sz w:val="17"/>
          <w:szCs w:val="17"/>
          <w:color w:val="auto"/>
        </w:rPr>
      </w:pPr>
    </w:p>
    <w:p>
      <w:pPr>
        <w:ind w:left="660" w:right="120" w:hanging="328"/>
        <w:spacing w:after="0" w:line="220" w:lineRule="exact"/>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including with respect to our commercialization efforts, clinical trial activity, research and development activities, supply chain and corporate development activities and other business operations.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57" w:lineRule="exact"/>
        <w:rPr>
          <w:sz w:val="20"/>
          <w:szCs w:val="20"/>
          <w:color w:val="auto"/>
        </w:rPr>
      </w:pPr>
    </w:p>
    <w:p>
      <w:pPr>
        <w:ind w:firstLine="445"/>
        <w:spacing w:after="0" w:line="271" w:lineRule="auto"/>
        <w:rPr>
          <w:sz w:val="20"/>
          <w:szCs w:val="20"/>
          <w:color w:val="auto"/>
        </w:rPr>
      </w:pPr>
      <w:r>
        <w:rPr>
          <w:rFonts w:ascii="Arial" w:cs="Arial" w:eastAsia="Arial" w:hAnsi="Arial"/>
          <w:sz w:val="16"/>
          <w:szCs w:val="16"/>
          <w:color w:val="auto"/>
        </w:rPr>
        <w:t>Our business has been substantially dependent on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oral solution, and our financial results have been significantly influenced by sales of Xyrem. Our future plans assume that Xywav</w:t>
      </w:r>
      <w:r>
        <w:rPr>
          <w:rFonts w:ascii="Arial" w:cs="Arial" w:eastAsia="Arial" w:hAnsi="Arial"/>
          <w:sz w:val="20"/>
          <w:szCs w:val="20"/>
          <w:color w:val="auto"/>
          <w:vertAlign w:val="superscript"/>
        </w:rPr>
        <w:t>®</w:t>
      </w:r>
      <w:r>
        <w:rPr>
          <w:rFonts w:ascii="Arial" w:cs="Arial" w:eastAsia="Arial" w:hAnsi="Arial"/>
          <w:sz w:val="16"/>
          <w:szCs w:val="16"/>
          <w:color w:val="auto"/>
        </w:rPr>
        <w:t>, our oxybate product launched in November 2020, will become the treatment of choice for patients who can benefit from oxybate treatment, current Xyrem patients, and patients who previously were not prescribed Xyrem, including those patients for whom sodium content is a concern. Xywav has 92%, or approximately 1,000 to 1,500 milligrams per day, less sodium than Xyrem, depending on the dose, the absence of a sodium warning and a dosing titration option. In June 2021, U.S. Food and Drug Administration, or FDA, recognized seven years of Orphan Drug Exclusivity through July 21, 2027 for Xywav in narcolepsy stating that Xywav is clinically superior to Xyrem by means of greater safety due to reduced chronic sodium burden. However, our ability to successfully commercialize Xywav will continue to depend on, among other things, our ability to maintain adequate coverage and reimbursement for Xywav and acceptance of Xywav by payors, physicians and patients.</w:t>
      </w:r>
    </w:p>
    <w:p>
      <w:pPr>
        <w:spacing w:after="0" w:line="75"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In addition, our ability to maintain or increase oxybate product sales and realize the anticipated benefits from our investment in Xywav is subject to a number of additional risks and uncertainties as discussed in greater detail below, including those related to the near-term introduction of authorized generic and generic versions of sodium oxybate and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including our ability to maintain adequate coverage and reimbursement for Xywav; and challenges to our intellectual property around Xyrem and/or Xywav. While we expect that our business will continue to be substantially dependent on oxybate product sales, there is no guarantee that we can maintain oxybate sales at or near historical levels, or that oxybate sales will continue to grow. A significant decline in oxybate sales could cause us to reduce our operating expenses or seek to raise additional funds, which would have a material adverse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effect on our business, financial condition, results of operations and growth prospects, including on our ability to acquire, in-license or develop new products to grow our business.</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 xml:space="preserve">While Xywav and Xyrem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cataplexy and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For example, in the future, we expect Xywav and Xyrem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 It is possible that additional companies may file ANDAs seeking to market a generic version of Xyrem which could lead to additional patent litigation or challenges with respect to Xyrem.</w:t>
      </w:r>
    </w:p>
    <w:p>
      <w:pPr>
        <w:spacing w:after="0" w:line="27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A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Other companies may develop a sodium oxybate product for treatment of narcolepsy, using an alternative formulation or a different delivery technology, and seek approval in the U.S. using a new drug application, or NDA, approval pathway under Section 505(b)(2) and referencing the safety and efficacy data for Xyrem. In February 2021, FDA accepted for filing an NDA submitted by Avadel Pharmaceuticals plc, or Avadel, for an extended-release formulation of sodium oxybate which uses its proprietary technology for the treatment of EDS and cataplexy in patients with narcolepsy with a Prescription Drug User Fee Act, or PDUFA, target action date of October 15, 2021. On October 15, 2021, Avadel announced that FDA review was ongoing and FDA would provide a new target action date. In May 2022, Avadel reported that FDA requested Avadel certify to our REMS patent. Accordingly, Avadel stated that it anticipates potential full approval on or before the expiration of the REMS patent on June 17, 2023. In July 2022, Avadel announced that it had received tentative approval pending disposition of the REMS patent.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4" w:lineRule="auto"/>
        <w:rPr>
          <w:sz w:val="20"/>
          <w:szCs w:val="20"/>
          <w:color w:val="auto"/>
        </w:rPr>
      </w:pPr>
      <w:r>
        <w:rPr>
          <w:rFonts w:ascii="Arial" w:cs="Arial" w:eastAsia="Arial" w:hAnsi="Arial"/>
          <w:sz w:val="16"/>
          <w:szCs w:val="16"/>
          <w:color w:val="auto"/>
        </w:rPr>
        <w:t>We expect that Xywav for the treatment of both cataplexy and EDS in patients with narcolepsy will face competition similar to that described above for Xyrem, including from generic or authorized generic sodium oxybate products or new branded entrants in narcolepsy notwithstanding FDA recognizing Orphan Drug Exclusivity for Xywav. For example, we received notice in June 2021 that Lupin filed an ANDA for a generic version of Xywav. Additional companies may file ANDAs seeking to market a generic version of Xywav which could lead to additional patent litigation or challenges with respect to</w:t>
      </w:r>
    </w:p>
    <w:p>
      <w:pPr>
        <w:spacing w:after="0" w:line="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Xywav. Moreover, Avadel has announced that it has obtained an orphan drug designation from FDA for its extended-release sodium oxybate formulation. To obtain approval with Orphan Drug Exclusivity, Avadel will have to show clinical superiority to Xywav and Xyrem.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63" w:lineRule="exact"/>
        <w:rPr>
          <w:sz w:val="20"/>
          <w:szCs w:val="20"/>
          <w:color w:val="auto"/>
        </w:rPr>
      </w:pPr>
    </w:p>
    <w:p>
      <w:pPr>
        <w:ind w:right="20" w:firstLine="445"/>
        <w:spacing w:after="0" w:line="217" w:lineRule="exact"/>
        <w:rPr>
          <w:sz w:val="20"/>
          <w:szCs w:val="20"/>
          <w:color w:val="auto"/>
        </w:rPr>
      </w:pPr>
      <w:r>
        <w:rPr>
          <w:rFonts w:ascii="Arial" w:cs="Arial" w:eastAsia="Arial" w:hAnsi="Arial"/>
          <w:sz w:val="17"/>
          <w:szCs w:val="17"/>
          <w:color w:val="auto"/>
        </w:rPr>
        <w:t>Moreover, non-oxybate products intended for the treatment of EDS or cataplexy in narcolepsy or idiopathic hypersomnia, or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Examples of such new market entrants include pitolisant, a drug that was approved by FDA in 2019 for the treatment of EDS in adult patients with narcolepsy and approved by FDA in October 2020 pursuant to a complete response resubmission for an adult cataplexy indication in the U.S. Pitolisant has also been approved and marketed in Europe to treat adult patients with narcolepsy, with or without cataplexy, and to treat EDS in obstructive sleep apnea, or OSA. Pitolisant is also in late stage development for the treatment of IH.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“Business—Competition”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w:t>
      </w:r>
    </w:p>
    <w:p>
      <w:pPr>
        <w:spacing w:after="0" w:line="102" w:lineRule="exact"/>
        <w:rPr>
          <w:sz w:val="20"/>
          <w:szCs w:val="20"/>
          <w:color w:val="auto"/>
        </w:rPr>
      </w:pPr>
    </w:p>
    <w:p>
      <w:pPr>
        <w:ind w:right="220"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Xywav and Xyrem and on our business, financial condition, results of operations and growth prospects. We also expect that sales of Xywav will, and the approval and launch of any other sodium oxybate (including Avadel’s extended-release sodium oxybate formulation) or alternative product that treats narcolepsy could, have a material adverse effect on our sales of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76" w:lineRule="exact"/>
        <w:rPr>
          <w:sz w:val="20"/>
          <w:szCs w:val="20"/>
          <w:color w:val="auto"/>
        </w:rPr>
      </w:pPr>
    </w:p>
    <w:p>
      <w:pPr>
        <w:ind w:right="120" w:firstLine="445"/>
        <w:spacing w:after="0" w:line="289" w:lineRule="auto"/>
        <w:rPr>
          <w:sz w:val="20"/>
          <w:szCs w:val="20"/>
          <w:color w:val="auto"/>
        </w:rPr>
      </w:pPr>
      <w:r>
        <w:rPr>
          <w:rFonts w:ascii="Arial" w:cs="Arial" w:eastAsia="Arial" w:hAnsi="Arial"/>
          <w:sz w:val="16"/>
          <w:szCs w:val="16"/>
          <w:color w:val="auto"/>
        </w:rPr>
        <w:t>The active pharmaceutical ingredient, or API, of Xywav and Xyrem,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FDA has stated that it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3"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We depend on outside vendors, including Express Scripts Specialty Distribution Services, Inc., the central certified pharmacy, to distribute Xywav and Xyrem in the U.S., provide patient support services and implement the requirements of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60" w:lineRule="exact"/>
        <w:rPr>
          <w:sz w:val="20"/>
          <w:szCs w:val="20"/>
          <w:color w:val="auto"/>
        </w:rPr>
      </w:pPr>
    </w:p>
    <w:p>
      <w:pPr>
        <w:ind w:right="100" w:firstLine="445"/>
        <w:spacing w:after="0" w:line="287" w:lineRule="auto"/>
        <w:rPr>
          <w:sz w:val="20"/>
          <w:szCs w:val="20"/>
          <w:color w:val="auto"/>
        </w:rPr>
      </w:pPr>
      <w:r>
        <w:rPr>
          <w:rFonts w:ascii="Arial" w:cs="Arial" w:eastAsia="Arial" w:hAnsi="Arial"/>
          <w:sz w:val="16"/>
          <w:szCs w:val="16"/>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64"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may face pressure to further modify the Xywav and Xyrem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firstLine="445"/>
        <w:spacing w:after="0" w:line="217" w:lineRule="exact"/>
        <w:rPr>
          <w:sz w:val="20"/>
          <w:szCs w:val="20"/>
          <w:color w:val="auto"/>
        </w:rPr>
      </w:pPr>
      <w:r>
        <w:rPr>
          <w:rFonts w:ascii="Arial" w:cs="Arial" w:eastAsia="Arial" w:hAnsi="Arial"/>
          <w:sz w:val="16"/>
          <w:szCs w:val="16"/>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Note 10, Commitments and Contingencies-Legal Proceedings of the Notes to Condensed Consolidated Financial Statements, included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however, if the plaintiffs were to be successful in their claims, they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may be entitled to injunctive relief or we may be required to pay significant monetary damages, which could have a material adverse effect on our business, financial condition, results of operations and growth prospects.</w:t>
      </w:r>
    </w:p>
    <w:p>
      <w:pPr>
        <w:spacing w:after="0" w:line="62"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10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Lennox-Gastaut syndrome, or LGS, Dravet syndrome and Tuberous Sclerosis Complex,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w:t>
      </w:r>
    </w:p>
    <w:p>
      <w:pPr>
        <w:spacing w:after="0" w:line="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and Epidiolex/Epidyolex to remain the largest parts of our business, our success also depends on our ability to effectively commercialize other products in our neuroscience and oncology therapeutic areas.</w:t>
      </w:r>
    </w:p>
    <w:p>
      <w:pPr>
        <w:spacing w:after="0" w:line="6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addition to Xywav, Xyrem, Epidiolex/Epidyolex and our other neuroscience products and product candidates, we are commercializing a portfolio of products, including our other lead marketed products, Zepzelca, Rylaze, Vyxeos and Defitelio. An inability to effectively commercialize our other lead marketed products and to maximize their potential where possible through successful research and development activities, whether due to the evolving effects of the COVID-19 pandemic or otherwise, could have a material adverse effect on our business, financial condition, results of operations and growth prospects.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2" w:lineRule="exact"/>
        <w:rPr>
          <w:sz w:val="20"/>
          <w:szCs w:val="20"/>
          <w:color w:val="auto"/>
        </w:rPr>
      </w:pPr>
    </w:p>
    <w:p>
      <w:pPr>
        <w:ind w:firstLine="445"/>
        <w:spacing w:after="0" w:line="261" w:lineRule="auto"/>
        <w:rPr>
          <w:sz w:val="20"/>
          <w:szCs w:val="20"/>
          <w:color w:val="auto"/>
        </w:rPr>
      </w:pPr>
      <w:r>
        <w:rPr>
          <w:rFonts w:ascii="Arial" w:cs="Arial" w:eastAsia="Arial" w:hAnsi="Arial"/>
          <w:sz w:val="17"/>
          <w:szCs w:val="17"/>
          <w:color w:val="212529"/>
        </w:rPr>
        <w:t>Our ability to realize the anticipated benefits from our investment in Zepzelca</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(lurbinectedin)</w:t>
      </w:r>
      <w:r>
        <w:rPr>
          <w:rFonts w:ascii="Arial" w:cs="Arial" w:eastAsia="Arial" w:hAnsi="Arial"/>
          <w:sz w:val="17"/>
          <w:szCs w:val="17"/>
          <w:color w:val="212529"/>
        </w:rPr>
        <w:t xml:space="preserve"> is subject to a number of risks and uncertainties, including </w:t>
      </w:r>
      <w:r>
        <w:rPr>
          <w:rFonts w:ascii="Arial" w:cs="Arial" w:eastAsia="Arial" w:hAnsi="Arial"/>
          <w:sz w:val="17"/>
          <w:szCs w:val="17"/>
          <w:color w:val="000000"/>
        </w:rPr>
        <w:t>our ability to successfully commercialize Zepzelca in the U.S.; adequate supply of Zepzelca to meet demand;</w:t>
      </w:r>
      <w:r>
        <w:rPr>
          <w:rFonts w:ascii="Arial" w:cs="Arial" w:eastAsia="Arial" w:hAnsi="Arial"/>
          <w:sz w:val="17"/>
          <w:szCs w:val="17"/>
          <w:color w:val="212529"/>
        </w:rPr>
        <w:t xml:space="preserve"> availability of favorable pricing and adequate coverage and reimbursement</w:t>
      </w:r>
      <w:r>
        <w:rPr>
          <w:rFonts w:ascii="Arial" w:cs="Arial" w:eastAsia="Arial" w:hAnsi="Arial"/>
          <w:sz w:val="17"/>
          <w:szCs w:val="17"/>
          <w:color w:val="000000"/>
        </w:rPr>
        <w:t>;</w:t>
      </w:r>
      <w:r>
        <w:rPr>
          <w:rFonts w:ascii="Arial" w:cs="Arial" w:eastAsia="Arial" w:hAnsi="Arial"/>
          <w:sz w:val="17"/>
          <w:szCs w:val="17"/>
          <w:color w:val="212529"/>
        </w:rPr>
        <w:t xml:space="preserve"> the limited experience of, and need to educate, physicians in the use of Zepzelca for the treatment of </w:t>
      </w:r>
      <w:r>
        <w:rPr>
          <w:rFonts w:ascii="Arial" w:cs="Arial" w:eastAsia="Arial" w:hAnsi="Arial"/>
          <w:sz w:val="17"/>
          <w:szCs w:val="17"/>
          <w:color w:val="000000"/>
        </w:rPr>
        <w:t>metastatic</w:t>
      </w:r>
      <w:r>
        <w:rPr>
          <w:rFonts w:ascii="Arial" w:cs="Arial" w:eastAsia="Arial" w:hAnsi="Arial"/>
          <w:sz w:val="17"/>
          <w:szCs w:val="17"/>
          <w:color w:val="212529"/>
        </w:rPr>
        <w:t xml:space="preserve"> </w:t>
      </w:r>
      <w:r>
        <w:rPr>
          <w:rFonts w:ascii="Arial" w:cs="Arial" w:eastAsia="Arial" w:hAnsi="Arial"/>
          <w:sz w:val="17"/>
          <w:szCs w:val="17"/>
          <w:color w:val="000000"/>
        </w:rPr>
        <w:t xml:space="preserve">small cell lung cancer, or </w:t>
      </w:r>
      <w:r>
        <w:rPr>
          <w:rFonts w:ascii="Arial" w:cs="Arial" w:eastAsia="Arial" w:hAnsi="Arial"/>
          <w:sz w:val="17"/>
          <w:szCs w:val="17"/>
          <w:color w:val="212529"/>
        </w:rPr>
        <w:t>SCLC</w:t>
      </w:r>
      <w:r>
        <w:rPr>
          <w:rFonts w:ascii="Arial" w:cs="Arial" w:eastAsia="Arial" w:hAnsi="Arial"/>
          <w:sz w:val="17"/>
          <w:szCs w:val="17"/>
          <w:color w:val="000000"/>
        </w:rPr>
        <w:t xml:space="preserve">; </w:t>
      </w:r>
      <w:r>
        <w:rPr>
          <w:rFonts w:ascii="Arial" w:cs="Arial" w:eastAsia="Arial" w:hAnsi="Arial"/>
          <w:sz w:val="17"/>
          <w:szCs w:val="17"/>
          <w:color w:val="212529"/>
        </w:rPr>
        <w:t>the potential for negative trial data read-outs in ongoing or future Zepzelca clinical trials; our and Pharma Mar, S.A., or</w:t>
      </w:r>
      <w:r>
        <w:rPr>
          <w:rFonts w:ascii="Arial" w:cs="Arial" w:eastAsia="Arial" w:hAnsi="Arial"/>
          <w:sz w:val="17"/>
          <w:szCs w:val="17"/>
          <w:color w:val="000000"/>
        </w:rPr>
        <w:t xml:space="preserve"> </w:t>
      </w:r>
      <w:r>
        <w:rPr>
          <w:rFonts w:ascii="Arial" w:cs="Arial" w:eastAsia="Arial" w:hAnsi="Arial"/>
          <w:sz w:val="17"/>
          <w:szCs w:val="17"/>
          <w:color w:val="212529"/>
        </w:rPr>
        <w:t xml:space="preserve">PharmaMar’s, ability to maintain accelerated approval or successfully complete a confirmatory study of Zepzelca; and the impact of the evolving effects of the COVID-19 pandemic on our ability to educate health care providers about Zepzelca in the treatment of relapsed, metastatic SCLC in the U.S. and on patients’ access to lung cancer screening, diagnosis and treatment. </w:t>
      </w:r>
      <w:r>
        <w:rPr>
          <w:rFonts w:ascii="Arial" w:cs="Arial" w:eastAsia="Arial" w:hAnsi="Arial"/>
          <w:sz w:val="17"/>
          <w:szCs w:val="17"/>
          <w:color w:val="000000"/>
        </w:rPr>
        <w:t>If we are unable to successfully commercialize Zepzelca in the U.S. and Canada, or if</w:t>
      </w:r>
      <w:r>
        <w:rPr>
          <w:rFonts w:ascii="Arial" w:cs="Arial" w:eastAsia="Arial" w:hAnsi="Arial"/>
          <w:sz w:val="17"/>
          <w:szCs w:val="17"/>
          <w:color w:val="212529"/>
        </w:rPr>
        <w:t xml:space="preserve"> </w:t>
      </w:r>
      <w:r>
        <w:rPr>
          <w:rFonts w:ascii="Arial" w:cs="Arial" w:eastAsia="Arial" w:hAnsi="Arial"/>
          <w:sz w:val="17"/>
          <w:szCs w:val="17"/>
          <w:color w:val="000000"/>
        </w:rPr>
        <w:t>sales of Zepzelca do not reach the levels we expect, our anticipated revenue from Zepzelca will be negatively affected, which would have an adverse effect on our business, financial condition, results of operations and growth prospects.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Rylaze</w:t>
      </w:r>
    </w:p>
    <w:p>
      <w:pPr>
        <w:spacing w:after="0" w:line="112" w:lineRule="exact"/>
        <w:rPr>
          <w:sz w:val="20"/>
          <w:szCs w:val="20"/>
          <w:color w:val="auto"/>
        </w:rPr>
      </w:pPr>
    </w:p>
    <w:p>
      <w:pPr>
        <w:ind w:right="120" w:firstLine="445"/>
        <w:spacing w:after="0" w:line="258" w:lineRule="auto"/>
        <w:rPr>
          <w:sz w:val="20"/>
          <w:szCs w:val="20"/>
          <w:color w:val="auto"/>
        </w:rPr>
      </w:pPr>
      <w:r>
        <w:rPr>
          <w:rFonts w:ascii="Arial" w:cs="Arial" w:eastAsia="Arial" w:hAnsi="Arial"/>
          <w:sz w:val="17"/>
          <w:szCs w:val="17"/>
          <w:color w:val="auto"/>
        </w:rPr>
        <w:t>Our ability to realize the anticipated benefits from our investments in 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is subject to a number of uncertainties, including our ability to successfully commercialize Rylaze in the U.S. including creating awareness among health care professionals and ensuring physicians are confident in its supply and that patients with acute lymphoblastic leukemia, or ALL, or lymphoblastic lymphoma, or LBL, will be given the appropriate course of therapy based on current FDA approval. In addition, there continues to be the potential of a competitive erwinia product being reintroduced into the marketplace that could create uncertainty in demand and utilization of Rylaze moving forward.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firstLine="445"/>
        <w:spacing w:after="0" w:line="281" w:lineRule="auto"/>
        <w:rPr>
          <w:sz w:val="20"/>
          <w:szCs w:val="20"/>
          <w:color w:val="auto"/>
        </w:rPr>
      </w:pPr>
      <w:r>
        <w:rPr>
          <w:rFonts w:ascii="Arial" w:cs="Arial" w:eastAsia="Arial" w:hAnsi="Arial"/>
          <w:sz w:val="16"/>
          <w:szCs w:val="16"/>
          <w:color w:val="212529"/>
        </w:rPr>
        <w:t xml:space="preserve">Our ability to realize the anticipated benefits from our investment in </w:t>
      </w:r>
      <w:r>
        <w:rPr>
          <w:rFonts w:ascii="Arial" w:cs="Arial" w:eastAsia="Arial" w:hAnsi="Arial"/>
          <w:sz w:val="16"/>
          <w:szCs w:val="16"/>
          <w:color w:val="000000"/>
        </w:rPr>
        <w:t>Vyxeos</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(daunorubicin and cytarabine) liposome for injection by successfully</w:t>
      </w:r>
      <w:r>
        <w:rPr>
          <w:rFonts w:ascii="Arial" w:cs="Arial" w:eastAsia="Arial" w:hAnsi="Arial"/>
          <w:sz w:val="16"/>
          <w:szCs w:val="16"/>
          <w:color w:val="212529"/>
        </w:rPr>
        <w:t xml:space="preserve"> </w:t>
      </w:r>
      <w:r>
        <w:rPr>
          <w:rFonts w:ascii="Arial" w:cs="Arial" w:eastAsia="Arial" w:hAnsi="Arial"/>
          <w:sz w:val="16"/>
          <w:szCs w:val="16"/>
          <w:color w:val="000000"/>
        </w:rPr>
        <w:t xml:space="preserve">and sustainably growing sales </w:t>
      </w:r>
      <w:r>
        <w:rPr>
          <w:rFonts w:ascii="Arial" w:cs="Arial" w:eastAsia="Arial" w:hAnsi="Arial"/>
          <w:sz w:val="16"/>
          <w:szCs w:val="16"/>
          <w:color w:val="212529"/>
        </w:rPr>
        <w:t>is subject to a number of risks and uncertainties, including</w:t>
      </w:r>
      <w:r>
        <w:rPr>
          <w:rFonts w:ascii="Arial" w:cs="Arial" w:eastAsia="Arial" w:hAnsi="Arial"/>
          <w:sz w:val="16"/>
          <w:szCs w:val="16"/>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6"/>
          <w:szCs w:val="16"/>
          <w:color w:val="212529"/>
        </w:rPr>
        <w:t>acceptance by</w:t>
      </w:r>
      <w:r>
        <w:rPr>
          <w:rFonts w:ascii="Arial" w:cs="Arial" w:eastAsia="Arial" w:hAnsi="Arial"/>
          <w:sz w:val="16"/>
          <w:szCs w:val="16"/>
          <w:color w:val="000000"/>
        </w:rPr>
        <w:t xml:space="preserve"> </w:t>
      </w:r>
      <w:r>
        <w:rPr>
          <w:rFonts w:ascii="Arial" w:cs="Arial" w:eastAsia="Arial" w:hAnsi="Arial"/>
          <w:sz w:val="16"/>
          <w:szCs w:val="16"/>
          <w:color w:val="212529"/>
        </w:rPr>
        <w:t xml:space="preserve">hospital pharmacy and therapeutics committees in the U.S., the EU and other countries; </w:t>
      </w:r>
      <w:r>
        <w:rPr>
          <w:rFonts w:ascii="Arial" w:cs="Arial" w:eastAsia="Arial" w:hAnsi="Arial"/>
          <w:sz w:val="16"/>
          <w:szCs w:val="16"/>
          <w:color w:val="000000"/>
        </w:rPr>
        <w:t>the increasing complexity of the acute myeloid leukemia, or AML,</w:t>
      </w:r>
      <w:r>
        <w:rPr>
          <w:rFonts w:ascii="Arial" w:cs="Arial" w:eastAsia="Arial" w:hAnsi="Arial"/>
          <w:sz w:val="16"/>
          <w:szCs w:val="16"/>
          <w:color w:val="212529"/>
        </w:rPr>
        <w:t xml:space="preserve"> </w:t>
      </w:r>
      <w:r>
        <w:rPr>
          <w:rFonts w:ascii="Arial" w:cs="Arial" w:eastAsia="Arial" w:hAnsi="Arial"/>
          <w:sz w:val="16"/>
          <w:szCs w:val="16"/>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6"/>
          <w:szCs w:val="16"/>
          <w:color w:val="212529"/>
        </w:rPr>
        <w:t>the availability of adequate coverage, pricing and reimbursement approvals; and competition from new and existing products and potential</w:t>
      </w:r>
      <w:r>
        <w:rPr>
          <w:rFonts w:ascii="Arial" w:cs="Arial" w:eastAsia="Arial" w:hAnsi="Arial"/>
          <w:sz w:val="16"/>
          <w:szCs w:val="16"/>
          <w:color w:val="000000"/>
        </w:rPr>
        <w:t xml:space="preserve"> </w:t>
      </w:r>
      <w:r>
        <w:rPr>
          <w:rFonts w:ascii="Arial" w:cs="Arial" w:eastAsia="Arial" w:hAnsi="Arial"/>
          <w:sz w:val="16"/>
          <w:szCs w:val="16"/>
          <w:color w:val="212529"/>
        </w:rPr>
        <w:t xml:space="preserve">competition from products in development. </w:t>
      </w:r>
      <w:r>
        <w:rPr>
          <w:rFonts w:ascii="Arial" w:cs="Arial" w:eastAsia="Arial" w:hAnsi="Arial"/>
          <w:sz w:val="16"/>
          <w:szCs w:val="16"/>
          <w:color w:val="000000"/>
        </w:rPr>
        <w:t>Despite an ongoing trend in the U.S. towards using lower-intensity treatments that accelerated due to the</w:t>
      </w:r>
      <w:r>
        <w:rPr>
          <w:rFonts w:ascii="Arial" w:cs="Arial" w:eastAsia="Arial" w:hAnsi="Arial"/>
          <w:sz w:val="16"/>
          <w:szCs w:val="16"/>
          <w:color w:val="212529"/>
        </w:rPr>
        <w:t xml:space="preserve"> </w:t>
      </w:r>
      <w:r>
        <w:rPr>
          <w:rFonts w:ascii="Arial" w:cs="Arial" w:eastAsia="Arial" w:hAnsi="Arial"/>
          <w:sz w:val="16"/>
          <w:szCs w:val="16"/>
          <w:color w:val="000000"/>
        </w:rPr>
        <w:t xml:space="preserve">COVID-19 pandemic, we continue to see recovery in demand for Vyxeos and expect future demand for appropriate secondary AML patients to remain steady. In Europe, we continue to expect a negative impact on demand for and utilization of Vyxeos compared to historical periods due to the effects of the COVID-19 pandemic. </w:t>
      </w:r>
      <w:r>
        <w:rPr>
          <w:rFonts w:ascii="Arial" w:cs="Arial" w:eastAsia="Arial" w:hAnsi="Arial"/>
          <w:sz w:val="16"/>
          <w:szCs w:val="16"/>
          <w:color w:val="212529"/>
        </w:rPr>
        <w:t>If sales of Vyxeos do not reach the levels we expect, our anticipated revenue from the product would be negatively affected, which</w:t>
      </w:r>
      <w:r>
        <w:rPr>
          <w:rFonts w:ascii="Arial" w:cs="Arial" w:eastAsia="Arial" w:hAnsi="Arial"/>
          <w:sz w:val="16"/>
          <w:szCs w:val="16"/>
          <w:color w:val="000000"/>
        </w:rPr>
        <w:t xml:space="preserve"> </w:t>
      </w:r>
      <w:r>
        <w:rPr>
          <w:rFonts w:ascii="Arial" w:cs="Arial" w:eastAsia="Arial" w:hAnsi="Arial"/>
          <w:sz w:val="16"/>
          <w:szCs w:val="16"/>
          <w:color w:val="212529"/>
        </w:rPr>
        <w:t>would have an adverse effect on our business, financial condition, results of operations and growth prospects.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100" w:firstLine="445"/>
        <w:spacing w:after="0" w:line="245" w:lineRule="auto"/>
        <w:rPr>
          <w:sz w:val="20"/>
          <w:szCs w:val="20"/>
          <w:color w:val="auto"/>
        </w:rPr>
      </w:pPr>
      <w:r>
        <w:rPr>
          <w:rFonts w:ascii="Arial" w:cs="Arial" w:eastAsia="Arial" w:hAnsi="Arial"/>
          <w:sz w:val="18"/>
          <w:szCs w:val="18"/>
          <w:color w:val="212529"/>
        </w:rPr>
        <w:t xml:space="preserve">Our ability to maintain and grow sales and to realize the anticipated benefits from our investment in </w:t>
      </w:r>
      <w:r>
        <w:rPr>
          <w:rFonts w:ascii="Arial" w:cs="Arial" w:eastAsia="Arial" w:hAnsi="Arial"/>
          <w:sz w:val="18"/>
          <w:szCs w:val="18"/>
          <w:color w:val="000000"/>
        </w:rPr>
        <w:t>Defitelio</w:t>
      </w:r>
      <w:r>
        <w:rPr>
          <w:rFonts w:ascii="Arial" w:cs="Arial" w:eastAsia="Arial" w:hAnsi="Arial"/>
          <w:sz w:val="23"/>
          <w:szCs w:val="23"/>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(defibrotide sodium)</w:t>
      </w:r>
      <w:r>
        <w:rPr>
          <w:rFonts w:ascii="Arial" w:cs="Arial" w:eastAsia="Arial" w:hAnsi="Arial"/>
          <w:sz w:val="18"/>
          <w:szCs w:val="18"/>
          <w:color w:val="212529"/>
        </w:rPr>
        <w:t xml:space="preserve"> is subject to a number of risks and uncertainties, including continued acceptance by hospital pharmacy and therapeutics committees in the U.S., the EU </w:t>
      </w:r>
      <w:r>
        <w:rPr>
          <w:rFonts w:ascii="Arial" w:cs="Arial" w:eastAsia="Arial" w:hAnsi="Arial"/>
          <w:sz w:val="18"/>
          <w:szCs w:val="18"/>
          <w:color w:val="000000"/>
        </w:rPr>
        <w:t>and other</w:t>
      </w:r>
      <w:r>
        <w:rPr>
          <w:rFonts w:ascii="Arial" w:cs="Arial" w:eastAsia="Arial" w:hAnsi="Arial"/>
          <w:sz w:val="18"/>
          <w:szCs w:val="18"/>
          <w:color w:val="212529"/>
        </w:rPr>
        <w:t xml:space="preserve"> </w:t>
      </w:r>
      <w:r>
        <w:rPr>
          <w:rFonts w:ascii="Arial" w:cs="Arial" w:eastAsia="Arial" w:hAnsi="Arial"/>
          <w:sz w:val="18"/>
          <w:szCs w:val="18"/>
          <w:color w:val="000000"/>
        </w:rPr>
        <w:t xml:space="preserve">countries; the </w:t>
      </w:r>
      <w:r>
        <w:rPr>
          <w:rFonts w:ascii="Arial" w:cs="Arial" w:eastAsia="Arial" w:hAnsi="Arial"/>
          <w:sz w:val="18"/>
          <w:szCs w:val="18"/>
          <w:color w:val="212529"/>
        </w:rPr>
        <w:t>continued availability of favorable pricing and adequate coverage and reimbursement</w:t>
      </w:r>
      <w:r>
        <w:rPr>
          <w:rFonts w:ascii="Arial" w:cs="Arial" w:eastAsia="Arial" w:hAnsi="Arial"/>
          <w:sz w:val="18"/>
          <w:szCs w:val="18"/>
          <w:color w:val="000000"/>
        </w:rPr>
        <w:t xml:space="preserve">; </w:t>
      </w:r>
      <w:r>
        <w:rPr>
          <w:rFonts w:ascii="Arial" w:cs="Arial" w:eastAsia="Arial" w:hAnsi="Arial"/>
          <w:sz w:val="18"/>
          <w:szCs w:val="18"/>
          <w:color w:val="212529"/>
        </w:rPr>
        <w:t>the limited experience of, and need to educate,</w:t>
      </w:r>
      <w:r>
        <w:rPr>
          <w:rFonts w:ascii="Arial" w:cs="Arial" w:eastAsia="Arial" w:hAnsi="Arial"/>
          <w:sz w:val="18"/>
          <w:szCs w:val="18"/>
          <w:color w:val="000000"/>
        </w:rPr>
        <w:t xml:space="preserve"> </w:t>
      </w:r>
      <w:r>
        <w:rPr>
          <w:rFonts w:ascii="Arial" w:cs="Arial" w:eastAsia="Arial" w:hAnsi="Arial"/>
          <w:sz w:val="18"/>
          <w:szCs w:val="18"/>
          <w:color w:val="212529"/>
        </w:rPr>
        <w:t xml:space="preserve">physicians and other health care providers in recognizing, diagnosing and treating </w:t>
      </w:r>
      <w:r>
        <w:rPr>
          <w:rFonts w:ascii="Arial" w:cs="Arial" w:eastAsia="Arial" w:hAnsi="Arial"/>
          <w:sz w:val="18"/>
          <w:szCs w:val="18"/>
          <w:color w:val="000000"/>
        </w:rPr>
        <w:t>hepatic veno-occlusive disease, or VOD, particularly in adults; the</w:t>
      </w:r>
      <w:r>
        <w:rPr>
          <w:rFonts w:ascii="Arial" w:cs="Arial" w:eastAsia="Arial" w:hAnsi="Arial"/>
          <w:sz w:val="18"/>
          <w:szCs w:val="18"/>
          <w:color w:val="212529"/>
        </w:rPr>
        <w:t xml:space="preserve"> </w:t>
      </w:r>
      <w:r>
        <w:rPr>
          <w:rFonts w:ascii="Arial" w:cs="Arial" w:eastAsia="Arial" w:hAnsi="Arial"/>
          <w:sz w:val="18"/>
          <w:szCs w:val="18"/>
          <w:color w:val="000000"/>
        </w:rPr>
        <w:t xml:space="preserve">possibility that physicians recognizing VOD symptoms may not initiate or may delay initiation of treatment while waiting for those symptoms to improve, or may terminate treatment before the end of the recommended dosing schedule; </w:t>
      </w:r>
      <w:r>
        <w:rPr>
          <w:rFonts w:ascii="Arial" w:cs="Arial" w:eastAsia="Arial" w:hAnsi="Arial"/>
          <w:sz w:val="18"/>
          <w:szCs w:val="18"/>
          <w:color w:val="212529"/>
        </w:rPr>
        <w:t>and the limited size of the population of VOD patients who are indicated</w:t>
      </w:r>
      <w:r>
        <w:rPr>
          <w:rFonts w:ascii="Arial" w:cs="Arial" w:eastAsia="Arial" w:hAnsi="Arial"/>
          <w:sz w:val="18"/>
          <w:szCs w:val="18"/>
          <w:color w:val="000000"/>
        </w:rPr>
        <w:t xml:space="preserve"> </w:t>
      </w:r>
      <w:r>
        <w:rPr>
          <w:rFonts w:ascii="Arial" w:cs="Arial" w:eastAsia="Arial" w:hAnsi="Arial"/>
          <w:sz w:val="18"/>
          <w:szCs w:val="18"/>
          <w:color w:val="212529"/>
        </w:rPr>
        <w:t xml:space="preserve">for treatment with Defitelio (particularly if changes in </w:t>
      </w:r>
      <w:r>
        <w:rPr>
          <w:rFonts w:ascii="Arial" w:cs="Arial" w:eastAsia="Arial" w:hAnsi="Arial"/>
          <w:sz w:val="18"/>
          <w:szCs w:val="18"/>
          <w:color w:val="000000"/>
        </w:rPr>
        <w:t>hematopoietic stem cell transplantation, or HSCT,</w:t>
      </w:r>
      <w:r>
        <w:rPr>
          <w:rFonts w:ascii="Arial" w:cs="Arial" w:eastAsia="Arial" w:hAnsi="Arial"/>
          <w:sz w:val="18"/>
          <w:szCs w:val="18"/>
          <w:color w:val="212529"/>
        </w:rPr>
        <w:t xml:space="preserve"> treatment protocols reduce the incidence of VOD diagnosis and demand for Defitelio).</w:t>
      </w:r>
    </w:p>
    <w:p>
      <w:pPr>
        <w:spacing w:after="0" w:line="92"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212529"/>
        </w:rPr>
        <w:t xml:space="preserve">If sales of Defitelio do not reach the levels we expect, our anticipated revenue from the product would be negatively affected and our business, financial condition, results of operations and growth prospects would be adversely affected. For example, there was a significant decline in the number of patients receiving HSCT due to the effects of the COVID-19 pandemic. </w:t>
      </w:r>
      <w:r>
        <w:rPr>
          <w:rFonts w:ascii="Arial" w:cs="Arial" w:eastAsia="Arial" w:hAnsi="Arial"/>
          <w:sz w:val="18"/>
          <w:szCs w:val="18"/>
          <w:color w:val="000000"/>
        </w:rPr>
        <w:t>In addition, because VOD is an ultra-rare disease, we have experienced inter-quarter variability in our Defitelio sales, which makes Defitelio sales difficult to predict from period to period. As a result, Defitelio sales results or trends in any period may not necessarily be indicative of future performance.</w:t>
      </w:r>
    </w:p>
    <w:p>
      <w:pPr>
        <w:spacing w:after="0" w:line="8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face substantial competition from other companies, including companies with larger sales organizations and more experience working with large and diverse product portfolios, and face competition from generic drugs and potentially from non-FDA approved cannabidiol preparations.</w:t>
      </w:r>
    </w:p>
    <w:p>
      <w:pPr>
        <w:spacing w:after="0" w:line="1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There is a substantial amount of change occurring in the U.S. regarding the use of medical and recreational marijuana products. While federal law prohibits the sale and distribution of most marijuana products not approved or authorized by FDA, 46 states and the District of Columbia have legalized either cannabidiol, or CBD, or marijuana for either recreational or medical use, or both. Under the U.S. Farm Bill, enacted in late 2018, certain extracts and other material derived from cannabis are no longer controlled under the Federal Controlled Substances Act, or CSA. Although the marketing of such products as a food, dietary supplement, or for medical purposes remains subject to FDA requirements, FDA continues to evaluate regulatory pathways to permit CBD in conventional foods and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cannabinoid products could increase competition for and adversely affect our ability to generate sales of Epidiolex and our cannabinoid product candidates.</w:t>
      </w:r>
    </w:p>
    <w:p>
      <w:pPr>
        <w:spacing w:after="0" w:line="58"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In addition, Epidiolex and nabiximols compete with product offerings from a variety of companies. FDA approved Zogenix, Inc.'s low-dose fenfluramine, or Fintepla, in Dravet syndrome in June 2020, and for LGS in March 2022. In March 2022, UCB, S.A. announced that it had completed its acquisition of Zogenix. Ovid Therapeutics Inc./Takeda Pharmaceutical Company Limited, Eisai Company Limited, and Marinus Pharmaceuticals, Inc. are developing therapies for treating Developmental and Epileptic Encephalopathies (includes Dravet and LGS). Stiripentol has been approved in Europe for several years to treat Dravet syndrome and was approved in 2018 by FDA. Zynerba Pharmaceuticals, Inc. is developing a topical formulation of CBD, for which it is working with FDA on a path forward on CONNECT-FX data for Zygel in Fragile X syndrome. There are a number of public and private companies in the early stages of developing genetic therapies for the underlying causes of Dravet syndrome, including Stoke Therapeutics, Inc., which has an antisense oligonucleotide, STK-001, in early clinical trials. Other companies, including those with greater resources than us may announce similar plans in the future. In addition, there are non-FDA approved CBD preparations being made available from companies in the medical marijuana industry, which might attempt to compete with Epidiolex and, if approved by FDA, nabiximols. If we are unable to compete successfully, our commercial opportunities will be reduced and our business, results of operations and financial conditions may be materially harmed.</w:t>
      </w:r>
    </w:p>
    <w:p>
      <w:pPr>
        <w:spacing w:after="0" w:line="64" w:lineRule="exact"/>
        <w:rPr>
          <w:sz w:val="20"/>
          <w:szCs w:val="20"/>
          <w:color w:val="auto"/>
        </w:rPr>
      </w:pPr>
    </w:p>
    <w:p>
      <w:pPr>
        <w:ind w:firstLine="445"/>
        <w:spacing w:after="0" w:line="220" w:lineRule="exact"/>
        <w:rPr>
          <w:sz w:val="20"/>
          <w:szCs w:val="20"/>
          <w:color w:val="auto"/>
        </w:rPr>
      </w:pPr>
      <w:r>
        <w:rPr>
          <w:rFonts w:ascii="Arial" w:cs="Arial" w:eastAsia="Arial" w:hAnsi="Arial"/>
          <w:sz w:val="17"/>
          <w:szCs w:val="17"/>
          <w:color w:val="auto"/>
        </w:rPr>
        <w:t>For a description of the competition that our lead marketed products and most advanced product candidates face or may face, see the discussion in “Business—Competition”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and the risk factor under the heading “</w:t>
      </w:r>
      <w:r>
        <w:rPr>
          <w:rFonts w:ascii="Arial" w:cs="Arial" w:eastAsia="Arial" w:hAnsi="Arial"/>
          <w:sz w:val="17"/>
          <w:szCs w:val="17"/>
          <w:i w:val="1"/>
          <w:iCs w:val="1"/>
          <w:color w:val="auto"/>
        </w:rPr>
        <w:t>The introduction of new products in the U.S. market that compete with, or otherwise disrupt the market for, our oxybate products and product candidates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would adversely affect sales of our oxybate products and product candidates” </w:t>
      </w:r>
      <w:r>
        <w:rPr>
          <w:rFonts w:ascii="Arial" w:cs="Arial" w:eastAsia="Arial" w:hAnsi="Arial"/>
          <w:sz w:val="17"/>
          <w:szCs w:val="17"/>
          <w:color w:val="auto"/>
        </w:rPr>
        <w:t>in this Part II, Item 1A.</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74"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 xml:space="preserve">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beginning in January 2025, the EU HTA regulation will apply; this regulation aims to harmonize the clinical benefit assessment of HTA across the EU. If we are unable to maintain favorable pricing and reimbursement status in EU member states that represent significant markets, our anticipated revenue from and growth prospects for our products in the EU could be negatively affected. For example, the </w:t>
      </w:r>
      <w:r>
        <w:rPr>
          <w:rFonts w:ascii="Arial" w:cs="Arial" w:eastAsia="Arial" w:hAnsi="Arial"/>
          <w:sz w:val="17"/>
          <w:szCs w:val="17"/>
          <w:color w:val="212529"/>
        </w:rPr>
        <w:t>European Commission, or</w:t>
      </w:r>
      <w:r>
        <w:rPr>
          <w:rFonts w:ascii="Arial" w:cs="Arial" w:eastAsia="Arial" w:hAnsi="Arial"/>
          <w:sz w:val="17"/>
          <w:szCs w:val="17"/>
          <w:color w:val="auto"/>
        </w:rPr>
        <w:t xml:space="preserve"> EC, granted marketing authorization for Vyxeos in August 2018 and for Epidyolex in September 2019, and, as part of our rolling launches of Vyxeos and Epidyolex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and Epidyolex.</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Further, momentum continues to build for the U.S. Congress to pass legislation (commonly referred to as the “Build Back Better Act”) before the November 2022 midterm elections that would, among other things, allow the U.S. Department of Health and Human Services Secretary to negotiate the price of a set number of drugs per year, penalize Medicare Part B and D manufacturers for price increases above inflation, and redesign the Medicare Part D benefit, including a limit on out-of-pocket costs.</w:t>
      </w:r>
    </w:p>
    <w:p>
      <w:pPr>
        <w:spacing w:after="0" w:line="74" w:lineRule="exact"/>
        <w:rPr>
          <w:sz w:val="20"/>
          <w:szCs w:val="20"/>
          <w:color w:val="auto"/>
        </w:rPr>
      </w:pPr>
    </w:p>
    <w:p>
      <w:pPr>
        <w:ind w:right="140" w:firstLine="445"/>
        <w:spacing w:after="0" w:line="308" w:lineRule="auto"/>
        <w:rPr>
          <w:sz w:val="20"/>
          <w:szCs w:val="20"/>
          <w:color w:val="auto"/>
        </w:rPr>
      </w:pPr>
      <w:r>
        <w:rPr>
          <w:rFonts w:ascii="Arial" w:cs="Arial" w:eastAsia="Arial" w:hAnsi="Arial"/>
          <w:sz w:val="16"/>
          <w:szCs w:val="16"/>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facilitate the</w:t>
      </w:r>
    </w:p>
    <w:p>
      <w:pPr>
        <w:ind w:right="20"/>
        <w:spacing w:after="0" w:line="263" w:lineRule="auto"/>
        <w:rPr>
          <w:sz w:val="20"/>
          <w:szCs w:val="20"/>
          <w:color w:val="auto"/>
        </w:rPr>
      </w:pPr>
      <w:r>
        <w:rPr>
          <w:rFonts w:ascii="Arial" w:cs="Arial" w:eastAsia="Arial" w:hAnsi="Arial"/>
          <w:sz w:val="18"/>
          <w:szCs w:val="18"/>
          <w:color w:val="auto"/>
        </w:rPr>
        <w:t>importation of drugs into the U.S. from other countries, and to increase manufacturer liability in the Medicare Part D pharmaceutical benefit.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76"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policy makers have taken and are expected to continue to try to take steps towards expanding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w:t>
      </w:r>
    </w:p>
    <w:p>
      <w:pPr>
        <w:spacing w:after="0" w:line="58"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Xywav and Xyrem, most recently in January 2022, and there is no guarantee that we will make similar price adjustments to Xywav and Xyrem in the future or that price adjustments we have taken or may take in the future will not negatively affect Xywav or Xyrem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Xywav and Xyrem, limit the commercial opportunities for our products and/or negatively impact revenues from sales of our products.</w:t>
      </w:r>
    </w:p>
    <w:p>
      <w:pPr>
        <w:spacing w:after="0" w:line="57"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oversight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expect that legislators, policymakers and healthcare insurance funds in Europe will continue to propose and implement cost-containing measures to keep healthcare costs down; particularly due to the financial strain that the COVID-19 pandemic has placed on their healthcare systems.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660" w:right="30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overcoming negative publicity surrounding illicit use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GHB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cannabinoid and marijuana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the view of patients, law enforcement agencies, physicians and regulators of our products as being the same or similar to illicit products;</w:t>
      </w:r>
    </w:p>
    <w:p>
      <w:pPr>
        <w:spacing w:after="0" w:line="14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Xywav and Xyrem, physician and patient assessment of the burdens associated with obtaining or maintaining the certifications required under the Xywav and Xyrem REMS;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17"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57"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w:t>
      </w: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requirements subjects us and our suppliers to possible regulatory action, including restrictions on supply or shutdown, which may adversely affect our or a supplier’s ability to supply the ingredients or finished products we need.</w:t>
      </w:r>
    </w:p>
    <w:p>
      <w:pPr>
        <w:spacing w:after="0" w:line="62"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Sativex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70"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right="20" w:firstLine="445"/>
        <w:spacing w:after="0" w:line="267" w:lineRule="auto"/>
        <w:rPr>
          <w:sz w:val="20"/>
          <w:szCs w:val="20"/>
          <w:color w:val="auto"/>
        </w:rPr>
      </w:pPr>
      <w:r>
        <w:rPr>
          <w:rFonts w:ascii="Arial" w:cs="Arial" w:eastAsia="Arial" w:hAnsi="Arial"/>
          <w:sz w:val="17"/>
          <w:szCs w:val="17"/>
          <w:color w:val="auto"/>
        </w:rPr>
        <w:t>We are responsible for the manufacture and supply of Sativex (nabiximols) to our collaboration partners and for the manufacture and supply of Epidiolex/Epidyolex, nabiximols and other cannabinoid product candidates for commercial use and for use in clinical trials. The manufacturing of Epidiolex/Epidyolex, nabiximols and our product candidates necessitates compliance with GMP and other regulatory requirements in jurisdictions internationally. Our ability to successfully manufacture Epidiolex/Epidyolex, nabiximols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For certain steps in the manufacturing process for nabiximols, we are currently reliant on single manufacturing facilities and no back-up facilities are yet in place. We have a second site at which we can grow the specific cannabinoid plants that produce the CBD used in Epidiolex/Epidyolex, a second site at which we can extract CBD from botanical raw material and a second site at which we can crystallize the purified CBD from the liquid plant extract. Because nabiximols is a complex mixture manufactured from plant materials, and because the release specifications may not be identical in all countries, certain batches may fail release testing and not be able to be commercialized. A number of our product candidates (excluding Epidiolex/Epidyolex) also consist of a complex mixture manufactured from plant materials, and are therefore subject to a similar risk. If we are unable to manufacture Epidiolex/Epidyolex, nabiximols or other product candidates in accordance with regulatory specifications, including Good Manufacturing Practice, or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nabiximols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79"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Vyxeos is manufactured by Baxter Oncology GmbH, or Baxter, which is a sole source supplier from a single site location. There have been batch failures due to mechanical, component, raw materials and other issues in the production of Vyxeos, and batches have been produced that have otherwise not been in compliance with applicable specifications. We are continuing to work with Baxter and others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58"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Rylaze drug substance is manufactured by AGC Biologics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for this product, our competitive advantage over competing products that have supply constraints, and our business, financial condition, results of operations and growth prospects could be materially adversely affected.</w:t>
      </w:r>
    </w:p>
    <w:p>
      <w:pPr>
        <w:spacing w:after="0" w:line="62"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5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our approved products and our business, financial condition, results of operations and growth prospects would be materially adversely affected. For example, supply chain interruptions and shortage of construction materials could lead to delays and rising costs associated with our planned construction project at our commercial manufacturing facility in the U.K. at Kent Science Park. In addition, energy prices have spiked recently due to global macro-economic issues, which has directly impacted CO2 prices and availability. CO2 is a critical raw material for manufacturing our cannabinoid products. Further, energy price rises have also increased costs many other areas of manufacturing and supply in recent months and these could worsen in future periods.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The testing, manufacturing and marketing of our products require regulatory approvals, including approval from FDA and similar bodies in Europe and other countries. If FDA, the European Medicines Agency, or EMA,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69"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Due to the evolving effects of the COVID-19 pandemic, it is possible that we could experience delays in the timing of marketing application review by regulatory authorities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For example, due to travel restrictions in 2021 that prevented an on-site inspection, we experienced a delay in FDA’s approval of GP Pharm as a second manufacturer of Zepzelca. It is possible that we could experience delays in regulatory interactions and review of submissions due to COVID-19 impacts described above, such as with respect to our development pathway for nabiximols.</w:t>
      </w:r>
    </w:p>
    <w:p>
      <w:pPr>
        <w:spacing w:after="0" w:line="70"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76"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Epidiolex, Defitelio, Vyxeos, Rylaze and Zepzelca. These post-marketing requirements and commitments include satisfactorily conducting multiple post-marketing clinical trials and safety studies. For example, FDA granted accelerated approval to Zepzelca for relapsed SCLC based on data from a Phase 2 trial, which approval is contingent upon verification and description of clinical benefit in a post-marketing clinical trial. We and our licensor PharmaMar are committed to the further study of lurbinectedin, both as a single agent and in combination, and have reached agreement with FDA regarding a confirmatory clinical development program. Our inability to confirm its clinical benefit could result in the withdrawal of approval of Zepzelca, which could have a material adverse effect on our business, financial condition, results of operations and growth prospects. With respect to FDA’s and EC’s approvals of Epidiolex/Epidyolex, we are subject to certain post-marketing requirements. Failure to comply with these post-marketing requirements could result in withdrawal of our marketing approvals for Epidiolex/Epidyolex and/or other civil or criminal penalties.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pursuing activities related to the development of additional asparaginase products for patients with ALL or other hematological malignancies.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Several of our external research and development collaborations are focused on these efforts, including our agreement with Ligand Pharmaceuticals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or Ligand. We developed Rylaze, a recombinant Erwinia asparaginase product for the treatment of patients with ALL and LBL who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hypersensitivity to E. coli-derived asparaginase, under our Ligand agreement. We also have clinical development efforts in a variety of other areas,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including those focused on expanding the potential of Epidiolex, </w:t>
      </w:r>
      <w:r>
        <w:rPr>
          <w:rFonts w:ascii="Arial" w:cs="Arial" w:eastAsia="Arial" w:hAnsi="Arial"/>
          <w:sz w:val="17"/>
          <w:szCs w:val="17"/>
          <w:color w:val="212529"/>
        </w:rPr>
        <w:t>Vyxeos, Rylaze and Xywav, as well as clinical development efforts focused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212529"/>
        </w:rPr>
        <w:t>s</w:t>
      </w:r>
      <w:r>
        <w:rPr>
          <w:rFonts w:ascii="Arial" w:cs="Arial" w:eastAsia="Arial" w:hAnsi="Arial"/>
          <w:sz w:val="17"/>
          <w:szCs w:val="17"/>
          <w:color w:val="000000"/>
        </w:rPr>
        <w:t>uvecaltamide (</w:t>
      </w:r>
      <w:r>
        <w:rPr>
          <w:rFonts w:ascii="Arial" w:cs="Arial" w:eastAsia="Arial" w:hAnsi="Arial"/>
          <w:sz w:val="17"/>
          <w:szCs w:val="17"/>
          <w:color w:val="212529"/>
        </w:rPr>
        <w:t xml:space="preserve">JZP385) </w:t>
      </w:r>
      <w:r>
        <w:rPr>
          <w:rFonts w:ascii="Arial" w:cs="Arial" w:eastAsia="Arial" w:hAnsi="Arial"/>
          <w:sz w:val="17"/>
          <w:szCs w:val="17"/>
          <w:color w:val="000000"/>
        </w:rPr>
        <w:t>for the treatment of essential tremor, JZP150 for post-traumatic stress disorder and nabiximols for multiple sclerosis-related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spasticity</w:t>
      </w:r>
      <w:r>
        <w:rPr>
          <w:rFonts w:ascii="Arial" w:cs="Arial" w:eastAsia="Arial" w:hAnsi="Arial"/>
          <w:sz w:val="17"/>
          <w:szCs w:val="17"/>
          <w:color w:val="212529"/>
        </w:rPr>
        <w:t>.</w:t>
      </w:r>
      <w:r>
        <w:rPr>
          <w:rFonts w:ascii="Arial" w:cs="Arial" w:eastAsia="Arial" w:hAnsi="Arial"/>
          <w:sz w:val="17"/>
          <w:szCs w:val="17"/>
          <w:color w:val="auto"/>
        </w:rPr>
        <w:t xml:space="preserve"> Epidiolex has been administered only to a limited number of patients and in limited populations in clinical trials. While FDA and EC granted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Epidiolex/Epidyolex based on the data included in GW's NDA, supplemental NDA and marketing authorization application, we do not know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whether the results will be consistent with those resulting from administration of the drug to a large number of patients. New data relating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Epidiolex/Epidyolex, including from adverse event reports and post-marketing studies in the U.S. and Europe, and from other ongoing clinical trials,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in changes to the product label and/or imposition of a REMS and may adversely affect sales, or result in withdrawal of Epidiolex/Epidyolex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FDA, EMA and regulatory authorities in other jurisdictions may also consider the new data in reviewing Epidiolex/Epidyolex marketing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applications for indications other than our approved uses in other jurisdictions or impose additional post-approval requirements. If any of these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to occur, it could result in significant expense and delay or limit our ability to generate sales of Epidiolex/Epidyolex. If we are not successful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development of our product candidates, if we are unable to obtain regulatory approval for our product candidates in a timely manner, or at all, or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an approved product do not reach the levels we expect, our anticipated revenue from our product candidates would be negatively affected,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have a material adverse effect on our business, financial condition, results of operations and growth prospects.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7"/>
          <w:szCs w:val="17"/>
          <w:color w:val="212529"/>
        </w:rPr>
        <w:t>Further, while we seek to mitigate risks and liabilities of potential acquisitions and</w:t>
      </w:r>
      <w:r>
        <w:rPr>
          <w:rFonts w:ascii="Arial" w:cs="Arial" w:eastAsia="Arial" w:hAnsi="Arial"/>
          <w:sz w:val="17"/>
          <w:szCs w:val="17"/>
          <w:color w:val="auto"/>
        </w:rPr>
        <w:t xml:space="preserve"> </w:t>
      </w:r>
      <w:r>
        <w:rPr>
          <w:rFonts w:ascii="Arial" w:cs="Arial" w:eastAsia="Arial" w:hAnsi="Arial"/>
          <w:sz w:val="17"/>
          <w:szCs w:val="17"/>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7"/>
          <w:szCs w:val="17"/>
          <w:color w:val="000000"/>
        </w:rPr>
        <w:t>In addition,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product and product candidate acquisitions, 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17" w:lineRule="exact"/>
        <w:rPr>
          <w:sz w:val="20"/>
          <w:szCs w:val="20"/>
          <w:color w:val="auto"/>
        </w:rPr>
      </w:pPr>
    </w:p>
    <w:p>
      <w:pPr>
        <w:ind w:right="100" w:firstLine="445"/>
        <w:spacing w:after="0" w:line="311" w:lineRule="auto"/>
        <w:rPr>
          <w:sz w:val="20"/>
          <w:szCs w:val="20"/>
          <w:color w:val="auto"/>
        </w:rPr>
      </w:pPr>
      <w:r>
        <w:rPr>
          <w:rFonts w:ascii="Arial" w:cs="Arial" w:eastAsia="Arial" w:hAnsi="Arial"/>
          <w:sz w:val="16"/>
          <w:szCs w:val="16"/>
          <w:color w:val="212529"/>
        </w:rPr>
        <w:t>As a result of these or other factors, products or product candidates we acquire, or obtain licenses to, may not produce the revenues, earnings or business synergies that we anticipated, may not result in regulatory approvals, and may not perform as expected. Failure to manage effectively our growth through acquisitions or in-licensing transactions could adversely affect our growth prospects, business, results of operations and financial condition.</w:t>
      </w:r>
    </w:p>
    <w:p>
      <w:pPr>
        <w:spacing w:after="0" w:line="4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660" w:right="12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 and interruption of key clinical trial activities, such as clinical trial site monitoring, due to limitations on travel, quarantines or social distancing protocols imposed or recommended by federal or state governments, employers and others;</w:t>
      </w:r>
    </w:p>
    <w:p>
      <w:pPr>
        <w:spacing w:after="0" w:line="7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6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5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Our ability to recruit and retain patients and principal investigators and site staff who, as health care providers, may have heightened exposure to COVID-19, may adversely impact our clinical trial operations. In light of the evolving effects of the COVID-19 pandemic, we have taken measures to implement remote and virtual approaches, including remote data monitoring where possible, to maintain patient safety and trial continuity and to preserve study integrity. To date we have seen some COVID-19-related impact to our mid- and late-stage clinical trial activity causing delays in site initiation, including due to staffing shortages at trial sites. In addition, GW had begun to recruit patients for an early-stage clinical trial of Epidiolex in the treatment of Rett syndrome and GW terminated this trial in November 2020 due to severe feasibility challenges arising from COVID-19.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GW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from the GW Acquisition.</w:t>
      </w:r>
    </w:p>
    <w:p>
      <w:pPr>
        <w:spacing w:after="0" w:line="11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On May 5, 2021, we completed the acquisition of GW. The success of the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Epidiolex and the other products and technologies acquired may not be successful or continue to grow at the same rate as if our companies operated independently or they may require significantly greater resources and investments than originally anticipated.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Our commercial success depends in part on obtaining, maintaining and defending intellectual property protection for our products and product candidates, including protection of their use and methods of manufacturing and distribution. Our ability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38"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117"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5"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6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patents covering certain aspects of our products could be delisted from FDA's publication “Approved Drug Products with Therapeutic Equivalence Evaluations,” or Orange Book, as a result of challenges by third parties before FDA or the courts;</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29"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Patent enforcement generally must be sought on a country-by-country basis, and issues of patent validity and infringement may be judged differently in different countries. Many companies have encountered significant problems in protecting, defending and enforcing intellectual property rights in foreign jurisdictions. The legal systems of certain countries, particularly certain developing countries, do not favor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70"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jc w:val="both"/>
        <w:ind w:right="40" w:firstLine="445"/>
        <w:spacing w:after="0" w:line="259" w:lineRule="auto"/>
        <w:rPr>
          <w:sz w:val="20"/>
          <w:szCs w:val="20"/>
          <w:color w:val="auto"/>
        </w:rPr>
      </w:pPr>
      <w:r>
        <w:rPr>
          <w:rFonts w:ascii="Arial" w:cs="Arial" w:eastAsia="Arial" w:hAnsi="Arial"/>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w:t>
      </w:r>
    </w:p>
    <w:p>
      <w:pPr>
        <w:spacing w:after="0" w:line="79" w:lineRule="exact"/>
        <w:rPr>
          <w:sz w:val="20"/>
          <w:szCs w:val="20"/>
          <w:color w:val="auto"/>
        </w:rPr>
      </w:pPr>
    </w:p>
    <w:p>
      <w:pPr>
        <w:ind w:right="80" w:firstLine="445"/>
        <w:spacing w:after="0" w:line="294" w:lineRule="auto"/>
        <w:rPr>
          <w:sz w:val="20"/>
          <w:szCs w:val="20"/>
          <w:color w:val="auto"/>
        </w:rPr>
      </w:pPr>
      <w:r>
        <w:rPr>
          <w:rFonts w:ascii="Arial" w:cs="Arial" w:eastAsia="Arial" w:hAnsi="Arial"/>
          <w:sz w:val="16"/>
          <w:szCs w:val="16"/>
          <w:color w:val="auto"/>
        </w:rPr>
        <w:t>On July 28,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6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w:t>
      </w:r>
    </w:p>
    <w:p>
      <w:pPr>
        <w:spacing w:after="0" w:line="49"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We have settled patent litigation with nine companies seeking to introduce generic versions of Xyrem in the U.S. by granting those companies licenses to launch their generic products (and in certain cases, an authorized generic version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66"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We also currently rely on trade secret protection for several of our products, including Defitelio, and product candidates, including nabiximols.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5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9"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8"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a number of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Note 10, Commitments and Contingencies-Legal Proceedings of the Notes to the Condensed Consolidated Financial Statements included in this Quarterly Report on Form 10-Q. It is possible that additional lawsuits will be filed against us making similar or related allegations. We cannot predict the outcome of these or potential additional lawsuits or government actions;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60"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If we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Litigation, whether filed by us or against us, can be expensive and time consuming to defend and divert management’s attention and resources. Our competitive position could suffer as a result. In addition, if we have declined or failed to enter into a valid non-disclosure or assignment agreement for any reason, we may not own the invention or our intellectual property, and our products may not be adequately protected.</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62"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Defitelio,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The limited circumstances include a showing that the second drug is clinically superior to the drug with marketing exclusivity through a demonstration of superior safety or efficacy or that it makes a major contribution to patient care. In addition, if a competitor obtains approval and marketing exclusivity for a drug product with an active moiety that is the same as that in a product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FDA’s regulations and policies concerning the exclusivity provisions of the Orphan Drug Act, including whether two drugs are the same drug product, and future challenges could lead to changes that affect the protections potentially afforded our products in ways that are difficult to predict. In a successful legal challenge, a court invalidated FDA’s denial of orphan exclusivity to a drug on the grounds that the drug was not proven to be clinically superior to a previously approved product containing the same ingredient for the same orphan use. In response to the decision, FDA released a policy statement stating that the court’s decision is limited just to the facts of that particular case and that FDA will continue to require the sponsor of a designated drug that is the “same” as a previously approved drug to demonstrate that its drug is clinically superior to that drug upon approval in order to be eligible for orphan drug exclusivity, or in some cases, to even be eligible for marketing approval. In the future, there is the potential for legislative changes or additional legal challenges to FDA’s orphan drug regulations and policies, and it is uncertain how such challenges might affect our business.</w:t>
      </w:r>
    </w:p>
    <w:p>
      <w:pPr>
        <w:spacing w:after="0" w:line="60"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In the European Union, if a marketing authorization is granted for a medicinal product that is designated an orphan drug, that product is entitled to ten years of marketing exclusivity. We rely in part on this orphan drug exclusivity and other regulatory exclusivities to protect Epidyolex, Vyxeos and Defitelio.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obtain directors and officers liability insurance.</w:t>
      </w:r>
    </w:p>
    <w:p>
      <w:pPr>
        <w:spacing w:after="0" w:line="62"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In recent years, the market for directors and officers liability insurance for biopharmaceuticals and life sciences companies has changed in ways adverse to us. The premiums charged for such policies have generally increased and the terms of such policies have generally become less favorable. As a result, it is currently expensive and may become significantly more expensive for us to maintain directors and officers liability insurance, and we may be required to accept reduced policy limits and coverage or incur substantially higher costs to obtain the same or similar coverage. In any event, there can be no assurance that directors and officers liability insurance will be adequate to cover our potential liabilities or will be generally available to us in the future or, if available, that the cost of such insurance will be commercially justifiable. The increased cost and decreased availability of directors and officers liability insurance could make it more difficult for us to attract and retain qualified persons to serve on our board of directors or as executive officers, and could also make it more difficult and more expensive for us to negotiate and consummate future corporate development transactions, all of which could have a material adverse effect on our business, financial condition, results of operations and growth prospects.</w:t>
      </w:r>
    </w:p>
    <w:p>
      <w:pPr>
        <w:spacing w:after="0" w:line="58" w:lineRule="exact"/>
        <w:rPr>
          <w:sz w:val="20"/>
          <w:szCs w:val="20"/>
          <w:color w:val="auto"/>
        </w:rPr>
      </w:pPr>
    </w:p>
    <w:p>
      <w:pPr>
        <w:ind w:right="540"/>
        <w:spacing w:after="0" w:line="221" w:lineRule="exact"/>
        <w:rPr>
          <w:sz w:val="20"/>
          <w:szCs w:val="20"/>
          <w:color w:val="auto"/>
        </w:rPr>
      </w:pPr>
      <w:r>
        <w:rPr>
          <w:rFonts w:ascii="Arial" w:cs="Arial" w:eastAsia="Arial" w:hAnsi="Arial"/>
          <w:sz w:val="17"/>
          <w:szCs w:val="17"/>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7"/>
          <w:szCs w:val="17"/>
          <w:color w:val="auto"/>
        </w:rPr>
        <w:t>‑</w:t>
      </w:r>
      <w:r>
        <w:rPr>
          <w:rFonts w:ascii="Arial" w:cs="Arial" w:eastAsia="Arial" w:hAnsi="Arial"/>
          <w:sz w:val="17"/>
          <w:szCs w:val="17"/>
          <w:b w:val="1"/>
          <w:bCs w:val="1"/>
          <w:i w:val="1"/>
          <w:iCs w:val="1"/>
          <w:color w:val="auto"/>
        </w:rPr>
        <w:t>19 pandemic and related global economic slowdown, including with respect to our commercialization efforts, clinical trial activity, research and development activities, supply chain and corporate development activities and other business operations.</w:t>
      </w:r>
    </w:p>
    <w:p>
      <w:pPr>
        <w:spacing w:after="0" w:line="9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COVID-19 pandemic continues to have a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Health care provider offices and institutions have experienced workforce disruption, including the inability to hire staff and challenges maintaining appropriate staffing. The lack of access to health care providers has caused, and may continue to cause, delays in appropriate diagnosis, treatment and ongoing care for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some patients, which could subsequently impact prescribing and use of our products.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79"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our approved products, our supply chain, regulatory, clinical development and corporate development activities.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As the effects of the pandemic have evolved from 2020 to 2022, clinics and institutions began to allow in-person interactions pursuant to local health authority and government guidelines; however, certain clinics and institutions have reimposed various restrictions due to the emergence COVID-19 variants. The level of renewed in-person engagement varies by account, region and country and may be adversely impacted in the future as a result of the continuing impact of the COVID-19 pandemic. The limits on full in-person interactions have had a negative impact our ability to effectively communicate product benefits to physicians, limiting their awareness and understanding and use of our products.</w:t>
      </w:r>
    </w:p>
    <w:p>
      <w:pPr>
        <w:spacing w:after="0" w:line="6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For Xywav and Xyrem, COVID-19 protocols and staffing shortages at sleep labs across the U.S. have resulted in reduced access to sleep testing. The decline in prescribers’ ability to diagnose new narcolepsy patients has resulted in an overall decline in new patients starting on therapy. Although patient persistence and compliance with oxybate therapy remained steady during recent quarters, we continue to expect that delays in obtaining a narcolepsy diagnosis could have a negative impact on new Xywav and Xyrem patient enrollments in future quarters. We also anticipate that pricing and reimbursement reviews by certain European regulatory authorities may take longer in certain countries due to the pandemic, which could delay growth prospects for Vyxeos and Epidyolex in those EU member states.</w:t>
      </w:r>
    </w:p>
    <w:p>
      <w:pPr>
        <w:spacing w:after="0" w:line="84"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We have also seen an upward trend in demand for patient assistance programs. Depending on the ultimate duration and severity of the COVID-19 pandemic and the extent of a global economic slowdown, widespread unemployment and resulting loss of employer-sponsored insurance coverage or other market dynamics, we may experience an increasing shift from commercial payor coverage to government payor coverage or increasing demand for patient assistance and/or free drug programs, which could adversely affect net product sales.</w:t>
      </w:r>
    </w:p>
    <w:p>
      <w:pPr>
        <w:spacing w:after="0" w:line="63"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In addition, the COVID-19 pandemic has resulted in significant volatility in the global financial markets.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developments include continued spread of variants with increased transmissibility,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 For example, the ongoing stress and reprioritization within the healthcare systems in our key markets may require us to reassess the timing and scope of key business activities for 2022, including with respect to our ability to continue the launch momentum for Epidiolex, Xywav, Zepzelca and Rylaze. These effects could materially and adversely affect our business, financial condition, results of operations and growth prospects, as further described in the risks and uncertainties described elsewhere in this ‘‘Risk Factors’’ section.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We are headquartered in Dublin, Ireland and have offices in multiple locations, including the U.S., the U.K., Italy and Canada. We may further expand our international operations into other countries in the future, either organically or by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acquisition. Conducting our business in multiple countries subjects us to a variety of risks and complexities that may materially and adversely affect our business, results of operations, financial condition and growth prospects, including:</w:t>
      </w:r>
    </w:p>
    <w:p>
      <w:pPr>
        <w:spacing w:after="0" w:line="62" w:lineRule="exact"/>
        <w:rPr>
          <w:sz w:val="20"/>
          <w:szCs w:val="20"/>
          <w:color w:val="auto"/>
        </w:rPr>
      </w:pPr>
    </w:p>
    <w:p>
      <w:pPr>
        <w:ind w:left="660" w:right="9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117" w:lineRule="exact"/>
        <w:rPr>
          <w:rFonts w:ascii="Arial" w:cs="Arial" w:eastAsia="Arial" w:hAnsi="Arial"/>
          <w:sz w:val="18"/>
          <w:szCs w:val="18"/>
          <w:color w:val="auto"/>
        </w:rPr>
      </w:pPr>
    </w:p>
    <w:p>
      <w:pPr>
        <w:ind w:left="660" w:right="4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140"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Brexit continues to create uncertainty concerning the future relationship between the U.K. and the EU, following the U.K. withdrawal from the EU in January 2020. We have a commercial manufacturing facility in the U.K. at Kent Science Park, and multiple offices in England. Since a significant portion of the regulatory framework in the U.K. is derived from EU laws, Brexit continues to impact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Among the changes that have had a direct impact are that Great Britain (England, Scotland and Wales) is now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has introduced a separate regulatory submission process, approval process and a separate national marketing authorization. Northern Ireland, however, continues to be covered by the marketing authorizations granted by the EC. Therefore, our medicine candidates require a separate marketing authorization for Great Britain, which involves additional administrative burden. Any delay in obtaining, or an inability to obtain, any marketing approvals, as a result of Brexit or otherwise, could prevent us from or delay us commercializing our medicine candidates in the U.K. and/or the European Economic Area, or EEA, and restrict our ability to generate revenue and achieve and sustain profitability. If any of these outcomes occur, we may be forced to restrict or delay efforts to seek regulatory approval in the U.K. and/or EEA for our medicine candidates, which could harm our business. In addition, the EU’s regulatory environment for clinical trials has been harmonized as part of the Clinical Trials Regulation from January 31, 2022, but it is currently unclear as to what extent the U.K. will seek to align its regulations with the EU. Failure of the U.K. to closely align its regulations with the EU may have an effect on the cost of conducting clinical trials in the U.K. as opposed to other countries and/or make it harder to seek a marketing authorization for our medicine candidates in the EEA on the basis of clinical trials conducted in the U.K. In the short term there is a risk of disrupted import and export processes due to a lack of administrative processing capacity by the respective U.K. and EU customs agencies that may delay time-sensitive shipments and may negatively impact our product supply chain. All of these changes could increase our costs and otherwise adversely affect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34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3"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Defibrotide, Vyxeos, Rylaze, Epidyolex and Sativex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p>
    <w:p>
      <w:pPr>
        <w:spacing w:after="0" w:line="84"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20" w:firstLine="445"/>
        <w:spacing w:after="0" w:line="217" w:lineRule="exact"/>
        <w:rPr>
          <w:sz w:val="20"/>
          <w:szCs w:val="20"/>
          <w:color w:val="auto"/>
        </w:rPr>
      </w:pPr>
      <w:r>
        <w:rPr>
          <w:rFonts w:ascii="Arial" w:cs="Arial" w:eastAsia="Arial" w:hAnsi="Arial"/>
          <w:sz w:val="16"/>
          <w:szCs w:val="16"/>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2021.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U.S. Department of Health and Human Services finalized a previously abandoned proposal to amend the discount safe harbor regulation of the federal anti-kickback statute in a purported effort to create incentives to manufacturers to lower their list prices, and to lower federal program beneficiary out-of-pocket costs. The rule, which is currently slated to take full effect January 1, 2023, revises the discount safe harbor to exclude manufacturer rebates to Medicare Part D plans, either directly or through PBMs, creates a new safe harbor for point-of-sale price reductions that are set in advance and are available to the beneficiary at the point-of-sale, and creates a new safe harbor for service fees paid by manufacturers to PBMs for services rendered to the manufacturer. The effective date of the rule was already delayed by the Biden Administration and legal challenges. It is unclear whether the rule will be further delayed, rewritten, or allowed to go into effect, and if so, what the effect of the rule will be on negotiations of coverage for our products with Medicare Part D plans, or whether the rule will affect our coverage arrangements with commercial insurers. It is also unclear whether the rule will have the intended effect of reducing net prices and beneficiary out-of-pocket costs without also increasing Medicare Part D premiums, which may impact the willingness of Part D plans to cover our products and the price concessions or other terms the plans or their PBMs may seek from us. In addition, in November 2020, the OIG issued a Special Fraud Alert to highlight certain inherent fraud and abuse risks associated with speaker fees, honorariums and expenses paid by pharmaceutical and medical device companies to healthcare professionals participating in company-sponsored events. The Special Fraud Alert sent a clear signal that speaker programs will be subject to potentially heightened enforcement scrutiny.</w:t>
      </w:r>
    </w:p>
    <w:p>
      <w:pPr>
        <w:spacing w:after="0" w:line="105"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4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On July 11, 2022, we received a subpoena from the U.S. Attorney’s Office for the District of Massachusetts requesting documents related to Xyrem and U.S. Patent No. 8,772,306 (“</w:t>
      </w:r>
      <w:r>
        <w:rPr>
          <w:rFonts w:ascii="Arial" w:cs="Arial" w:eastAsia="Arial" w:hAnsi="Arial"/>
          <w:sz w:val="17"/>
          <w:szCs w:val="17"/>
          <w:color w:val="242424"/>
        </w:rPr>
        <w:t>Method of Administration of Gamma Hydroxybutyrate with Monocarboxylate Transporters”)</w:t>
      </w:r>
      <w:r>
        <w:rPr>
          <w:rFonts w:ascii="Arial" w:cs="Arial" w:eastAsia="Arial" w:hAnsi="Arial"/>
          <w:sz w:val="17"/>
          <w:szCs w:val="17"/>
          <w:color w:val="auto"/>
        </w:rPr>
        <w:t>, product labeling changes for Xyrem, communications with FDA and the U.S. Patent and Trademark Office, pricing of Xyrem, and other related documents. We are cooperating with this investigation. We are unable to predict how long this investigation will continue or its outcome, but it is possible that we will incur significant costs in connection with the investigation, regardless of the outcome.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or administrative sanctions against us, negative publicity or other negative actions that could harm our reputation, reduce demand for Xyrem and/or reduce coverage of Xyrem, including by federal health care programs and state health care programs. If any or all of these events occur, our business and stock price could be materially and adversely affected.</w:t>
      </w:r>
    </w:p>
    <w:p>
      <w:pPr>
        <w:spacing w:after="0" w:line="73" w:lineRule="exact"/>
        <w:rPr>
          <w:sz w:val="20"/>
          <w:szCs w:val="20"/>
          <w:color w:val="auto"/>
        </w:rPr>
      </w:pPr>
    </w:p>
    <w:p>
      <w:pPr>
        <w:ind w:firstLine="445"/>
        <w:spacing w:after="0" w:line="218" w:lineRule="exact"/>
        <w:rPr>
          <w:sz w:val="20"/>
          <w:szCs w:val="20"/>
          <w:color w:val="auto"/>
        </w:rPr>
      </w:pPr>
      <w:r>
        <w:rPr>
          <w:rFonts w:ascii="Arial" w:cs="Arial" w:eastAsia="Arial" w:hAnsi="Arial"/>
          <w:sz w:val="17"/>
          <w:szCs w:val="17"/>
          <w:color w:val="auto"/>
        </w:rPr>
        <w:t>Public reporting under the Physician Payment Sunshine Act, or Sunshine provisions, and other similar state laws, the requirements of which are discussed in “Business—Government Regulation”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96"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8"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reduced coverage of our products,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including by federal and state health care programs. If any or all of these events occur, our business, financial condition, results of operations and stock price could be materially and adversely affected.</w:t>
      </w:r>
    </w:p>
    <w:p>
      <w:pPr>
        <w:spacing w:after="0" w:line="62"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70"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1"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We are also subject to federal, state, national and international laws and regulations governing the privacy and security of health related and other personal data we collect and maintain (e.g., Section 5 of the Federal Trade Commission Act, the California Consumer Privacy Act, or CCPA, and the EU’s General Data Protection Regulation, or GDPR). These laws and regulations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data,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EC’s privacy shield framework between the EU and U.S. was invalid, which could adversely impact our ability to transfer personal data from the EU to the U.S. or otherwise may cause us to incur significant costs to do so legally. The Court of Justice further ruled that in order to transfer data outside of the EU, under the existing mechanism known as the Standard Contractual Clauses, or SCCs, the importing country’s level of protection must be adequate. If the level of protection in the U.S. or any other importing country is called into question under the SCCs, this could further impact our ability to transfer data outside of the EU or Switzerland. In March 2022, the EC and the U.S. announced that they have agreed in principle on a new Trans-Atlantic Data Privacy Framework, as a successor arrangement to the EU-U.S. Privacy Shield. The two sides are now expected to finalize the details of this agreement in principle and translate it into legal texts that will form the basis of a draft adequacy decision to be proposed by the EC.</w:t>
      </w:r>
    </w:p>
    <w:p>
      <w:pPr>
        <w:spacing w:after="0" w:line="6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Furthermore, following the U.K.’s exit from the EU, the U.K. became a third country to the EU in terms of personal data transfers. The EC has adopted an Adequacy Decision concerning the level of personal data protection in the U.K. under which personal data may now flow freely from the EU to the U.K. However, personal data transfers from the EU to the U.K. may nevertheless be at a greater risk than before because the Adequacy Decision may be suspended.</w:t>
      </w:r>
    </w:p>
    <w:p>
      <w:pPr>
        <w:spacing w:after="0" w:line="7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addition, numerous other federal, state, national and international laws and regulations govern the privacy and security of the personal data we collect and maintain, including data breach notification laws, state health information and/or genetic privacy laws, federal and state consumer protection laws (e.g., Section 5 of the Federal Trade Commission Act, and the CCPA), and laws outside of the United States that may apply to us, such as the GDPR and other country laws. Many of these laws and regimes, across countries but even within the United States, differ from each other in significant ways and may not have the same effect, thus complicating compliance efforts. Compliance with these laws is difficult, constantly evolving, and time consuming. International regulators, federal regulators, state attorneys general, and plaintiffs’ attorneys, including class action attorneys, have been and will likely continue to be active in this space.</w:t>
      </w:r>
    </w:p>
    <w:p>
      <w:pPr>
        <w:spacing w:after="0" w:line="8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In California, the CCPA establishes certain requirements for data use and sharing transparency and creates new data privacy rights for California residents. The CCPA and its implementing regulations have already been amended multiple times since their enactment.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These laws and regulations are evolving and subject to interpretation, and may impose limitations on our activities or otherwise adversely affect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business. Similarly, there are a number of legislative proposals in the EU, the U.S. (at both the federal and state level) as well as in other jurisdictions that could impose new obligations or limitations in areas affecting our business. In addition, some countries are considering or have passed legislation implementing data protection or privacy requirements or requiring local storage and processing of data or similar requirements that could increase the cost and complexity of delivering our services and research activities. We may be subject to fines, penalties, or private actions in the event of non-compliance with such laws.</w:t>
      </w:r>
    </w:p>
    <w:p>
      <w:pPr>
        <w:spacing w:after="0" w:line="80"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The Health Insurance Portability and Accountability Act of 1996, or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Although we are not directly subject to HIPAA,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53"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60" w:firstLine="445"/>
        <w:spacing w:after="0" w:line="217" w:lineRule="exact"/>
        <w:rPr>
          <w:sz w:val="20"/>
          <w:szCs w:val="20"/>
          <w:color w:val="auto"/>
        </w:rPr>
      </w:pPr>
      <w:r>
        <w:rPr>
          <w:rFonts w:ascii="Arial" w:cs="Arial" w:eastAsia="Arial" w:hAnsi="Arial"/>
          <w:sz w:val="17"/>
          <w:szCs w:val="17"/>
          <w:color w:val="auto"/>
        </w:rPr>
        <w:t>We participate in the Medicaid Drug Rebate Program, the 340B program, the U.S. Department of Veterans Affairs, Federal Supply Schedule, or FSS, pricing program, and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For calendar quarters beginning January 1, 2022, manufacturers will need to start reporting the average sales price for drugs under the Medicare program regardless of whether they are enrolled in the Medicaid Drug Rebate Program. Currently, only manufacturers participating in the Medicaid Drug Rebate Program are obligated to do so. In addition, starting in 2023,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Statutory or regulatory changes or guidance from the Centers for Medicare &amp; Medicaid Services, or CMS, could affect the average sales price calculations for our products and the resulting Medicare payment rate and could negatively impact our results of operations.</w:t>
      </w:r>
    </w:p>
    <w:p>
      <w:pPr>
        <w:spacing w:after="0" w:line="101"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6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Moreover, once the refund program for discarded drug takes effect in 2023, manufacturers that fail to pay refunds could be subject to civil monetary penalties of 125 percent of the refund amount.</w:t>
      </w:r>
    </w:p>
    <w:p>
      <w:pPr>
        <w:spacing w:after="0" w:line="56"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Our failure to comply with our reporting and payment obligations under the Medicaid Drug Rebate Program and other governmental programs could negatively impact our financial results. CMS issued a final regulation, which became effective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April 2016, to implement the changes to the Medicaid Drug Rebate Program under the Affordable Care Act. In December 2020, CMS issued a final regulation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 The pharmaceutical industry has successfully challenged the pharmacy benefit manager provisions of this rule at the district court level, invalidating this provision for the time being. It is currently unclear whether the government will appeal this decision.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currently capped at 100 percent of average manufacturer price, but, effective January 1, 2024, this cap will be lifted.</w:t>
      </w:r>
    </w:p>
    <w:p>
      <w:pPr>
        <w:spacing w:after="0" w:line="100"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or ADR, process under a final regulation effective January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This ADR regulation has been challenged in separate litigation instituted by PhRMA and by pharmaceutical manufacturers in multiple federal courts. Also, a public notice published in December 2021 by the Office of Management and Budget revealed that HRSA intends to propose a new ADR rule to replace the ADR rule which became effective in January 2021 and that this new rule will propose new requirements and procedures for the 340B program’s ADR process. Under the ADR final rule which became effective in January 2021,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legislation may be introduced that, if passed, would, among other things, modify the requirements of the 340B program.</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Medicare Part D generally provides coverage to enrolled Medicare patients for self-administered drugs (</w:t>
      </w:r>
      <w:r>
        <w:rPr>
          <w:rFonts w:ascii="Arial" w:cs="Arial" w:eastAsia="Arial" w:hAnsi="Arial"/>
          <w:sz w:val="17"/>
          <w:szCs w:val="17"/>
          <w:i w:val="1"/>
          <w:iCs w:val="1"/>
          <w:color w:val="auto"/>
        </w:rPr>
        <w:t>i.e.</w:t>
      </w:r>
      <w:r>
        <w:rPr>
          <w:rFonts w:ascii="Arial" w:cs="Arial" w:eastAsia="Arial" w:hAnsi="Arial"/>
          <w:sz w:val="17"/>
          <w:szCs w:val="17"/>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currently required to provide to CMS a 70% discount on brand name prescription drugs utilized by Medicare Part D beneficiaries when those beneficiaries are in the coverage gap phase of the Part D benefit design. Civil monetary penalties could be due if we fail to offer discounts to beneficiaries under the Medicare Part D coverage gap discount program. Congress could enact legislation that sunsets this discount program and replaces it with a new manufacturer discount program. Congress further could enact a Medicare Part D inflation rebate, under which manufacturers would owe additional rebates if the average manufacturer price of a drug were to increase faster than the pace of inflation.</w:t>
      </w:r>
    </w:p>
    <w:p>
      <w:pPr>
        <w:spacing w:after="0" w:line="7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Congress also could enact a drug price negotiation program under which the prices for certain high Medicare spend single source drugs would be capped by reference to the non-federal average manufacturer price. This or any other legislative change could impact the market conditions for our products. We further expect continued scrutiny on government price reporting from Congress, agencies, and other bodies.</w:t>
      </w:r>
    </w:p>
    <w:p>
      <w:pPr>
        <w:spacing w:after="0" w:line="57"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Ireland, the U.K. and Italy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21" w:lineRule="exact"/>
        <w:rPr>
          <w:sz w:val="20"/>
          <w:szCs w:val="20"/>
          <w:color w:val="auto"/>
        </w:rPr>
      </w:pPr>
    </w:p>
    <w:p>
      <w:pPr>
        <w:jc w:val="both"/>
        <w:ind w:right="180"/>
        <w:spacing w:after="0" w:line="340" w:lineRule="auto"/>
        <w:rPr>
          <w:sz w:val="20"/>
          <w:szCs w:val="20"/>
          <w:color w:val="auto"/>
        </w:rPr>
      </w:pPr>
      <w:r>
        <w:rPr>
          <w:rFonts w:ascii="Arial" w:cs="Arial" w:eastAsia="Arial" w:hAnsi="Arial"/>
          <w:sz w:val="15"/>
          <w:szCs w:val="15"/>
          <w:b w:val="1"/>
          <w:bCs w:val="1"/>
          <w:i w:val="1"/>
          <w:iCs w:val="1"/>
          <w:color w:val="auto"/>
        </w:rPr>
        <w:t>Xyrem, Xywav and nabiximols are controlled substances and certain other cannabis-derived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23"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Xyrem, Xywav, nabiximols and certain other product candidates we are developing contain controlled substances as defined in the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restricted. For example, they may not be refilled without a new prescription.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Drug products approved for medical use by FDA that contain cannabis or cannabis extracts may be controlled substances and will be rescheduled to Schedules II-V after approval, or, like Epidiolex, removed completely from the schedules by operation of other laws.</w:t>
      </w:r>
    </w:p>
    <w:p>
      <w:pPr>
        <w:spacing w:after="0" w:line="6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80"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Nabiximols and other cannabinoid product candidates are currently controlled substances, the use of which may generate public controversy.</w:t>
      </w:r>
    </w:p>
    <w:p>
      <w:pPr>
        <w:spacing w:after="0" w:line="140"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Since nabiximols and some of our other product candidates derived from botanical marijuana contain controlled substances, their regulatory approval may generate public controversy. Political and social pressures and adverse publicity could lead to challenges in the approval of, and increased expenses for, nabiximols and our product candidates. These pressures could also limit or restrict the introduction and marketing of nabiximols and our product candidates. Adverse publicity from cannabis misuse or adverse side effects from cannabis or other cannabinoid products may adversely affect the commercial success or market penetration achievable by nabiximols and our other cannabinoid product candidates. The nature of our business attracts a high level of public and media interest, and in the event of any resultant adverse publicity, our reputation may be harmed.</w:t>
      </w:r>
    </w:p>
    <w:p>
      <w:pPr>
        <w:spacing w:after="0" w:line="5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research, develop and commercialize Epidiolex/Epidyolex, nabiximols and certain of our product candidates is dependent on our ability to maintain licenses relating to the cultivation, possession and supply of botanical cannabis, a controlled substance.</w:t>
      </w:r>
    </w:p>
    <w:p>
      <w:pPr>
        <w:spacing w:after="0" w:line="38"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Our cannabinoid research and manufacturing facilities are located exclusively in the U.K. In the U.K., licenses to cultivate, possess and supply cannabis for medical research are granted by the Home Office on an annual basis. Although the Home Office has renewed our licenses each year since 1998, it may not do so in the future, in which case we may not be in a position to carry on our research and development program in the U.K. In addition, we are required to maintain our existing commercial licenses to cultivate, produce and supply cannabis. However, if the Home Office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Controlled substance legislation differs between countries and legislation in certain countries may restrict or limit our ability to sell Epidyolex, nabiximols and certain of our product candidates.</w:t>
      </w:r>
    </w:p>
    <w:p>
      <w:pPr>
        <w:spacing w:after="0" w:line="62"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Most countries are parties to the Single Convention on Narcotic Drugs 1961, which governs international trade and domestic control of narcotic substances, including cannabis extracts. Countries may interpret and implement their treaty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obligations in a way that creates a legal obstacle to our obtaining regulatory approval for Epidyolex, nabiximols and certain of our other products in those countries. These countries may not be willing or able to amend or otherwise modify their laws and regulations to permit Epidyolex, nabiximols or certain of our other products to be marketed, or achieving such amendments to the laws and regulations may take a prolonged period of time. In the case of countries with similar obstacles, we would be unable to market Epidyolex, nabiximols and certain of our product candidates in countries in the near future or perhaps at all if the laws and regulations in those countries do not change.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2022, we had total indebtedness of approximately $6.1 billion. Our substantial indebtedness may:</w:t>
      </w:r>
    </w:p>
    <w:p>
      <w:pPr>
        <w:spacing w:after="0" w:line="117" w:lineRule="exact"/>
        <w:rPr>
          <w:sz w:val="20"/>
          <w:szCs w:val="20"/>
          <w:color w:val="auto"/>
        </w:rPr>
      </w:pPr>
    </w:p>
    <w:p>
      <w:pPr>
        <w:ind w:left="660" w:right="5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use our cash flow or borrow additional funds for working capital, capital expenditures, acquisitions, investments or other general business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credit agreement, are at variable rates of interest;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The credit agreement and the indenture governing our senior secured notes contain various covenants that, among other things, limit our ability and/or our restricted subsidiaries’ ability to:</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loans, investments, acquisitions (including certain acquisitions of exclusive licenses) and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transfer or exclusively license certain assets, including material intellectual property, and capital stock of our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17"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If we undergo a change of control triggering event, we would be required to make an offer to purchase all of the senior secured notes at a purchase price in cash equal to 101% of their principal amount, plus accrued and unpaid interest, subject to</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certain exceptions. If we engage in certain asset sales, we will be required under certain circumstances to make an offer to purchase the senior secured notes at 100% of the principal amount, plus accrued and unpaid interest.</w:t>
      </w:r>
    </w:p>
    <w:p>
      <w:pPr>
        <w:spacing w:after="0" w:line="62"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unable to compete effectively, take advantage of new business opportunities or grow in accordance with our plans.</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58" w:lineRule="exact"/>
        <w:rPr>
          <w:sz w:val="20"/>
          <w:szCs w:val="20"/>
          <w:color w:val="auto"/>
        </w:rPr>
      </w:pPr>
    </w:p>
    <w:p>
      <w:pPr>
        <w:ind w:right="440" w:firstLine="445"/>
        <w:spacing w:after="0" w:line="311" w:lineRule="auto"/>
        <w:rPr>
          <w:sz w:val="20"/>
          <w:szCs w:val="20"/>
          <w:color w:val="auto"/>
        </w:rPr>
      </w:pPr>
      <w:r>
        <w:rPr>
          <w:rFonts w:ascii="Arial" w:cs="Arial" w:eastAsia="Arial" w:hAnsi="Arial"/>
          <w:sz w:val="16"/>
          <w:szCs w:val="16"/>
          <w:color w:val="auto"/>
        </w:rPr>
        <w:t>Moreover, our failure to repurchase our senior secured notes or our exchangeable senior notes at a time when the repurchase is required by the indentures governing our senior secured notes and our exchangeable senior notes or to pay any cash payable on future exchanges of our exchangeable senior notes as required by the indenture governing our exchangeable senior notes, would constitute a default under those indentures.</w:t>
      </w:r>
    </w:p>
    <w:p>
      <w:pPr>
        <w:spacing w:after="0" w:line="41"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20" w:firstLine="445"/>
        <w:spacing w:after="0" w:line="267" w:lineRule="auto"/>
        <w:rPr>
          <w:sz w:val="20"/>
          <w:szCs w:val="20"/>
          <w:color w:val="auto"/>
        </w:rPr>
      </w:pPr>
      <w:r>
        <w:rPr>
          <w:rFonts w:ascii="Arial" w:cs="Arial" w:eastAsia="Arial" w:hAnsi="Arial"/>
          <w:sz w:val="17"/>
          <w:szCs w:val="17"/>
          <w:color w:val="auto"/>
        </w:rPr>
        <w:t>The scope of our business and operations has grown substantially since 2012,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 volatility in, the credit and financial markets in the U.S. and worldwide resulting from the effects of the COVID-19 pandemic or otherwise.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recent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December 2023. If we are unable to obtain further pre-emption authorities from our shareholders in the future, or otherwise continue to be limited by the terms of new pre-emption authorities approved by our shareholders in the future, our ability to effectively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62"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first quarter of 2020, we recorded a $136.1 million asset impairment charge following the decision to stop enrollment in our Phase 3 clinical study of defibrotide for the prevention of VOD due to a determination that the study is highly unlikely to reach one of its primary endpoints. Our results of operations and financial position in future periods could be negatively impacted should future impairments of intangible assets or goodwill occur.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expense for the year ended December 31,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70"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affiliates’ ability to use their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76"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use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before they expire, as a result of this limitation, it may take our U.S. affiliates longer to use their NOLs.</w:t>
      </w:r>
    </w:p>
    <w:p>
      <w:pPr>
        <w:spacing w:after="0" w:line="84"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or BEPS. Many countries have implemented or begun to implement legislation and other guidance to align their international tax rules with the OECD’s BEPS recommendations. In addition, the OECD has been working on an extension of the BEPS project, referred to as BEPS 2.0, focusing on (1) global profit allocation and (2) a global minimum tax rate. In particular, the OECD has released a framework proposal reflecting the agreement of over 140 jurisdictions, including Ireland, to implement a global minimum tax rate of 15% for large multinational corporations on a jurisdiction-by-jurisdiction basis by 2023. The EU is currently proposing implementation of this global minimum tax rate for its member states by the start of 2024.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77"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Further, the Biden administration and U.S. Congress continue to consider changes in U.S. tax laws. In April 2021, the Biden administration released the Made in America Tax Plan, which includes significant modifications to key provisions of the existing U.S. corporate income tax regime, including an increase in the U.S. corporate income tax rate and an increase in the tax rate on certain earnings of controlled foreign corporations. In November 2021, the U.S. House of Representatives passed the “Build Back Better Act” budget reconciliation bill, which proposes significant changes to the U.S. tax treatment of multinational corporations. Congress continues to consider these and other legislative proposals. These changes, if enacted, could adversely impact our tax provision, cash tax liability and effective tax rate. At this stage, it is not possible to predict which, if any, proposals the U.S. Congress will ultimately accept, reject or modify and whether any proposals will be enacted into law.</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 substantial portion of our indebtedness bears interest at variable interest rates based on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7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July 2017, the Financial Conduct Authority, or FCA, the authority that regulates the London Inter-bank Offered Rate, or LIBOR, announced that it intended to stop compelling banks to submit rates for the calculation of LIBOR after 2021. FCA also announced that certain of the commonly used USD LIBOR tenors will continue to be published until June 30, 2023; however, the Federal Reserve, Federal Deposit Insurance Corporation and the Office of the Comptroller of Currency in the U.S. as well as the FCA announced that all market participants should stop using LIBOR in new contracts after December 31, 2021, subject to limited exemptions for loans and derivative products. Accordingly, new contracts entered into after December 31, 2021, must utilize an alternative reference rate. Our credit agreement is indexed to USD LIBOR. Changes in the method of determining LIBOR, or the replacement of LIBOR with an alternative reference rate, may adversely affect interest rates on our current or future indebtedness. Any transition process may involve, among other things, increased volatility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illiquidity in markets for instruments that rely on LIBOR, reductions in the value of certain instruments or the effectiveness of related transactions such as hedges, increased borrowing costs, uncertainty under applicable documentation, or difficult and costly consent processes. Furthermore,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20" w:firstLine="445"/>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62"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our credit agreement limits our ability to enter into certain fundamental changes, and the indentures governing our senior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68"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320" w:firstLine="445"/>
        <w:spacing w:after="0" w:line="293" w:lineRule="auto"/>
        <w:rPr>
          <w:sz w:val="20"/>
          <w:szCs w:val="20"/>
          <w:color w:val="auto"/>
        </w:rPr>
      </w:pPr>
      <w:r>
        <w:rPr>
          <w:rFonts w:ascii="Arial" w:cs="Arial" w:eastAsia="Arial" w:hAnsi="Arial"/>
          <w:sz w:val="16"/>
          <w:szCs w:val="16"/>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We do not carry “key person” insurance.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Shareholder activism, which takes many forms and arises in a variety of situations, has been increasingly prevalent.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expenses, related to activist shareholder matters. Our stock price could be subject to significant fluctuation or otherwise be adversely affected by the events, risks and uncertainties of any shareholder activism.</w:t>
      </w:r>
    </w:p>
    <w:p>
      <w:pPr>
        <w:spacing w:after="0" w:line="3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during each fiscal month during the three-month period ended June 30,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 Purchased</w:t>
            </w:r>
          </w:p>
        </w:tc>
        <w:tc>
          <w:tcPr>
            <w:tcW w:w="140" w:type="dxa"/>
            <w:vAlign w:val="bottom"/>
          </w:tcPr>
          <w:p>
            <w:pPr>
              <w:spacing w:after="0"/>
              <w:rPr>
                <w:sz w:val="14"/>
                <w:szCs w:val="14"/>
                <w:color w:val="auto"/>
              </w:rPr>
            </w:pPr>
          </w:p>
        </w:tc>
        <w:tc>
          <w:tcPr>
            <w:tcW w:w="20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8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3"/>
              </w:rPr>
              <w:t>Total Number of Shares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Average Price Paid per Share (2)</w:t>
            </w:r>
          </w:p>
        </w:tc>
        <w:tc>
          <w:tcPr>
            <w:tcW w:w="100" w:type="dxa"/>
            <w:vAlign w:val="bottom"/>
          </w:tcPr>
          <w:p>
            <w:pPr>
              <w:spacing w:after="0"/>
              <w:rPr>
                <w:sz w:val="11"/>
                <w:szCs w:val="11"/>
                <w:color w:val="auto"/>
              </w:rPr>
            </w:pPr>
          </w:p>
        </w:tc>
        <w:tc>
          <w:tcPr>
            <w:tcW w:w="2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84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Purchased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Plans or Programs (3)</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Programs (4)</w:t>
            </w:r>
          </w:p>
        </w:tc>
        <w:tc>
          <w:tcPr>
            <w:tcW w:w="0" w:type="dxa"/>
            <w:vAlign w:val="bottom"/>
          </w:tcPr>
          <w:p>
            <w:pPr>
              <w:spacing w:after="0"/>
              <w:rPr>
                <w:sz w:val="1"/>
                <w:szCs w:val="1"/>
                <w:color w:val="auto"/>
              </w:rPr>
            </w:pPr>
          </w:p>
        </w:tc>
      </w:tr>
      <w:tr>
        <w:trPr>
          <w:trHeight w:val="238"/>
        </w:trPr>
        <w:tc>
          <w:tcPr>
            <w:tcW w:w="2240" w:type="dxa"/>
            <w:vAlign w:val="bottom"/>
            <w:tcBorders>
              <w:top w:val="single" w:sz="8" w:color="CCEDFF"/>
            </w:tcBorders>
            <w:shd w:val="clear" w:color="auto" w:fill="CCEDFF"/>
          </w:tcPr>
          <w:p>
            <w:pPr>
              <w:ind w:left="80"/>
              <w:spacing w:after="0"/>
              <w:rPr>
                <w:sz w:val="20"/>
                <w:szCs w:val="20"/>
                <w:color w:val="auto"/>
              </w:rPr>
            </w:pPr>
            <w:r>
              <w:rPr>
                <w:rFonts w:ascii="Arial" w:cs="Arial" w:eastAsia="Arial" w:hAnsi="Arial"/>
                <w:sz w:val="18"/>
                <w:szCs w:val="18"/>
                <w:color w:val="auto"/>
              </w:rPr>
              <w:t>April 1 - April 30, 2022</w:t>
            </w:r>
          </w:p>
        </w:tc>
        <w:tc>
          <w:tcPr>
            <w:tcW w:w="1840" w:type="dxa"/>
            <w:vAlign w:val="bottom"/>
            <w:tcBorders>
              <w:top w:val="single" w:sz="8" w:color="auto"/>
            </w:tcBorders>
            <w:shd w:val="clear" w:color="auto" w:fill="CCEDFF"/>
          </w:tcPr>
          <w:p>
            <w:pPr>
              <w:spacing w:after="0"/>
              <w:rPr>
                <w:sz w:val="20"/>
                <w:szCs w:val="20"/>
                <w:color w:val="auto"/>
              </w:rPr>
            </w:pPr>
          </w:p>
        </w:tc>
        <w:tc>
          <w:tcPr>
            <w:tcW w:w="320" w:type="dxa"/>
            <w:vAlign w:val="bottom"/>
            <w:tcBorders>
              <w:top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DFF"/>
            </w:tcBorders>
            <w:shd w:val="clear" w:color="auto" w:fill="CCEDFF"/>
          </w:tcPr>
          <w:p>
            <w:pPr>
              <w:spacing w:after="0"/>
              <w:rPr>
                <w:sz w:val="20"/>
                <w:szCs w:val="20"/>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DFF"/>
            </w:tcBorders>
            <w:shd w:val="clear" w:color="auto" w:fill="CCEDFF"/>
          </w:tcPr>
          <w:p>
            <w:pPr>
              <w:spacing w:after="0"/>
              <w:rPr>
                <w:sz w:val="20"/>
                <w:szCs w:val="20"/>
                <w:color w:val="auto"/>
              </w:rPr>
            </w:pPr>
          </w:p>
        </w:tc>
        <w:tc>
          <w:tcPr>
            <w:tcW w:w="2180" w:type="dxa"/>
            <w:vAlign w:val="bottom"/>
            <w:tcBorders>
              <w:top w:val="single" w:sz="8" w:color="auto"/>
            </w:tcBorders>
            <w:shd w:val="clear" w:color="auto" w:fill="CCEDFF"/>
          </w:tcPr>
          <w:p>
            <w:pPr>
              <w:jc w:val="center"/>
              <w:ind w:left="17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DFF"/>
            </w:tcBorders>
            <w:shd w:val="clear" w:color="auto" w:fill="CCED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431,219,240</w:t>
            </w:r>
          </w:p>
        </w:tc>
        <w:tc>
          <w:tcPr>
            <w:tcW w:w="0" w:type="dxa"/>
            <w:vAlign w:val="bottom"/>
          </w:tcPr>
          <w:p>
            <w:pPr>
              <w:spacing w:after="0"/>
              <w:rPr>
                <w:sz w:val="1"/>
                <w:szCs w:val="1"/>
                <w:color w:val="auto"/>
              </w:rPr>
            </w:pPr>
          </w:p>
        </w:tc>
      </w:tr>
      <w:tr>
        <w:trPr>
          <w:trHeight w:val="243"/>
        </w:trPr>
        <w:tc>
          <w:tcPr>
            <w:tcW w:w="4080" w:type="dxa"/>
            <w:vAlign w:val="bottom"/>
            <w:gridSpan w:val="2"/>
          </w:tcPr>
          <w:p>
            <w:pPr>
              <w:ind w:left="80"/>
              <w:spacing w:after="0"/>
              <w:rPr>
                <w:sz w:val="20"/>
                <w:szCs w:val="20"/>
                <w:color w:val="auto"/>
              </w:rPr>
            </w:pPr>
            <w:r>
              <w:rPr>
                <w:rFonts w:ascii="Arial" w:cs="Arial" w:eastAsia="Arial" w:hAnsi="Arial"/>
                <w:sz w:val="18"/>
                <w:szCs w:val="18"/>
                <w:color w:val="auto"/>
              </w:rPr>
              <w:t>May 1 - May 31, 2022</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80" w:type="dxa"/>
            <w:vAlign w:val="bottom"/>
            <w:gridSpan w:val="2"/>
          </w:tcPr>
          <w:p>
            <w:pPr>
              <w:jc w:val="center"/>
              <w:ind w:left="1659"/>
              <w:spacing w:after="0"/>
              <w:rPr>
                <w:sz w:val="20"/>
                <w:szCs w:val="20"/>
                <w:color w:val="auto"/>
              </w:rPr>
            </w:pPr>
            <w:r>
              <w:rPr>
                <w:rFonts w:ascii="Arial" w:cs="Arial" w:eastAsia="Arial" w:hAnsi="Arial"/>
                <w:sz w:val="18"/>
                <w:szCs w:val="18"/>
                <w:color w:val="auto"/>
                <w:w w:val="99"/>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431,219,240</w:t>
            </w: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DFF"/>
          </w:tcPr>
          <w:p>
            <w:pPr>
              <w:ind w:left="80"/>
              <w:spacing w:after="0"/>
              <w:rPr>
                <w:sz w:val="20"/>
                <w:szCs w:val="20"/>
                <w:color w:val="auto"/>
              </w:rPr>
            </w:pPr>
            <w:r>
              <w:rPr>
                <w:rFonts w:ascii="Arial" w:cs="Arial" w:eastAsia="Arial" w:hAnsi="Arial"/>
                <w:sz w:val="18"/>
                <w:szCs w:val="18"/>
                <w:color w:val="auto"/>
              </w:rPr>
              <w:t>June 1 - June 30, 2022</w:t>
            </w:r>
          </w:p>
        </w:tc>
        <w:tc>
          <w:tcPr>
            <w:tcW w:w="3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3"/>
              </w:rPr>
              <w:t>338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2280" w:type="dxa"/>
            <w:vAlign w:val="bottom"/>
            <w:gridSpan w:val="2"/>
            <w:shd w:val="clear" w:color="auto" w:fill="CCEDFF"/>
          </w:tcPr>
          <w:p>
            <w:pPr>
              <w:jc w:val="center"/>
              <w:ind w:left="1890"/>
              <w:spacing w:after="0"/>
              <w:rPr>
                <w:sz w:val="20"/>
                <w:szCs w:val="20"/>
                <w:color w:val="auto"/>
              </w:rPr>
            </w:pPr>
            <w:r>
              <w:rPr>
                <w:rFonts w:ascii="Arial" w:cs="Arial" w:eastAsia="Arial" w:hAnsi="Arial"/>
                <w:sz w:val="18"/>
                <w:szCs w:val="18"/>
                <w:color w:val="auto"/>
                <w:w w:val="86"/>
              </w:rPr>
              <w:t>338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431,164,925</w:t>
            </w:r>
          </w:p>
        </w:tc>
        <w:tc>
          <w:tcPr>
            <w:tcW w:w="0" w:type="dxa"/>
            <w:vAlign w:val="bottom"/>
          </w:tcPr>
          <w:p>
            <w:pPr>
              <w:spacing w:after="0"/>
              <w:rPr>
                <w:sz w:val="1"/>
                <w:szCs w:val="1"/>
                <w:color w:val="auto"/>
              </w:rPr>
            </w:pPr>
          </w:p>
        </w:tc>
      </w:tr>
      <w:tr>
        <w:trPr>
          <w:trHeight w:val="237"/>
        </w:trPr>
        <w:tc>
          <w:tcPr>
            <w:tcW w:w="2240" w:type="dxa"/>
            <w:vAlign w:val="bottom"/>
          </w:tcPr>
          <w:p>
            <w:pPr>
              <w:ind w:left="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338</w:t>
            </w:r>
          </w:p>
        </w:tc>
        <w:tc>
          <w:tcPr>
            <w:tcW w:w="100" w:type="dxa"/>
            <w:vAlign w:val="bottom"/>
          </w:tcPr>
          <w:p>
            <w:pPr>
              <w:spacing w:after="0"/>
              <w:rPr>
                <w:sz w:val="20"/>
                <w:szCs w:val="20"/>
                <w:color w:val="auto"/>
              </w:rPr>
            </w:pP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160.70</w:t>
            </w:r>
          </w:p>
        </w:tc>
        <w:tc>
          <w:tcPr>
            <w:tcW w:w="100" w:type="dxa"/>
            <w:vAlign w:val="bottom"/>
          </w:tcPr>
          <w:p>
            <w:pPr>
              <w:spacing w:after="0"/>
              <w:rPr>
                <w:sz w:val="20"/>
                <w:szCs w:val="20"/>
                <w:color w:val="auto"/>
              </w:rPr>
            </w:pPr>
          </w:p>
        </w:tc>
        <w:tc>
          <w:tcPr>
            <w:tcW w:w="2180" w:type="dxa"/>
            <w:vAlign w:val="bottom"/>
            <w:tcBorders>
              <w:top w:val="single" w:sz="8" w:color="auto"/>
              <w:bottom w:val="single" w:sz="8" w:color="auto"/>
            </w:tcBorders>
          </w:tcPr>
          <w:p>
            <w:pPr>
              <w:jc w:val="center"/>
              <w:ind w:left="1799"/>
              <w:spacing w:after="0"/>
              <w:rPr>
                <w:sz w:val="20"/>
                <w:szCs w:val="20"/>
                <w:color w:val="auto"/>
              </w:rPr>
            </w:pPr>
            <w:r>
              <w:rPr>
                <w:rFonts w:ascii="Arial" w:cs="Arial" w:eastAsia="Arial" w:hAnsi="Arial"/>
                <w:sz w:val="18"/>
                <w:szCs w:val="18"/>
                <w:color w:val="auto"/>
                <w:w w:val="86"/>
              </w:rPr>
              <w:t>338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right="38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minimum tax withholding requirements in connection with the vesting and release of restricted stock units.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ordinary shares reported in the table above were purchased pursuant to our publicly announced share repurchase program.</w:t>
      </w:r>
    </w:p>
    <w:p>
      <w:pPr>
        <w:spacing w:after="0" w:line="9"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83"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In November 2016, our board of directors authorized a share repurchase program and as of June 30, 2022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and six months ended June 30, 2022, we spent a total of $0.1 million to purchase 338 of our ordinary shares under the share repurchase program at a total purchase price, including commissions, of $160.70 per share. All ordinary shares repurchased were canceled. As of June 30, 2022, the remaining amount authorized under the share repurchase program was $431.2 million.</w:t>
      </w:r>
    </w:p>
    <w:p>
      <w:pPr>
        <w:spacing w:after="0" w:line="84"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Matters Presented at the 2022 Annual General Meeting of Shareholders</w:t>
      </w:r>
    </w:p>
    <w:p>
      <w:pPr>
        <w:spacing w:after="0" w:line="12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On July 28, 2022, we held our 2022 annual general meeting of shareholders, or the Annual Meeting, at our corporate headquarters located at Fifth Floor, Waterloo Exchange, Waterloo Road, Dublin 4, Ireland. At the Annual Meeting, our shareholders voted on four proposals, each of which is described in more detail in our definitive proxy statement on Schedule 14A as filed with the SEC on June 13, 2022, or the Proxy Statement. The results of the matters presented at the Annual Meeting, based on the presence in person or by proxy of holders of 56,409,461 of the 62,442,548 ordinary shares entitled to vote, are described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12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Proposal 1 was to elect by separate resolutions each of the four nominees for director named below to hold office until our 2025 annual general meeting of shareholders. Each of the four nominees for director was elected as follows:</w:t>
      </w:r>
    </w:p>
    <w:p>
      <w:pPr>
        <w:spacing w:after="0" w:line="9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740" w:type="dxa"/>
            <w:vAlign w:val="bottom"/>
            <w:gridSpan w:val="2"/>
          </w:tcPr>
          <w:p>
            <w:pPr>
              <w:ind w:left="1220"/>
              <w:spacing w:after="0"/>
              <w:rPr>
                <w:sz w:val="20"/>
                <w:szCs w:val="20"/>
                <w:color w:val="auto"/>
              </w:rPr>
            </w:pPr>
            <w:r>
              <w:rPr>
                <w:rFonts w:ascii="Arial" w:cs="Arial" w:eastAsia="Arial" w:hAnsi="Arial"/>
                <w:sz w:val="14"/>
                <w:szCs w:val="14"/>
                <w:b w:val="1"/>
                <w:bCs w:val="1"/>
                <w:color w:val="auto"/>
              </w:rPr>
              <w:t>Director Nominees</w:t>
            </w: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Against</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42"/>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Jennifer E. Cook</w:t>
            </w:r>
          </w:p>
        </w:tc>
        <w:tc>
          <w:tcPr>
            <w:tcW w:w="14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51,177,537</w:t>
            </w:r>
          </w:p>
        </w:tc>
        <w:tc>
          <w:tcPr>
            <w:tcW w:w="14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2,024,696</w:t>
            </w:r>
          </w:p>
        </w:tc>
        <w:tc>
          <w:tcPr>
            <w:tcW w:w="14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29,572</w:t>
            </w:r>
          </w:p>
        </w:tc>
        <w:tc>
          <w:tcPr>
            <w:tcW w:w="14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3,177,656</w:t>
            </w:r>
          </w:p>
        </w:tc>
      </w:tr>
      <w:tr>
        <w:trPr>
          <w:trHeight w:val="237"/>
        </w:trPr>
        <w:tc>
          <w:tcPr>
            <w:tcW w:w="3740" w:type="dxa"/>
            <w:vAlign w:val="bottom"/>
            <w:gridSpan w:val="2"/>
          </w:tcPr>
          <w:p>
            <w:pPr>
              <w:spacing w:after="0"/>
              <w:rPr>
                <w:sz w:val="20"/>
                <w:szCs w:val="20"/>
                <w:color w:val="auto"/>
              </w:rPr>
            </w:pPr>
            <w:r>
              <w:rPr>
                <w:rFonts w:ascii="Arial" w:cs="Arial" w:eastAsia="Arial" w:hAnsi="Arial"/>
                <w:sz w:val="18"/>
                <w:szCs w:val="18"/>
                <w:color w:val="auto"/>
              </w:rPr>
              <w:t>Patrick G. Enright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51,387,639</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1,794,994</w:t>
            </w:r>
          </w:p>
        </w:tc>
        <w:tc>
          <w:tcPr>
            <w:tcW w:w="140" w:type="dxa"/>
            <w:vAlign w:val="bottom"/>
          </w:tcPr>
          <w:p>
            <w:pPr>
              <w:spacing w:after="0"/>
              <w:rPr>
                <w:sz w:val="20"/>
                <w:szCs w:val="20"/>
                <w:color w:val="auto"/>
              </w:rPr>
            </w:pPr>
          </w:p>
        </w:tc>
        <w:tc>
          <w:tcPr>
            <w:tcW w:w="1540" w:type="dxa"/>
            <w:vAlign w:val="bottom"/>
          </w:tcPr>
          <w:p>
            <w:pPr>
              <w:ind w:left="520"/>
              <w:spacing w:after="0"/>
              <w:rPr>
                <w:sz w:val="20"/>
                <w:szCs w:val="20"/>
                <w:color w:val="auto"/>
              </w:rPr>
            </w:pPr>
            <w:r>
              <w:rPr>
                <w:rFonts w:ascii="Arial" w:cs="Arial" w:eastAsia="Arial" w:hAnsi="Arial"/>
                <w:sz w:val="18"/>
                <w:szCs w:val="18"/>
                <w:color w:val="auto"/>
              </w:rPr>
              <w:t>49,172</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3,177,656</w:t>
            </w:r>
          </w:p>
        </w:tc>
      </w:tr>
      <w:tr>
        <w:trPr>
          <w:trHeight w:val="249"/>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Seamus Mulligan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51,893,165</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1,292,487</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46,153</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3,177,656</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Norbert G. Riedel, Ph.D.</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46,944,112</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6,260,930</w:t>
            </w:r>
          </w:p>
        </w:tc>
        <w:tc>
          <w:tcPr>
            <w:tcW w:w="140" w:type="dxa"/>
            <w:vAlign w:val="bottom"/>
          </w:tcPr>
          <w:p>
            <w:pPr>
              <w:spacing w:after="0"/>
              <w:rPr>
                <w:sz w:val="20"/>
                <w:szCs w:val="20"/>
                <w:color w:val="auto"/>
              </w:rPr>
            </w:pPr>
          </w:p>
        </w:tc>
        <w:tc>
          <w:tcPr>
            <w:tcW w:w="1540" w:type="dxa"/>
            <w:vAlign w:val="bottom"/>
          </w:tcPr>
          <w:p>
            <w:pPr>
              <w:ind w:left="520"/>
              <w:spacing w:after="0"/>
              <w:rPr>
                <w:sz w:val="20"/>
                <w:szCs w:val="20"/>
                <w:color w:val="auto"/>
              </w:rPr>
            </w:pPr>
            <w:r>
              <w:rPr>
                <w:rFonts w:ascii="Arial" w:cs="Arial" w:eastAsia="Arial" w:hAnsi="Arial"/>
                <w:sz w:val="18"/>
                <w:szCs w:val="18"/>
                <w:color w:val="auto"/>
              </w:rPr>
              <w:t>26,763</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3,177,656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Proposal 2 was to ratify, on a non-binding advisory basis, the appointment of KPMG, Dublin as our independent auditors for the fiscal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to authorize, in a binding vote, our board of directors, acting through the audit committee, to determine the auditors’ remuneration.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56,011,766</w:t>
            </w:r>
          </w:p>
        </w:tc>
        <w:tc>
          <w:tcPr>
            <w:tcW w:w="120" w:type="dxa"/>
            <w:vAlign w:val="bottom"/>
            <w:tcBorders>
              <w:top w:val="single" w:sz="8" w:color="CCEEFF"/>
            </w:tcBorders>
            <w:shd w:val="clear" w:color="auto" w:fill="CCEEFF"/>
          </w:tcPr>
          <w:p>
            <w:pPr>
              <w:spacing w:after="0"/>
              <w:rPr>
                <w:sz w:val="21"/>
                <w:szCs w:val="21"/>
                <w:color w:val="auto"/>
              </w:rPr>
            </w:pPr>
          </w:p>
        </w:tc>
        <w:tc>
          <w:tcPr>
            <w:tcW w:w="24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375,005</w:t>
            </w:r>
          </w:p>
        </w:tc>
        <w:tc>
          <w:tcPr>
            <w:tcW w:w="140" w:type="dxa"/>
            <w:vAlign w:val="bottom"/>
            <w:tcBorders>
              <w:top w:val="single" w:sz="8" w:color="CCEEFF"/>
            </w:tcBorders>
            <w:shd w:val="clear" w:color="auto" w:fill="CCEEFF"/>
          </w:tcPr>
          <w:p>
            <w:pPr>
              <w:spacing w:after="0"/>
              <w:rPr>
                <w:sz w:val="21"/>
                <w:szCs w:val="21"/>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22,690</w:t>
            </w:r>
          </w:p>
        </w:tc>
        <w:tc>
          <w:tcPr>
            <w:tcW w:w="14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Proposal 3 was to approve, on a non-binding advisory basis, the compensation of our named executive officers as disclosed in the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2"/>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49,841,152</w:t>
            </w:r>
          </w:p>
        </w:tc>
        <w:tc>
          <w:tcPr>
            <w:tcW w:w="120" w:type="dxa"/>
            <w:vAlign w:val="bottom"/>
            <w:tcBorders>
              <w:top w:val="single" w:sz="8" w:color="CCEEFF"/>
            </w:tcBorders>
            <w:shd w:val="clear" w:color="auto" w:fill="CCEEFF"/>
          </w:tcPr>
          <w:p>
            <w:pPr>
              <w:spacing w:after="0"/>
              <w:rPr>
                <w:sz w:val="21"/>
                <w:szCs w:val="21"/>
                <w:color w:val="auto"/>
              </w:rPr>
            </w:pPr>
          </w:p>
        </w:tc>
        <w:tc>
          <w:tcPr>
            <w:tcW w:w="244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3,338,242</w:t>
            </w:r>
          </w:p>
        </w:tc>
        <w:tc>
          <w:tcPr>
            <w:tcW w:w="140" w:type="dxa"/>
            <w:vAlign w:val="bottom"/>
            <w:tcBorders>
              <w:top w:val="single" w:sz="8" w:color="CCEEFF"/>
            </w:tcBorders>
            <w:shd w:val="clear" w:color="auto" w:fill="CCEEFF"/>
          </w:tcPr>
          <w:p>
            <w:pPr>
              <w:spacing w:after="0"/>
              <w:rPr>
                <w:sz w:val="21"/>
                <w:szCs w:val="21"/>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52,411</w:t>
            </w:r>
          </w:p>
        </w:tc>
        <w:tc>
          <w:tcPr>
            <w:tcW w:w="14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3,177,656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spacing w:after="0" w:line="121"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color w:val="auto"/>
        </w:rPr>
        <w:t>Proposal 4 was to grant our board of directors authority under Irish law to allot and issue ordinary shares for cash without first offering those ordinary shares to existing shareholders pursuant to the statutory pre-emption right that would otherwise apply. This proposal was approved as follows:</w:t>
      </w:r>
    </w:p>
    <w:p>
      <w:pPr>
        <w:spacing w:after="0" w:line="4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43,745,839</w:t>
            </w:r>
          </w:p>
        </w:tc>
        <w:tc>
          <w:tcPr>
            <w:tcW w:w="120" w:type="dxa"/>
            <w:vAlign w:val="bottom"/>
            <w:tcBorders>
              <w:top w:val="single" w:sz="8" w:color="CCEEFF"/>
            </w:tcBorders>
            <w:shd w:val="clear" w:color="auto" w:fill="CCEEFF"/>
          </w:tcPr>
          <w:p>
            <w:pPr>
              <w:spacing w:after="0"/>
              <w:rPr>
                <w:sz w:val="21"/>
                <w:szCs w:val="21"/>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12,616,216</w:t>
            </w:r>
          </w:p>
        </w:tc>
        <w:tc>
          <w:tcPr>
            <w:tcW w:w="140" w:type="dxa"/>
            <w:vAlign w:val="bottom"/>
            <w:tcBorders>
              <w:top w:val="single" w:sz="8" w:color="CCEEFF"/>
            </w:tcBorders>
            <w:shd w:val="clear" w:color="auto" w:fill="CCEEFF"/>
          </w:tcPr>
          <w:p>
            <w:pPr>
              <w:spacing w:after="0"/>
              <w:rPr>
                <w:sz w:val="21"/>
                <w:szCs w:val="21"/>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47,406</w:t>
            </w:r>
          </w:p>
        </w:tc>
        <w:tc>
          <w:tcPr>
            <w:tcW w:w="14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121" w:lineRule="exact"/>
        <w:rPr>
          <w:sz w:val="20"/>
          <w:szCs w:val="20"/>
          <w:color w:val="auto"/>
        </w:rPr>
      </w:pPr>
    </w:p>
    <w:p>
      <w:pPr>
        <w:jc w:val="both"/>
        <w:ind w:right="300" w:firstLine="445"/>
        <w:spacing w:after="0" w:line="263" w:lineRule="auto"/>
        <w:rPr>
          <w:sz w:val="20"/>
          <w:szCs w:val="20"/>
          <w:color w:val="auto"/>
        </w:rPr>
      </w:pPr>
      <w:r>
        <w:rPr>
          <w:rFonts w:ascii="Arial" w:cs="Arial" w:eastAsia="Arial" w:hAnsi="Arial"/>
          <w:sz w:val="18"/>
          <w:szCs w:val="18"/>
          <w:color w:val="auto"/>
        </w:rPr>
        <w:t>Proposal 5 was to approve any motion to adjourn the Annual Meeting, or any adjournments thereof, to another time and place to solicit additional proxies if there are insufficient votes at the time of the Annual Meeting to approve Proposal 4. As no motion to adjourn the Annual Meeting was made, Proposal 5 was not put to a vote of the shareholders at the Annual Meeting.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an Executive Officer</w:t>
      </w:r>
    </w:p>
    <w:p>
      <w:pPr>
        <w:spacing w:after="0" w:line="121"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On July 28, 2022, we and Chris Tovey mutually agreed that Mr. Tovey’s employment as the Executive Vice President and Chief Operating Officer and Managing Director, Europe &amp; International will end on October 31, 2022. In connection with Mr. Tovey’s departure, Mr. Tovey will receive the severance benefits provided for under the GW Change in Control and Severance Benefit Plan and related participation agreement described under the heading “Potential Payments upon Termination or Change in Control—Amended and Restated Executive Change in Control and Severance Benefit Plan” and “Potential Payments upon Termination or Change in Control—GW UK Change in Control and Severance Benefit Plan” in our proxy statement filed with the SEC on June 13, 2022 in connection with our Annual Meeting. In addition, following cessation of his employment, Mr. Tovey will be entitled to a pro-rata target bonus for the number of days worked in 2022.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47"/>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5"/>
                <w:szCs w:val="15"/>
                <w:color w:val="auto"/>
              </w:rPr>
            </w:pPr>
          </w:p>
        </w:tc>
        <w:tc>
          <w:tcPr>
            <w:tcW w:w="10140" w:type="dxa"/>
            <w:vAlign w:val="bottom"/>
            <w:gridSpan w:val="4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140" w:type="dxa"/>
            <w:vAlign w:val="bottom"/>
            <w:gridSpan w:val="4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540" w:type="dxa"/>
            <w:vAlign w:val="bottom"/>
            <w:tcBorders>
              <w:bottom w:val="single" w:sz="8" w:color="0000FF"/>
            </w:tcBorders>
            <w:gridSpan w:val="23"/>
            <w:shd w:val="clear" w:color="auto" w:fill="CCEEFF"/>
          </w:tcPr>
          <w:p>
            <w:pPr>
              <w:spacing w:after="0" w:line="189"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580" w:type="dxa"/>
            <w:vAlign w:val="bottom"/>
            <w:tcBorders>
              <w:bottom w:val="single" w:sz="8" w:color="CCEEFF"/>
              <w:right w:val="single" w:sz="8" w:color="CCEEFF"/>
            </w:tcBorders>
            <w:gridSpan w:val="22"/>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120" w:type="dxa"/>
            <w:vAlign w:val="bottom"/>
            <w:tcBorders>
              <w:right w:val="single" w:sz="8" w:color="CCEEFF"/>
            </w:tcBorders>
            <w:gridSpan w:val="45"/>
            <w:shd w:val="clear" w:color="auto" w:fill="CCEEFF"/>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Pharmaceuticals plc), Jaguar Merger Sub Inc., Jazz Pharmaceuticals, Inc. and Seamus Mulligan, solely in his capacity as the Indemnitors’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Representative (incorporated herein by reference to Exhibit 2.1 in Jazz Pharmaceuticals, Inc.’s Current Report on Form 8-K (File No. 001</w:t>
              </w:r>
            </w:hyperlink>
          </w:p>
        </w:tc>
        <w:tc>
          <w:tcPr>
            <w:tcW w:w="80" w:type="dxa"/>
            <w:vAlign w:val="bottom"/>
            <w:tcBorders>
              <w:top w:val="single" w:sz="8" w:color="CCEEFF"/>
            </w:tcBorders>
            <w:gridSpan w:val="4"/>
            <w:shd w:val="clear" w:color="auto" w:fill="CCEEFF"/>
          </w:tcPr>
          <w:p>
            <w:pPr>
              <w:jc w:val="right"/>
              <w:ind w:right="20"/>
              <w:spacing w:after="0" w:line="155" w:lineRule="exact"/>
              <w:rPr>
                <w:rFonts w:ascii="Arial" w:cs="Arial" w:eastAsia="Arial" w:hAnsi="Arial"/>
                <w:sz w:val="16"/>
                <w:szCs w:val="16"/>
                <w:color w:val="0000FF"/>
                <w:w w:val="74"/>
              </w:rPr>
            </w:pPr>
            <w:hyperlink r:id="rId107">
              <w:r>
                <w:rPr>
                  <w:rFonts w:ascii="Arial" w:cs="Arial" w:eastAsia="Arial" w:hAnsi="Arial"/>
                  <w:sz w:val="16"/>
                  <w:szCs w:val="16"/>
                  <w:color w:val="0000FF"/>
                  <w:w w:val="74"/>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9"/>
            <w:shd w:val="clear" w:color="auto" w:fill="CCEEFF"/>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33500) filed with the SEC on September 19, 2011).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Inc. and Seamus Mulligan, solely in his capacity as the Indemnitors’ Representative (incorporated by reference to Exhibit 2.2 in Jazz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Pharmaceuticals plc’s Current Report on Form 8-K (File No. 001-33500), as filed with the SEC on January 18, 2012).</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Agreement and Plan of Merger, dated as of April 26, 2012, by and among Jazz Pharmaceuticals plc, Jewel Merger Sub Inc., EUSA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2"/>
            <w:shd w:val="clear" w:color="auto" w:fill="CCEEFF"/>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Inc., and Essex Woodlands Health Ventures, Inc., Mayflower L.P., and Bryan Morton, in their capacity as the representatives of the equity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(File No. 001-33500), as filed with the SEC on April 27, 2012).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40" w:type="dxa"/>
            <w:vAlign w:val="bottom"/>
            <w:tcBorders>
              <w:bottom w:val="single" w:sz="8" w:color="0000FF"/>
            </w:tcBorders>
            <w:gridSpan w:val="28"/>
          </w:tcPr>
          <w:p>
            <w:pPr>
              <w:spacing w:after="0" w:line="189"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380" w:type="dxa"/>
            <w:vAlign w:val="bottom"/>
            <w:gridSpan w:val="17"/>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40" w:type="dxa"/>
            <w:vAlign w:val="bottom"/>
            <w:gridSpan w:val="46"/>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12, 2012).</w:t>
              </w:r>
            </w:hyperlink>
          </w:p>
        </w:tc>
        <w:tc>
          <w:tcPr>
            <w:tcW w:w="8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Tender Offer Agreement, dated December 19, 2013, by and among Jazz Pharmaceuticals Public Limited Company,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Italy S.r.l. and Gentium S.p.A. (incorporated herein by reference to Exhibit 2.1 in Jazz Pharmaceuticals plc’s Current Report on Form 8-</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K/A (File No. 001-33500), as filed with the SEC on December 20, 2013).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20" w:type="dxa"/>
            <w:vAlign w:val="bottom"/>
            <w:tcBorders>
              <w:top w:val="single" w:sz="8" w:color="0000FF"/>
            </w:tcBorders>
            <w:gridSpan w:val="41"/>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and Jazz Pharmaceuticals plc (incorporated herein by reference to Exhibit 2.1 in Jazz Pharmaceuticals plc’s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(File No. 001-33500), as filed with the SEC on January 13,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Assignment Agreement, dated July 1, 2014, by and among Jazz Pharmaceuticals International II Limited, Sigma-Tau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right w:val="single" w:sz="8" w:color="CCEEFF"/>
            </w:tcBorders>
            <w:gridSpan w:val="45"/>
            <w:shd w:val="clear" w:color="auto" w:fill="CCEEFF"/>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Jazz Pharmaceuticals plc and Gentium S.p.A. (incorporated herein by reference to Exhibit 2.1 in Jazz Pharmaceuticals plc’s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on Form 8-K (File No. 001-33500), as filed with the SEC on August 5, 2014).</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Amended and Restated Agreement for the Acquisition of the Topaz Portfolio Business of Jazz Pharmaceuticals plc, dated March 20, 2015,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between Jazz Pharmaceuticals plc and Essex Bidco Limited (incorporated herein by reference to Exhibit 2.1 in Jazz Pharmaceuticals plc’s</w:t>
              </w:r>
            </w:hyperlink>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Current Report on Form 8-K (File No. 001-33500), as filed with the SEC on March 23, 2015).</w:t>
              </w:r>
            </w:hyperlink>
          </w:p>
        </w:tc>
        <w:tc>
          <w:tcPr>
            <w:tcW w:w="1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Agreement and Plan of Merger, dated as of May 27, 2016, by and among Jazz Pharmaceuticals plc, Plex Merger Sub, Inc., and Celator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Pharmaceuticals, Inc. (incorporated herein by reference to Exhibit 2.1 in Jazz Pharmaceuticals plc’s Current Report on Form 8-K (File</w:t>
              </w:r>
            </w:hyperlink>
          </w:p>
        </w:tc>
        <w:tc>
          <w:tcPr>
            <w:tcW w:w="400" w:type="dxa"/>
            <w:vAlign w:val="bottom"/>
            <w:tcBorders>
              <w:top w:val="single" w:sz="8" w:color="CCEEFF"/>
              <w:right w:val="single" w:sz="8" w:color="CCEEFF"/>
            </w:tcBorders>
            <w:gridSpan w:val="18"/>
            <w:shd w:val="clear" w:color="auto" w:fill="CCEEFF"/>
          </w:tcPr>
          <w:p>
            <w:pPr>
              <w:jc w:val="right"/>
              <w:ind w:right="140"/>
              <w:spacing w:after="0" w:line="156" w:lineRule="exact"/>
              <w:rPr>
                <w:rFonts w:ascii="Arial" w:cs="Arial" w:eastAsia="Arial" w:hAnsi="Arial"/>
                <w:sz w:val="18"/>
                <w:szCs w:val="18"/>
                <w:color w:val="0000FF"/>
                <w:w w:val="85"/>
              </w:rPr>
            </w:pPr>
            <w:hyperlink r:id="rId115">
              <w:r>
                <w:rPr>
                  <w:rFonts w:ascii="Arial" w:cs="Arial" w:eastAsia="Arial" w:hAnsi="Arial"/>
                  <w:sz w:val="18"/>
                  <w:szCs w:val="18"/>
                  <w:color w:val="0000FF"/>
                  <w:w w:val="85"/>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9"/>
            <w:shd w:val="clear" w:color="auto" w:fill="CCEEFF"/>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001-33500), as filed with the SEC on May 31, 2016).</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2.10‡</w:t>
            </w: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Transaction Agreement, dated as of February 3, 2021, by and among Jazz Pharmaceuticals UK Holdings Limited,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Current Report on Form 8-K (File No. 001-33500), as filed with the SEC on February 4, 2021).</w:t>
              </w:r>
            </w:hyperlink>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Amended and Restated Memorandum and Articles of Association of Jazz Pharmaceuticals plc, as amended on August 4,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1020" w:type="dxa"/>
            <w:vAlign w:val="bottom"/>
            <w:tcBorders>
              <w:top w:val="single" w:sz="8" w:color="CCEEFF"/>
              <w:right w:val="single" w:sz="8" w:color="CCEEFF"/>
            </w:tcBorders>
            <w:gridSpan w:val="28"/>
            <w:shd w:val="clear" w:color="auto" w:fill="CCEEFF"/>
          </w:tcPr>
          <w:p>
            <w:pPr>
              <w:spacing w:after="0" w:line="156" w:lineRule="exact"/>
              <w:rPr>
                <w:rFonts w:ascii="Arial" w:cs="Arial" w:eastAsia="Arial" w:hAnsi="Arial"/>
                <w:sz w:val="18"/>
                <w:szCs w:val="18"/>
                <w:color w:val="0000FF"/>
                <w:w w:val="87"/>
              </w:rPr>
            </w:pPr>
            <w:hyperlink r:id="rId117">
              <w:r>
                <w:rPr>
                  <w:rFonts w:ascii="Arial" w:cs="Arial" w:eastAsia="Arial" w:hAnsi="Arial"/>
                  <w:sz w:val="18"/>
                  <w:szCs w:val="18"/>
                  <w:color w:val="0000FF"/>
                  <w:w w:val="87"/>
                </w:rPr>
                <w:t>33500)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CCEEFF"/>
              <w:lef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6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period ended June 30, 2016, as filed with the SEC on August 9, 2016).</w:t>
              </w:r>
            </w:hyperlink>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4.1</w:t>
            </w: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80" w:type="dxa"/>
            <w:vAlign w:val="bottom"/>
            <w:tcBorders>
              <w:top w:val="single" w:sz="8" w:color="0000FF"/>
            </w:tcBorders>
            <w:gridSpan w:val="8"/>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Reference is made to Exhibit 3.1.</w:t>
              </w:r>
            </w:hyperlink>
          </w:p>
        </w:tc>
        <w:tc>
          <w:tcPr>
            <w:tcW w:w="5040" w:type="dxa"/>
            <w:vAlign w:val="bottom"/>
            <w:tcBorders>
              <w:top w:val="single" w:sz="8" w:color="CCEEFF"/>
            </w:tcBorders>
            <w:gridSpan w:val="3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4.2A</w:t>
            </w: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21"/>
            <w:shd w:val="clear" w:color="auto" w:fill="CCEEFF"/>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20" w:type="dxa"/>
            <w:vAlign w:val="bottom"/>
            <w:tcBorders>
              <w:top w:val="single" w:sz="8" w:color="CCEEFF"/>
              <w:bottom w:val="single" w:sz="8" w:color="CCEEFF"/>
              <w:right w:val="single" w:sz="8" w:color="CCEEFF"/>
            </w:tcBorders>
            <w:gridSpan w:val="23"/>
            <w:vMerge w:val="restart"/>
            <w:shd w:val="clear" w:color="auto" w:fill="CCEEFF"/>
          </w:tcPr>
          <w:p>
            <w:pPr>
              <w:ind w:left="20"/>
              <w:spacing w:after="0"/>
              <w:rPr>
                <w:rFonts w:ascii="Arial" w:cs="Arial" w:eastAsia="Arial" w:hAnsi="Arial"/>
                <w:sz w:val="18"/>
                <w:szCs w:val="18"/>
                <w:color w:val="0000FF"/>
              </w:rPr>
            </w:pPr>
            <w:hyperlink r:id="rId118">
              <w:r>
                <w:rPr>
                  <w:rFonts w:ascii="Arial" w:cs="Arial" w:eastAsia="Arial" w:hAnsi="Arial"/>
                  <w:sz w:val="18"/>
                  <w:szCs w:val="18"/>
                  <w:color w:val="0000FF"/>
                </w:rPr>
                <w:t>April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500" w:type="dxa"/>
            <w:vAlign w:val="bottom"/>
            <w:gridSpan w:val="22"/>
            <w:shd w:val="clear" w:color="auto" w:fill="CCEEFF"/>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620" w:type="dxa"/>
            <w:vAlign w:val="bottom"/>
            <w:tcBorders>
              <w:right w:val="single" w:sz="8" w:color="CCEEFF"/>
            </w:tcBorders>
            <w:gridSpan w:val="23"/>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29, 2021).</w:t>
              </w:r>
            </w:hyperlink>
          </w:p>
        </w:tc>
        <w:tc>
          <w:tcPr>
            <w:tcW w:w="86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4.2B</w:t>
            </w: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Form of 4.375% Senior Notes due 2029 (incorporated herein by reference to Exhibit 4.2 in Jazz Pharmaceuticals plc’s Current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Form 8-K (File No. 001-033500), as filed with the SEC on April 29, 2021).</w:t>
              </w:r>
            </w:hyperlink>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4.2C</w:t>
            </w: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First Supplemental Indenture, dated as of July 21, 2021, among GW Pharmaceuticals Limited, GW Global Services (International)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top w:val="single" w:sz="8" w:color="CCEEFF"/>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Limited, GW Pharma Limited, GW Research Limited, GW UK Services Limited and Greenwich Biosciences, Inc., Jazz Securities</w:t>
              </w:r>
            </w:hyperlink>
          </w:p>
        </w:tc>
        <w:tc>
          <w:tcPr>
            <w:tcW w:w="240" w:type="dxa"/>
            <w:vAlign w:val="bottom"/>
            <w:tcBorders>
              <w:top w:val="single" w:sz="8" w:color="CCEEFF"/>
            </w:tcBorders>
            <w:gridSpan w:val="5"/>
            <w:shd w:val="clear" w:color="auto" w:fill="CCEEFF"/>
          </w:tcPr>
          <w:p>
            <w:pPr>
              <w:spacing w:after="0"/>
              <w:rPr>
                <w:sz w:val="14"/>
                <w:szCs w:val="14"/>
                <w:color w:val="auto"/>
              </w:rPr>
            </w:pPr>
          </w:p>
        </w:tc>
        <w:tc>
          <w:tcPr>
            <w:tcW w:w="460" w:type="dxa"/>
            <w:vAlign w:val="bottom"/>
            <w:tcBorders>
              <w:top w:val="single" w:sz="8" w:color="CCEEFF"/>
              <w:right w:val="single" w:sz="8" w:color="CCEEFF"/>
            </w:tcBorders>
            <w:gridSpan w:val="20"/>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top w:val="single" w:sz="8" w:color="CCEEFF"/>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Designated Activity Company, and U.S. Bank National Association, as trustee under the Indenture, dated as of April 29, 2021.</w:t>
              </w:r>
            </w:hyperlink>
          </w:p>
        </w:tc>
        <w:tc>
          <w:tcPr>
            <w:tcW w:w="260" w:type="dxa"/>
            <w:vAlign w:val="bottom"/>
            <w:tcBorders>
              <w:top w:val="single" w:sz="8" w:color="CCEEFF"/>
            </w:tcBorders>
            <w:gridSpan w:val="6"/>
            <w:shd w:val="clear" w:color="auto" w:fill="CCEEFF"/>
          </w:tcPr>
          <w:p>
            <w:pPr>
              <w:spacing w:after="0"/>
              <w:rPr>
                <w:sz w:val="14"/>
                <w:szCs w:val="14"/>
                <w:color w:val="auto"/>
              </w:rPr>
            </w:pPr>
          </w:p>
        </w:tc>
        <w:tc>
          <w:tcPr>
            <w:tcW w:w="460" w:type="dxa"/>
            <w:vAlign w:val="bottom"/>
            <w:tcBorders>
              <w:top w:val="single" w:sz="8" w:color="CCEEFF"/>
              <w:right w:val="single" w:sz="8" w:color="CCEEFF"/>
            </w:tcBorders>
            <w:gridSpan w:val="20"/>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80" w:type="dxa"/>
            <w:vAlign w:val="bottom"/>
            <w:tcBorders>
              <w:top w:val="single" w:sz="8" w:color="CCEEFF"/>
              <w:lef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3"/>
              </w:rPr>
            </w:pPr>
            <w:hyperlink w:anchor="page90">
              <w:r>
                <w:rPr>
                  <w:rFonts w:ascii="Arial" w:cs="Arial" w:eastAsia="Arial" w:hAnsi="Arial"/>
                  <w:sz w:val="18"/>
                  <w:szCs w:val="18"/>
                  <w:color w:val="0000FF"/>
                  <w:w w:val="93"/>
                </w:rPr>
                <w:t>Amendment No. 5, dated as of June 24, 2022, to Pharmacy Master Services Agreement, dated as of July 1, 2020, by and between Jazz</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90">
              <w:r>
                <w:rPr>
                  <w:rFonts w:ascii="Arial" w:cs="Arial" w:eastAsia="Arial" w:hAnsi="Arial"/>
                  <w:sz w:val="18"/>
                  <w:szCs w:val="18"/>
                  <w:color w:val="0000FF"/>
                </w:rPr>
                <w:t>Pharmaceuticals, Inc. and Express Scripts Specialty Distribution Services, Inc.</w:t>
              </w:r>
            </w:hyperlink>
          </w:p>
        </w:tc>
        <w:tc>
          <w:tcPr>
            <w:tcW w:w="48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0" w:type="dxa"/>
            <w:vAlign w:val="bottom"/>
            <w:tcBorders>
              <w:left w:val="single" w:sz="8" w:color="CCEEFF"/>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10.2+</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40" w:type="dxa"/>
            <w:vAlign w:val="bottom"/>
            <w:tcBorders>
              <w:bottom w:val="single" w:sz="8" w:color="0000FF"/>
            </w:tcBorders>
            <w:gridSpan w:val="15"/>
            <w:shd w:val="clear" w:color="auto" w:fill="CCEEFF"/>
          </w:tcPr>
          <w:p>
            <w:pPr>
              <w:spacing w:after="0" w:line="189" w:lineRule="exact"/>
              <w:rPr>
                <w:rFonts w:ascii="Arial" w:cs="Arial" w:eastAsia="Arial" w:hAnsi="Arial"/>
                <w:sz w:val="18"/>
                <w:szCs w:val="18"/>
                <w:color w:val="0000FF"/>
                <w:w w:val="91"/>
              </w:rPr>
            </w:pPr>
            <w:hyperlink w:anchor="page93">
              <w:r>
                <w:rPr>
                  <w:rFonts w:ascii="Arial" w:cs="Arial" w:eastAsia="Arial" w:hAnsi="Arial"/>
                  <w:sz w:val="18"/>
                  <w:szCs w:val="18"/>
                  <w:color w:val="0000FF"/>
                  <w:w w:val="91"/>
                </w:rPr>
                <w:t>Amended and Restated Non-Employee Director Compensation Policy (approved April 28, 2022).</w:t>
              </w:r>
            </w:hyperlink>
          </w:p>
        </w:tc>
        <w:tc>
          <w:tcPr>
            <w:tcW w:w="3080" w:type="dxa"/>
            <w:vAlign w:val="bottom"/>
            <w:tcBorders>
              <w:bottom w:val="single" w:sz="8" w:color="CCEEFF"/>
              <w:right w:val="single" w:sz="8" w:color="CCEEFF"/>
            </w:tcBorders>
            <w:gridSpan w:val="30"/>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gridSpan w:val="7"/>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6"/>
          </w:tcPr>
          <w:p>
            <w:pPr>
              <w:spacing w:after="0"/>
              <w:rPr>
                <w:rFonts w:ascii="Arial" w:cs="Arial" w:eastAsia="Arial" w:hAnsi="Arial"/>
                <w:sz w:val="18"/>
                <w:szCs w:val="18"/>
                <w:color w:val="0000FF"/>
                <w:w w:val="95"/>
              </w:rPr>
            </w:pPr>
            <w:hyperlink w:anchor="page96">
              <w:r>
                <w:rPr>
                  <w:rFonts w:ascii="Arial" w:cs="Arial" w:eastAsia="Arial" w:hAnsi="Arial"/>
                  <w:sz w:val="18"/>
                  <w:szCs w:val="18"/>
                  <w:color w:val="0000FF"/>
                  <w:w w:val="95"/>
                </w:rPr>
                <w:t>Certification of Chief Executive Officer pursuant to Rules 13a-14(a) and 15d-14(a) promulgated under the Securities Exchange Act of</w:t>
              </w:r>
            </w:hyperlink>
          </w:p>
        </w:tc>
      </w:tr>
      <w:tr>
        <w:trPr>
          <w:trHeight w:val="155"/>
        </w:trPr>
        <w:tc>
          <w:tcPr>
            <w:tcW w:w="1120" w:type="dxa"/>
            <w:vAlign w:val="bottom"/>
          </w:tcPr>
          <w:p>
            <w:pPr>
              <w:spacing w:after="0"/>
              <w:rPr>
                <w:sz w:val="13"/>
                <w:szCs w:val="13"/>
                <w:color w:val="auto"/>
              </w:rPr>
            </w:pPr>
          </w:p>
        </w:tc>
        <w:tc>
          <w:tcPr>
            <w:tcW w:w="96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1934, as amended.</w:t>
              </w:r>
            </w:hyperlink>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
        </w:trPr>
        <w:tc>
          <w:tcPr>
            <w:tcW w:w="11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80" w:type="dxa"/>
            <w:vAlign w:val="bottom"/>
            <w:gridSpan w:val="6"/>
            <w:shd w:val="clear" w:color="auto" w:fill="CCEEFF"/>
          </w:tcPr>
          <w:p>
            <w:pPr>
              <w:spacing w:after="0" w:line="189" w:lineRule="exact"/>
              <w:rPr>
                <w:rFonts w:ascii="Arial" w:cs="Arial" w:eastAsia="Arial" w:hAnsi="Arial"/>
                <w:sz w:val="18"/>
                <w:szCs w:val="18"/>
                <w:color w:val="0000FF"/>
                <w:w w:val="95"/>
              </w:rPr>
            </w:pPr>
            <w:hyperlink w:anchor="page97">
              <w:r>
                <w:rPr>
                  <w:rFonts w:ascii="Arial" w:cs="Arial" w:eastAsia="Arial" w:hAnsi="Arial"/>
                  <w:sz w:val="18"/>
                  <w:szCs w:val="18"/>
                  <w:color w:val="0000FF"/>
                  <w:w w:val="95"/>
                </w:rPr>
                <w:t>Certification of Chief Financial Officer pursuant to Rules 13a-14(a) and 15d-14(a) promulgated under the Securities Exchange Act of</w:t>
              </w:r>
            </w:hyperlink>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1934, as amended.</w:t>
              </w:r>
            </w:hyperlink>
          </w:p>
        </w:tc>
        <w:tc>
          <w:tcPr>
            <w:tcW w:w="2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080" w:type="dxa"/>
            <w:vAlign w:val="bottom"/>
            <w:gridSpan w:val="6"/>
          </w:tcPr>
          <w:p>
            <w:pPr>
              <w:spacing w:after="0" w:line="189" w:lineRule="exact"/>
              <w:rPr>
                <w:rFonts w:ascii="Arial" w:cs="Arial" w:eastAsia="Arial" w:hAnsi="Arial"/>
                <w:sz w:val="18"/>
                <w:szCs w:val="18"/>
                <w:color w:val="0000FF"/>
                <w:w w:val="93"/>
              </w:rPr>
            </w:pPr>
            <w:hyperlink w:anchor="page98">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r>
      <w:tr>
        <w:trPr>
          <w:trHeight w:val="155"/>
        </w:trPr>
        <w:tc>
          <w:tcPr>
            <w:tcW w:w="1120" w:type="dxa"/>
            <w:vAlign w:val="bottom"/>
          </w:tcPr>
          <w:p>
            <w:pPr>
              <w:spacing w:after="0"/>
              <w:rPr>
                <w:sz w:val="13"/>
                <w:szCs w:val="13"/>
                <w:color w:val="auto"/>
              </w:rPr>
            </w:pPr>
          </w:p>
        </w:tc>
        <w:tc>
          <w:tcPr>
            <w:tcW w:w="98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98">
              <w:r>
                <w:rPr>
                  <w:rFonts w:ascii="Arial" w:cs="Arial" w:eastAsia="Arial" w:hAnsi="Arial"/>
                  <w:sz w:val="18"/>
                  <w:szCs w:val="18"/>
                  <w:color w:val="0000FF"/>
                </w:rPr>
                <w:t>906 of the Sarbanes-Oxley Act of 2002.</w:t>
              </w:r>
            </w:hyperlink>
          </w:p>
        </w:tc>
        <w:tc>
          <w:tcPr>
            <w:tcW w:w="220" w:type="dxa"/>
            <w:vAlign w:val="bottom"/>
          </w:tcPr>
          <w:p>
            <w:pPr>
              <w:spacing w:after="0"/>
              <w:rPr>
                <w:sz w:val="13"/>
                <w:szCs w:val="13"/>
                <w:color w:val="auto"/>
              </w:rPr>
            </w:pPr>
          </w:p>
        </w:tc>
      </w:tr>
      <w:tr>
        <w:trPr>
          <w:trHeight w:val="21"/>
        </w:trPr>
        <w:tc>
          <w:tcPr>
            <w:tcW w:w="11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100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29"/>
        </w:trPr>
        <w:tc>
          <w:tcPr>
            <w:tcW w:w="1120" w:type="dxa"/>
            <w:vAlign w:val="bottom"/>
            <w:shd w:val="clear" w:color="auto" w:fill="CCEEFF"/>
          </w:tcPr>
          <w:p>
            <w:pPr>
              <w:spacing w:after="0"/>
              <w:rPr>
                <w:sz w:val="19"/>
                <w:szCs w:val="19"/>
                <w:color w:val="auto"/>
              </w:rPr>
            </w:pP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1140" w:hanging="1101"/>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Confidential treatment has been granted for portions of this exhibit (indicated by “[*]”). Omitted portions have been filed separately with the SEC.</w:t>
      </w:r>
    </w:p>
    <w:p>
      <w:pPr>
        <w:spacing w:after="0" w:line="7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Certain portions of this exhibit have been omitted pursuant to Item 601(b)(2) of Regulation S-K.</w:t>
      </w:r>
    </w:p>
    <w:p>
      <w:pPr>
        <w:spacing w:after="0" w:line="63" w:lineRule="exact"/>
        <w:rPr>
          <w:sz w:val="20"/>
          <w:szCs w:val="20"/>
          <w:color w:val="auto"/>
        </w:rPr>
      </w:pPr>
    </w:p>
    <w:p>
      <w:pPr>
        <w:ind w:left="500" w:right="60" w:hanging="492"/>
        <w:spacing w:after="0" w:line="220" w:lineRule="exact"/>
        <w:tabs>
          <w:tab w:leader="none" w:pos="2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Senior Vice President, Chief Accounting Officer</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720"/>
          </w:cols>
          <w:pgMar w:left="320" w:top="125" w:right="85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color w:val="auto"/>
        </w:rPr>
        <w:t>Exhibit 10.1</w:t>
      </w:r>
    </w:p>
    <w:p>
      <w:pPr>
        <w:spacing w:after="0" w:line="10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AMENDMENT NO. 5 TO PHARMACY MASTER SERVICES AGREEMENT</w:t>
      </w:r>
    </w:p>
    <w:p>
      <w:pPr>
        <w:spacing w:after="0" w:line="119" w:lineRule="exact"/>
        <w:rPr>
          <w:sz w:val="20"/>
          <w:szCs w:val="20"/>
          <w:color w:val="auto"/>
        </w:rPr>
      </w:pPr>
    </w:p>
    <w:p>
      <w:pPr>
        <w:jc w:val="both"/>
        <w:ind w:right="100"/>
        <w:spacing w:after="0" w:line="215" w:lineRule="auto"/>
        <w:rPr>
          <w:sz w:val="20"/>
          <w:szCs w:val="20"/>
          <w:color w:val="auto"/>
        </w:rPr>
      </w:pPr>
      <w:r>
        <w:rPr>
          <w:rFonts w:ascii="Arial" w:cs="Arial" w:eastAsia="Arial" w:hAnsi="Arial"/>
          <w:sz w:val="22"/>
          <w:szCs w:val="22"/>
          <w:color w:val="auto"/>
        </w:rPr>
        <w:t xml:space="preserve">THIS AMENDMENT NO. 5 (this “ </w:t>
      </w:r>
      <w:r>
        <w:rPr>
          <w:rFonts w:ascii="Arial" w:cs="Arial" w:eastAsia="Arial" w:hAnsi="Arial"/>
          <w:sz w:val="22"/>
          <w:szCs w:val="22"/>
          <w:b w:val="1"/>
          <w:bCs w:val="1"/>
          <w:color w:val="auto"/>
        </w:rPr>
        <w:t>Amendment</w:t>
      </w:r>
      <w:r>
        <w:rPr>
          <w:rFonts w:ascii="Arial" w:cs="Arial" w:eastAsia="Arial" w:hAnsi="Arial"/>
          <w:sz w:val="22"/>
          <w:szCs w:val="22"/>
          <w:color w:val="auto"/>
        </w:rPr>
        <w:t>”) to the Agreement (as defined below) is entered into as of June 24, 2022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Jazz Pharmaceuticals, Inc. with a principal place of business at 3170 Porter Drive, Palo Alto, CA 94304 (“</w:t>
      </w:r>
      <w:r>
        <w:rPr>
          <w:rFonts w:ascii="Arial" w:cs="Arial" w:eastAsia="Arial" w:hAnsi="Arial"/>
          <w:sz w:val="22"/>
          <w:szCs w:val="22"/>
          <w:b w:val="1"/>
          <w:bCs w:val="1"/>
          <w:color w:val="auto"/>
        </w:rPr>
        <w:t>Jazz Pharmaceuticals</w:t>
      </w:r>
      <w:r>
        <w:rPr>
          <w:rFonts w:ascii="Arial" w:cs="Arial" w:eastAsia="Arial" w:hAnsi="Arial"/>
          <w:sz w:val="22"/>
          <w:szCs w:val="22"/>
          <w:color w:val="auto"/>
        </w:rPr>
        <w:t>”) and Express Scripts Specialty Distribution Services, Inc. with a principal place of business at One Express Way, St. Louis, MO 63121 (“</w:t>
      </w:r>
      <w:r>
        <w:rPr>
          <w:rFonts w:ascii="Arial" w:cs="Arial" w:eastAsia="Arial" w:hAnsi="Arial"/>
          <w:sz w:val="22"/>
          <w:szCs w:val="22"/>
          <w:b w:val="1"/>
          <w:bCs w:val="1"/>
          <w:color w:val="auto"/>
        </w:rPr>
        <w:t>ESSDS</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or each separately, a “</w:t>
      </w:r>
      <w:r>
        <w:rPr>
          <w:rFonts w:ascii="Arial" w:cs="Arial" w:eastAsia="Arial" w:hAnsi="Arial"/>
          <w:sz w:val="22"/>
          <w:szCs w:val="22"/>
          <w:b w:val="1"/>
          <w:bCs w:val="1"/>
          <w:color w:val="auto"/>
        </w:rPr>
        <w:t>Party</w:t>
      </w:r>
      <w:r>
        <w:rPr>
          <w:rFonts w:ascii="Arial" w:cs="Arial" w:eastAsia="Arial" w:hAnsi="Arial"/>
          <w:sz w:val="22"/>
          <w:szCs w:val="22"/>
          <w:color w:val="auto"/>
        </w:rPr>
        <w:t>”). Capitalized terms used but not defined herein shall have the meanings ascribed to them in the Agreement.</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Jazz Pharmaceuticals and ESSDS entered into that certain Pharmacy Master Services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dated July 1, 2020, pursuant to which ESSDS provides dispensing, distribution and other services for Products; and</w:t>
      </w:r>
    </w:p>
    <w:p>
      <w:pPr>
        <w:spacing w:after="0" w:line="193" w:lineRule="exact"/>
        <w:rPr>
          <w:sz w:val="20"/>
          <w:szCs w:val="20"/>
          <w:color w:val="auto"/>
        </w:rPr>
      </w:pPr>
    </w:p>
    <w:p>
      <w:pPr>
        <w:jc w:val="both"/>
        <w:ind w:right="120" w:firstLine="647"/>
        <w:spacing w:after="0" w:line="22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above recitals, each of which is incorporated by this reference, the</w:t>
      </w:r>
      <w:r>
        <w:rPr>
          <w:rFonts w:ascii="Arial" w:cs="Arial" w:eastAsia="Arial" w:hAnsi="Arial"/>
          <w:sz w:val="22"/>
          <w:szCs w:val="22"/>
          <w:b w:val="1"/>
          <w:bCs w:val="1"/>
          <w:color w:val="auto"/>
        </w:rPr>
        <w:t xml:space="preserve"> </w:t>
      </w:r>
      <w:r>
        <w:rPr>
          <w:rFonts w:ascii="Arial" w:cs="Arial" w:eastAsia="Arial" w:hAnsi="Arial"/>
          <w:sz w:val="22"/>
          <w:szCs w:val="22"/>
          <w:color w:val="auto"/>
        </w:rPr>
        <w:t>mutual promises and covenants set forth below, and other good and valuable consideration, the receipt and sufficiency of which are hereby acknowledged, the Parties agree as follows:</w:t>
      </w:r>
    </w:p>
    <w:p>
      <w:pPr>
        <w:spacing w:after="0" w:line="199" w:lineRule="exact"/>
        <w:rPr>
          <w:sz w:val="20"/>
          <w:szCs w:val="20"/>
          <w:color w:val="auto"/>
        </w:rPr>
      </w:pPr>
    </w:p>
    <w:p>
      <w:pPr>
        <w:ind w:left="640" w:right="140" w:hanging="318"/>
        <w:spacing w:after="0" w:line="298" w:lineRule="auto"/>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Section 11.1 Term; Renewal is deleted in its entirety and replaced with the following: Term; Renewal. Unless otherwise terminated in accordance with the terms hereof, this Agreement will remain in effect until August 31, 2022.</w:t>
      </w:r>
    </w:p>
    <w:p>
      <w:pPr>
        <w:spacing w:after="0" w:line="213" w:lineRule="exact"/>
        <w:rPr>
          <w:rFonts w:ascii="Arial" w:cs="Arial" w:eastAsia="Arial" w:hAnsi="Arial"/>
          <w:sz w:val="19"/>
          <w:szCs w:val="19"/>
          <w:color w:val="auto"/>
        </w:rPr>
      </w:pPr>
    </w:p>
    <w:p>
      <w:pPr>
        <w:ind w:left="640" w:right="120" w:hanging="318"/>
        <w:spacing w:after="0" w:line="232" w:lineRule="auto"/>
        <w:tabs>
          <w:tab w:leader="none" w:pos="6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Amendment constitutes an amendment in writing to the Agreement in accordance with Section 14.1 of the Agreement.</w:t>
      </w:r>
    </w:p>
    <w:p>
      <w:pPr>
        <w:spacing w:after="0" w:line="185" w:lineRule="exact"/>
        <w:rPr>
          <w:rFonts w:ascii="Arial" w:cs="Arial" w:eastAsia="Arial" w:hAnsi="Arial"/>
          <w:sz w:val="22"/>
          <w:szCs w:val="22"/>
          <w:color w:val="auto"/>
        </w:rPr>
      </w:pPr>
    </w:p>
    <w:p>
      <w:pPr>
        <w:jc w:val="both"/>
        <w:ind w:left="640" w:right="100" w:hanging="318"/>
        <w:spacing w:after="0" w:line="214" w:lineRule="auto"/>
        <w:tabs>
          <w:tab w:leader="none" w:pos="6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any dispute related hereto, will be governed and construed in accordance with the laws of the State of Delaware, excluding any choice of law rules which may direct the application of the laws of another jurisdiction. In the event of any dispute between the Parties, prior to any Party commencing an action for damages, each Party will designate a representative and the representatives will meet in person or telephonically in a good-faith attempt to resolve their differences. Prior to such meeting, the complaining Party will provide a written explanation of the dispute.</w:t>
      </w:r>
    </w:p>
    <w:p>
      <w:pPr>
        <w:spacing w:after="0" w:line="185" w:lineRule="exact"/>
        <w:rPr>
          <w:rFonts w:ascii="Arial" w:cs="Arial" w:eastAsia="Arial" w:hAnsi="Arial"/>
          <w:sz w:val="22"/>
          <w:szCs w:val="22"/>
          <w:color w:val="auto"/>
        </w:rPr>
      </w:pPr>
    </w:p>
    <w:p>
      <w:pPr>
        <w:jc w:val="both"/>
        <w:ind w:left="640" w:right="100" w:hanging="318"/>
        <w:spacing w:after="0" w:line="246" w:lineRule="auto"/>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Full Force and Effect</w:t>
      </w:r>
      <w:r>
        <w:rPr>
          <w:rFonts w:ascii="Arial" w:cs="Arial" w:eastAsia="Arial" w:hAnsi="Arial"/>
          <w:sz w:val="19"/>
          <w:szCs w:val="19"/>
          <w:color w:val="auto"/>
        </w:rPr>
        <w:t>. In the event of any conflict or inconsistency between the terms and provisions of the Agreement and the terms and provisions of this Amendment, the terms and provisions of this Amendment will govern and prevail. Except as expressly provided in this Amendment, this Amendment does not in any way change, modify or delete the provisions of the Agreement (or the Parties’ rights, remedies or obligations thereunder), and all such provisions shall remain in full force and effect. On and after the Amendment Effective Date, each reference in the Agreement to “this Agreement,” “hereunder,” “hereof,” “herein,” or words of like import, and each reference to the Agreement in any other agreements, documents or instruments executed and delivered pursuant to the Agreement, shall mean and be a reference to the Agreement, as amended by this Amendment.</w:t>
      </w:r>
    </w:p>
    <w:p>
      <w:pPr>
        <w:sectPr>
          <w:pgSz w:w="11900" w:h="16838" w:orient="portrait"/>
          <w:cols w:equalWidth="0" w:num="1">
            <w:col w:w="11140"/>
          </w:cols>
          <w:pgMar w:left="420" w:top="1054" w:right="339" w:bottom="1440" w:gutter="0" w:footer="0" w:header="0"/>
        </w:sectPr>
      </w:pPr>
    </w:p>
    <w:bookmarkStart w:id="90" w:name="page91"/>
    <w:bookmarkEnd w:id="90"/>
    <w:p>
      <w:pPr>
        <w:spacing w:after="0" w:line="200" w:lineRule="exact"/>
        <w:rPr>
          <w:sz w:val="20"/>
          <w:szCs w:val="20"/>
          <w:color w:val="auto"/>
        </w:rPr>
      </w:pPr>
    </w:p>
    <w:p>
      <w:pPr>
        <w:spacing w:after="0" w:line="234" w:lineRule="exact"/>
        <w:rPr>
          <w:sz w:val="20"/>
          <w:szCs w:val="20"/>
          <w:color w:val="auto"/>
        </w:rPr>
      </w:pPr>
    </w:p>
    <w:p>
      <w:pPr>
        <w:jc w:val="both"/>
        <w:ind w:left="320" w:hanging="318"/>
        <w:spacing w:after="0" w:line="223" w:lineRule="auto"/>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each of which will be deemed an original but all of which together will constitute one and the same instrument. Facsimile and pdf signatures will be considered original signatures.</w:t>
      </w:r>
    </w:p>
    <w:p>
      <w:pPr>
        <w:spacing w:after="0" w:line="19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0720"/>
          </w:cols>
          <w:pgMar w:left="740" w:top="1440" w:right="43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720"/>
          </w:cols>
          <w:pgMar w:left="740" w:top="1440" w:right="439" w:bottom="892" w:gutter="0" w:footer="0" w:header="0"/>
          <w:type w:val="continuous"/>
        </w:sectPr>
      </w:pPr>
    </w:p>
    <w:bookmarkStart w:id="91" w:name="page92"/>
    <w:bookmarkEnd w:id="91"/>
    <w:p>
      <w:pPr>
        <w:ind w:firstLine="647"/>
        <w:spacing w:after="0" w:line="232" w:lineRule="auto"/>
        <w:rPr>
          <w:sz w:val="20"/>
          <w:szCs w:val="20"/>
          <w:color w:val="auto"/>
        </w:rPr>
      </w:pPr>
      <w:r>
        <w:rPr>
          <w:rFonts w:ascii="Arial" w:cs="Arial" w:eastAsia="Arial" w:hAnsi="Arial"/>
          <w:sz w:val="22"/>
          <w:szCs w:val="22"/>
          <w:color w:val="auto"/>
        </w:rPr>
        <w:t>IN WITNESS WHEREOF, the undersigned have caused this Amendment to be executed,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tabs>
          <w:tab w:leader="none" w:pos="5800" w:val="left"/>
        </w:tabs>
        <w:rPr>
          <w:sz w:val="20"/>
          <w:szCs w:val="20"/>
          <w:color w:val="auto"/>
        </w:rPr>
      </w:pPr>
      <w:r>
        <w:rPr>
          <w:rFonts w:ascii="Arial" w:cs="Arial" w:eastAsia="Arial" w:hAnsi="Arial"/>
          <w:sz w:val="20"/>
          <w:szCs w:val="20"/>
          <w:b w:val="1"/>
          <w:bCs w:val="1"/>
          <w:color w:val="auto"/>
        </w:rPr>
        <w:t>JAZZ PHARMACEUTICALS, INC.</w:t>
      </w:r>
      <w:r>
        <w:rPr>
          <w:sz w:val="20"/>
          <w:szCs w:val="20"/>
          <w:color w:val="auto"/>
        </w:rPr>
        <w:tab/>
      </w:r>
      <w:r>
        <w:rPr>
          <w:rFonts w:ascii="Arial" w:cs="Arial" w:eastAsia="Arial" w:hAnsi="Arial"/>
          <w:sz w:val="19"/>
          <w:szCs w:val="19"/>
          <w:b w:val="1"/>
          <w:bCs w:val="1"/>
          <w:color w:val="auto"/>
        </w:rPr>
        <w:t>EXPRESS SCRIPTS SPECIALTY</w:t>
      </w:r>
    </w:p>
    <w:p>
      <w:pPr>
        <w:spacing w:after="0" w:line="26"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DISTRIBUTION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4180" w:type="dxa"/>
            <w:vAlign w:val="bottom"/>
            <w:gridSpan w:val="4"/>
          </w:tcPr>
          <w:p>
            <w:pPr>
              <w:spacing w:after="0"/>
              <w:rPr>
                <w:sz w:val="20"/>
                <w:szCs w:val="20"/>
                <w:color w:val="auto"/>
              </w:rPr>
            </w:pPr>
            <w:r>
              <w:rPr>
                <w:rFonts w:ascii="Arial" w:cs="Arial" w:eastAsia="Arial" w:hAnsi="Arial"/>
                <w:sz w:val="20"/>
                <w:szCs w:val="20"/>
                <w:color w:val="auto"/>
              </w:rPr>
              <w:t>By:   /s/ Ernie Ross</w:t>
            </w:r>
          </w:p>
        </w:tc>
        <w:tc>
          <w:tcPr>
            <w:tcW w:w="4140" w:type="dxa"/>
            <w:vAlign w:val="bottom"/>
            <w:gridSpan w:val="3"/>
          </w:tcPr>
          <w:p>
            <w:pPr>
              <w:ind w:left="1480"/>
              <w:spacing w:after="0"/>
              <w:rPr>
                <w:sz w:val="20"/>
                <w:szCs w:val="20"/>
                <w:color w:val="auto"/>
              </w:rPr>
            </w:pPr>
            <w:r>
              <w:rPr>
                <w:rFonts w:ascii="Arial" w:cs="Arial" w:eastAsia="Arial" w:hAnsi="Arial"/>
                <w:sz w:val="20"/>
                <w:szCs w:val="20"/>
                <w:color w:val="auto"/>
              </w:rPr>
              <w:t>By:   /s/ Joshua B. Parker</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9"/>
        </w:trPr>
        <w:tc>
          <w:tcPr>
            <w:tcW w:w="4180" w:type="dxa"/>
            <w:vAlign w:val="bottom"/>
            <w:gridSpan w:val="4"/>
          </w:tcPr>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16"/>
                <w:szCs w:val="16"/>
                <w:color w:val="auto"/>
              </w:rPr>
              <w:t>Ernie Ross</w:t>
            </w:r>
          </w:p>
        </w:tc>
        <w:tc>
          <w:tcPr>
            <w:tcW w:w="4140" w:type="dxa"/>
            <w:vAlign w:val="bottom"/>
            <w:gridSpan w:val="3"/>
          </w:tcPr>
          <w:p>
            <w:pPr>
              <w:ind w:left="148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16"/>
                <w:szCs w:val="16"/>
                <w:color w:val="auto"/>
              </w:rPr>
              <w:t>Joshua B. Parker</w:t>
            </w:r>
          </w:p>
        </w:tc>
      </w:tr>
      <w:tr>
        <w:trPr>
          <w:trHeight w:val="324"/>
        </w:trPr>
        <w:tc>
          <w:tcPr>
            <w:tcW w:w="4180" w:type="dxa"/>
            <w:vAlign w:val="bottom"/>
            <w:gridSpan w:val="4"/>
          </w:tcPr>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6"/>
                <w:szCs w:val="16"/>
                <w:color w:val="auto"/>
              </w:rPr>
              <w:t>Senior VP, U.S. Market Access</w:t>
            </w:r>
          </w:p>
        </w:tc>
        <w:tc>
          <w:tcPr>
            <w:tcW w:w="4140" w:type="dxa"/>
            <w:vAlign w:val="bottom"/>
            <w:gridSpan w:val="3"/>
          </w:tcPr>
          <w:p>
            <w:pPr>
              <w:ind w:left="14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6"/>
                <w:szCs w:val="16"/>
                <w:color w:val="auto"/>
              </w:rPr>
              <w:t>VP</w:t>
            </w:r>
          </w:p>
        </w:tc>
      </w:tr>
      <w:tr>
        <w:trPr>
          <w:trHeight w:val="314"/>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gridSpan w:val="2"/>
          </w:tcPr>
          <w:p>
            <w:pPr>
              <w:ind w:left="100"/>
              <w:spacing w:after="0"/>
              <w:rPr>
                <w:sz w:val="20"/>
                <w:szCs w:val="20"/>
                <w:color w:val="auto"/>
              </w:rPr>
            </w:pPr>
            <w:r>
              <w:rPr>
                <w:rFonts w:ascii="Arial" w:cs="Arial" w:eastAsia="Arial" w:hAnsi="Arial"/>
                <w:sz w:val="16"/>
                <w:szCs w:val="16"/>
                <w:color w:val="auto"/>
              </w:rPr>
              <w:t>29-Jun-2022</w:t>
            </w:r>
          </w:p>
        </w:tc>
        <w:tc>
          <w:tcPr>
            <w:tcW w:w="1960" w:type="dxa"/>
            <w:vAlign w:val="bottom"/>
          </w:tcPr>
          <w:p>
            <w:pPr>
              <w:spacing w:after="0"/>
              <w:rPr>
                <w:sz w:val="24"/>
                <w:szCs w:val="24"/>
                <w:color w:val="auto"/>
              </w:rPr>
            </w:pPr>
          </w:p>
        </w:tc>
        <w:tc>
          <w:tcPr>
            <w:tcW w:w="2180" w:type="dxa"/>
            <w:vAlign w:val="bottom"/>
            <w:gridSpan w:val="2"/>
          </w:tcPr>
          <w:p>
            <w:pPr>
              <w:ind w:left="260"/>
              <w:spacing w:after="0"/>
              <w:rPr>
                <w:sz w:val="20"/>
                <w:szCs w:val="20"/>
                <w:color w:val="auto"/>
              </w:rPr>
            </w:pPr>
            <w:r>
              <w:rPr>
                <w:rFonts w:ascii="Arial" w:cs="Arial" w:eastAsia="Arial" w:hAnsi="Arial"/>
                <w:sz w:val="16"/>
                <w:szCs w:val="16"/>
                <w:color w:val="auto"/>
                <w:w w:val="99"/>
              </w:rPr>
              <w:t>06/23/2022 | 9:40 AM CDT</w:t>
            </w:r>
          </w:p>
        </w:tc>
      </w:tr>
      <w:tr>
        <w:trPr>
          <w:trHeight w:val="8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260" w:type="dxa"/>
            <w:vAlign w:val="bottom"/>
            <w:tcBorders>
              <w:bottom w:val="single" w:sz="8" w:color="auto"/>
            </w:tcBorders>
          </w:tcPr>
          <w:p>
            <w:pPr>
              <w:spacing w:after="0"/>
              <w:rPr>
                <w:sz w:val="24"/>
                <w:szCs w:val="24"/>
                <w:color w:val="auto"/>
              </w:rPr>
            </w:pPr>
          </w:p>
        </w:tc>
        <w:tc>
          <w:tcPr>
            <w:tcW w:w="344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c>
          <w:tcPr>
            <w:tcW w:w="2180" w:type="dxa"/>
            <w:vAlign w:val="bottom"/>
            <w:gridSpan w:val="2"/>
          </w:tcPr>
          <w:p>
            <w:pPr>
              <w:ind w:left="40"/>
              <w:spacing w:after="0"/>
              <w:rPr>
                <w:sz w:val="20"/>
                <w:szCs w:val="20"/>
                <w:color w:val="auto"/>
              </w:rPr>
            </w:pPr>
            <w:r>
              <w:rPr>
                <w:rFonts w:ascii="Arial" w:cs="Arial" w:eastAsia="Arial" w:hAnsi="Arial"/>
                <w:sz w:val="16"/>
                <w:szCs w:val="16"/>
                <w:color w:val="auto"/>
              </w:rPr>
              <w:t>RPM for JLD 6.23.22</w:t>
            </w:r>
          </w:p>
        </w:tc>
      </w:tr>
      <w:tr>
        <w:trPr>
          <w:trHeight w:val="348"/>
        </w:trPr>
        <w:tc>
          <w:tcPr>
            <w:tcW w:w="4180" w:type="dxa"/>
            <w:vAlign w:val="bottom"/>
            <w:gridSpan w:val="4"/>
          </w:tcPr>
          <w:p>
            <w:pPr>
              <w:spacing w:after="0"/>
              <w:rPr>
                <w:sz w:val="20"/>
                <w:szCs w:val="20"/>
                <w:color w:val="auto"/>
              </w:rPr>
            </w:pPr>
            <w:r>
              <w:rPr>
                <w:rFonts w:ascii="Arial" w:cs="Arial" w:eastAsia="Arial" w:hAnsi="Arial"/>
                <w:sz w:val="20"/>
                <w:szCs w:val="20"/>
                <w:color w:val="auto"/>
              </w:rPr>
              <w:t>Name:</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4180" w:type="dxa"/>
            <w:vAlign w:val="bottom"/>
            <w:gridSpan w:val="4"/>
          </w:tcPr>
          <w:p>
            <w:pPr>
              <w:spacing w:after="0"/>
              <w:rPr>
                <w:sz w:val="20"/>
                <w:szCs w:val="20"/>
                <w:color w:val="auto"/>
              </w:rPr>
            </w:pPr>
            <w:r>
              <w:rPr>
                <w:rFonts w:ascii="Arial" w:cs="Arial" w:eastAsia="Arial" w:hAnsi="Arial"/>
                <w:sz w:val="20"/>
                <w:szCs w:val="20"/>
                <w:color w:val="auto"/>
              </w:rPr>
              <w:t>Title:</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80"/>
          </w:cols>
          <w:pgMar w:left="420" w:top="1387" w:right="399" w:bottom="5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No.2 to Pharmacy Master Services Agreement]</w:t>
      </w:r>
    </w:p>
    <w:p>
      <w:pPr>
        <w:sectPr>
          <w:pgSz w:w="11900" w:h="16838" w:orient="portrait"/>
          <w:cols w:equalWidth="0" w:num="1">
            <w:col w:w="11080"/>
          </w:cols>
          <w:pgMar w:left="420" w:top="1387" w:right="399" w:bottom="588"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 PLC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181" w:lineRule="exact"/>
        <w:rPr>
          <w:sz w:val="20"/>
          <w:szCs w:val="20"/>
          <w:color w:val="auto"/>
        </w:rPr>
      </w:pPr>
    </w:p>
    <w:p>
      <w:pPr>
        <w:ind w:right="80" w:firstLine="648"/>
        <w:spacing w:after="0" w:line="21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may be eligible to receive such cash compensation or equity grants, unless such Non-Employee Director declines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receipt of such cash compensation or equity grants by written notice to the Company. This Policy shall remain in effect until it is revised or rescinded by further action of the Board.</w:t>
      </w:r>
    </w:p>
    <w:p>
      <w:pPr>
        <w:spacing w:after="0" w:line="116"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right="540" w:firstLine="656"/>
        <w:spacing w:after="0" w:line="229" w:lineRule="auto"/>
        <w:tabs>
          <w:tab w:leader="none" w:pos="917" w:val="left"/>
        </w:tabs>
        <w:numPr>
          <w:ilvl w:val="1"/>
          <w:numId w:val="32"/>
        </w:numPr>
        <w:rPr>
          <w:rFonts w:ascii="Arial" w:cs="Arial" w:eastAsia="Arial" w:hAnsi="Arial"/>
          <w:sz w:val="20"/>
          <w:szCs w:val="20"/>
          <w:color w:val="auto"/>
        </w:rPr>
      </w:pPr>
      <w:r>
        <w:rPr>
          <w:rFonts w:ascii="Arial" w:cs="Arial" w:eastAsia="Arial" w:hAnsi="Arial"/>
          <w:sz w:val="20"/>
          <w:szCs w:val="20"/>
          <w:color w:val="auto"/>
        </w:rPr>
        <w:t>Subject to Section 1(b) and Section 3 below, each Non-Employee Director shall be eligible to receive cash compensation of $60,000 for service on the Board. In addition, a Non-Employee Director serving as:</w:t>
      </w:r>
    </w:p>
    <w:p>
      <w:pPr>
        <w:spacing w:after="0" w:line="114" w:lineRule="exact"/>
        <w:rPr>
          <w:rFonts w:ascii="Arial" w:cs="Arial" w:eastAsia="Arial" w:hAnsi="Arial"/>
          <w:sz w:val="20"/>
          <w:szCs w:val="20"/>
          <w:color w:val="auto"/>
        </w:rPr>
      </w:pPr>
    </w:p>
    <w:p>
      <w:pPr>
        <w:ind w:left="1960" w:right="260" w:hanging="656"/>
        <w:spacing w:after="0" w:line="229" w:lineRule="auto"/>
        <w:tabs>
          <w:tab w:leader="none" w:pos="1548" w:val="left"/>
        </w:tabs>
        <w:numPr>
          <w:ilvl w:val="2"/>
          <w:numId w:val="32"/>
        </w:numPr>
        <w:rPr>
          <w:rFonts w:ascii="Arial" w:cs="Arial" w:eastAsia="Arial" w:hAnsi="Arial"/>
          <w:sz w:val="20"/>
          <w:szCs w:val="20"/>
          <w:color w:val="auto"/>
        </w:rPr>
      </w:pPr>
      <w:r>
        <w:rPr>
          <w:rFonts w:ascii="Arial" w:cs="Arial" w:eastAsia="Arial" w:hAnsi="Arial"/>
          <w:sz w:val="20"/>
          <w:szCs w:val="20"/>
          <w:color w:val="auto"/>
        </w:rPr>
        <w:t>lead independent director of the Board shall be eligible to receive additional cash compensation of $50,000 per year for such service;</w:t>
      </w:r>
    </w:p>
    <w:p>
      <w:pPr>
        <w:spacing w:after="0" w:line="114" w:lineRule="exact"/>
        <w:rPr>
          <w:rFonts w:ascii="Arial" w:cs="Arial" w:eastAsia="Arial" w:hAnsi="Arial"/>
          <w:sz w:val="20"/>
          <w:szCs w:val="20"/>
          <w:color w:val="auto"/>
        </w:rPr>
      </w:pPr>
    </w:p>
    <w:p>
      <w:pPr>
        <w:ind w:left="1960" w:right="400" w:hanging="656"/>
        <w:spacing w:after="0" w:line="229" w:lineRule="auto"/>
        <w:tabs>
          <w:tab w:leader="none" w:pos="1603" w:val="left"/>
        </w:tabs>
        <w:numPr>
          <w:ilvl w:val="2"/>
          <w:numId w:val="32"/>
        </w:numPr>
        <w:rPr>
          <w:rFonts w:ascii="Arial" w:cs="Arial" w:eastAsia="Arial" w:hAnsi="Arial"/>
          <w:sz w:val="20"/>
          <w:szCs w:val="20"/>
          <w:color w:val="auto"/>
        </w:rPr>
      </w:pPr>
      <w:r>
        <w:rPr>
          <w:rFonts w:ascii="Arial" w:cs="Arial" w:eastAsia="Arial" w:hAnsi="Arial"/>
          <w:sz w:val="20"/>
          <w:szCs w:val="20"/>
          <w:color w:val="auto"/>
        </w:rPr>
        <w:t>chairperson of the Audit Committee shall be eligible to receive additional cash compensation of $25,000 per year for such service;</w:t>
      </w:r>
    </w:p>
    <w:p>
      <w:pPr>
        <w:spacing w:after="0" w:line="128" w:lineRule="exact"/>
        <w:rPr>
          <w:rFonts w:ascii="Arial" w:cs="Arial" w:eastAsia="Arial" w:hAnsi="Arial"/>
          <w:sz w:val="20"/>
          <w:szCs w:val="20"/>
          <w:color w:val="auto"/>
        </w:rPr>
      </w:pPr>
    </w:p>
    <w:p>
      <w:pPr>
        <w:ind w:left="1960" w:right="180" w:hanging="656"/>
        <w:spacing w:after="0" w:line="229" w:lineRule="auto"/>
        <w:tabs>
          <w:tab w:leader="none" w:pos="1658" w:val="left"/>
        </w:tabs>
        <w:numPr>
          <w:ilvl w:val="2"/>
          <w:numId w:val="32"/>
        </w:numPr>
        <w:rPr>
          <w:rFonts w:ascii="Arial" w:cs="Arial" w:eastAsia="Arial" w:hAnsi="Arial"/>
          <w:sz w:val="20"/>
          <w:szCs w:val="20"/>
          <w:color w:val="auto"/>
        </w:rPr>
      </w:pPr>
      <w:r>
        <w:rPr>
          <w:rFonts w:ascii="Arial" w:cs="Arial" w:eastAsia="Arial" w:hAnsi="Arial"/>
          <w:sz w:val="20"/>
          <w:szCs w:val="20"/>
          <w:color w:val="auto"/>
        </w:rPr>
        <w:t>members (other than the chairperson) of the Audit Committee shall be eligible to receive additional cash compensation of $15,000 per year for such service;</w:t>
      </w:r>
    </w:p>
    <w:p>
      <w:pPr>
        <w:spacing w:after="0" w:line="114" w:lineRule="exact"/>
        <w:rPr>
          <w:rFonts w:ascii="Arial" w:cs="Arial" w:eastAsia="Arial" w:hAnsi="Arial"/>
          <w:sz w:val="20"/>
          <w:szCs w:val="20"/>
          <w:color w:val="auto"/>
        </w:rPr>
      </w:pPr>
    </w:p>
    <w:p>
      <w:pPr>
        <w:ind w:left="1960" w:right="240" w:hanging="656"/>
        <w:spacing w:after="0" w:line="242" w:lineRule="auto"/>
        <w:tabs>
          <w:tab w:leader="none" w:pos="1647" w:val="left"/>
        </w:tabs>
        <w:numPr>
          <w:ilvl w:val="2"/>
          <w:numId w:val="32"/>
        </w:numPr>
        <w:rPr>
          <w:rFonts w:ascii="Arial" w:cs="Arial" w:eastAsia="Arial" w:hAnsi="Arial"/>
          <w:sz w:val="19"/>
          <w:szCs w:val="19"/>
          <w:color w:val="auto"/>
        </w:rPr>
      </w:pPr>
      <w:r>
        <w:rPr>
          <w:rFonts w:ascii="Arial" w:cs="Arial" w:eastAsia="Arial" w:hAnsi="Arial"/>
          <w:sz w:val="19"/>
          <w:szCs w:val="19"/>
          <w:color w:val="auto"/>
        </w:rPr>
        <w:t>chairperson of the Compensation &amp; Management Development Committee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shall be eligible to receive additional cash compensation of $22,500 per year for such service;</w:t>
      </w:r>
    </w:p>
    <w:p>
      <w:pPr>
        <w:spacing w:after="0" w:line="112" w:lineRule="exact"/>
        <w:rPr>
          <w:rFonts w:ascii="Arial" w:cs="Arial" w:eastAsia="Arial" w:hAnsi="Arial"/>
          <w:sz w:val="19"/>
          <w:szCs w:val="19"/>
          <w:color w:val="auto"/>
        </w:rPr>
      </w:pPr>
    </w:p>
    <w:p>
      <w:pPr>
        <w:ind w:left="1960" w:right="700" w:hanging="656"/>
        <w:spacing w:after="0" w:line="229" w:lineRule="auto"/>
        <w:tabs>
          <w:tab w:leader="none" w:pos="1592" w:val="left"/>
        </w:tabs>
        <w:numPr>
          <w:ilvl w:val="2"/>
          <w:numId w:val="32"/>
        </w:numPr>
        <w:rPr>
          <w:rFonts w:ascii="Arial" w:cs="Arial" w:eastAsia="Arial" w:hAnsi="Arial"/>
          <w:sz w:val="20"/>
          <w:szCs w:val="20"/>
          <w:color w:val="auto"/>
        </w:rPr>
      </w:pPr>
      <w:r>
        <w:rPr>
          <w:rFonts w:ascii="Arial" w:cs="Arial" w:eastAsia="Arial" w:hAnsi="Arial"/>
          <w:sz w:val="20"/>
          <w:szCs w:val="20"/>
          <w:color w:val="auto"/>
        </w:rPr>
        <w:t>members (other than the chairperson) of the Compensation Committee shall be eligible to receive additional cash compensation of $12,500 per year for such service;</w:t>
      </w:r>
    </w:p>
    <w:p>
      <w:pPr>
        <w:spacing w:after="0" w:line="128" w:lineRule="exact"/>
        <w:rPr>
          <w:rFonts w:ascii="Arial" w:cs="Arial" w:eastAsia="Arial" w:hAnsi="Arial"/>
          <w:sz w:val="20"/>
          <w:szCs w:val="20"/>
          <w:color w:val="auto"/>
        </w:rPr>
      </w:pPr>
    </w:p>
    <w:p>
      <w:pPr>
        <w:ind w:left="1960" w:right="700" w:hanging="656"/>
        <w:spacing w:after="0" w:line="229" w:lineRule="auto"/>
        <w:tabs>
          <w:tab w:leader="none" w:pos="1647" w:val="left"/>
        </w:tabs>
        <w:numPr>
          <w:ilvl w:val="2"/>
          <w:numId w:val="32"/>
        </w:numPr>
        <w:rPr>
          <w:rFonts w:ascii="Arial" w:cs="Arial" w:eastAsia="Arial" w:hAnsi="Arial"/>
          <w:sz w:val="20"/>
          <w:szCs w:val="20"/>
          <w:color w:val="auto"/>
        </w:rPr>
      </w:pPr>
      <w:r>
        <w:rPr>
          <w:rFonts w:ascii="Arial" w:cs="Arial" w:eastAsia="Arial" w:hAnsi="Arial"/>
          <w:sz w:val="20"/>
          <w:szCs w:val="20"/>
          <w:color w:val="auto"/>
        </w:rPr>
        <w:t>chairperson of the Nominating and Corporate Governance Committee shall be eligible to receive additional cash compensation of $20,000 per year for such service;</w:t>
      </w:r>
    </w:p>
    <w:p>
      <w:pPr>
        <w:spacing w:after="0" w:line="114" w:lineRule="exact"/>
        <w:rPr>
          <w:rFonts w:ascii="Arial" w:cs="Arial" w:eastAsia="Arial" w:hAnsi="Arial"/>
          <w:sz w:val="20"/>
          <w:szCs w:val="20"/>
          <w:color w:val="auto"/>
        </w:rPr>
      </w:pPr>
    </w:p>
    <w:p>
      <w:pPr>
        <w:ind w:left="1960" w:right="460" w:hanging="656"/>
        <w:spacing w:after="0" w:line="229" w:lineRule="auto"/>
        <w:tabs>
          <w:tab w:leader="none" w:pos="1702" w:val="left"/>
        </w:tabs>
        <w:numPr>
          <w:ilvl w:val="2"/>
          <w:numId w:val="32"/>
        </w:numPr>
        <w:rPr>
          <w:rFonts w:ascii="Arial" w:cs="Arial" w:eastAsia="Arial" w:hAnsi="Arial"/>
          <w:sz w:val="20"/>
          <w:szCs w:val="20"/>
          <w:color w:val="auto"/>
        </w:rPr>
      </w:pPr>
      <w:r>
        <w:rPr>
          <w:rFonts w:ascii="Arial" w:cs="Arial" w:eastAsia="Arial" w:hAnsi="Arial"/>
          <w:sz w:val="20"/>
          <w:szCs w:val="20"/>
          <w:color w:val="auto"/>
        </w:rPr>
        <w:t>members (other than the chairperson) of the Nominating and Corporate Governance Committee shall be eligible to receive additional cash compensation of $10,000 per year for such service;</w:t>
      </w:r>
    </w:p>
    <w:p>
      <w:pPr>
        <w:spacing w:after="0" w:line="114" w:lineRule="exact"/>
        <w:rPr>
          <w:rFonts w:ascii="Arial" w:cs="Arial" w:eastAsia="Arial" w:hAnsi="Arial"/>
          <w:sz w:val="20"/>
          <w:szCs w:val="20"/>
          <w:color w:val="auto"/>
        </w:rPr>
      </w:pPr>
    </w:p>
    <w:p>
      <w:pPr>
        <w:ind w:left="1960" w:right="40" w:hanging="656"/>
        <w:spacing w:after="0" w:line="229" w:lineRule="auto"/>
        <w:tabs>
          <w:tab w:leader="none" w:pos="1757" w:val="left"/>
        </w:tabs>
        <w:numPr>
          <w:ilvl w:val="2"/>
          <w:numId w:val="32"/>
        </w:numPr>
        <w:rPr>
          <w:rFonts w:ascii="Arial" w:cs="Arial" w:eastAsia="Arial" w:hAnsi="Arial"/>
          <w:sz w:val="20"/>
          <w:szCs w:val="20"/>
          <w:color w:val="auto"/>
        </w:rPr>
      </w:pPr>
      <w:r>
        <w:rPr>
          <w:rFonts w:ascii="Arial" w:cs="Arial" w:eastAsia="Arial" w:hAnsi="Arial"/>
          <w:sz w:val="20"/>
          <w:szCs w:val="20"/>
          <w:color w:val="auto"/>
        </w:rPr>
        <w:t>chairperson of the Science &amp; Medicine Committee shall be eligible to receive additional cash compensation of $22,500 per year for such service;</w:t>
      </w:r>
    </w:p>
    <w:p>
      <w:pPr>
        <w:spacing w:after="0" w:line="128" w:lineRule="exact"/>
        <w:rPr>
          <w:rFonts w:ascii="Arial" w:cs="Arial" w:eastAsia="Arial" w:hAnsi="Arial"/>
          <w:sz w:val="20"/>
          <w:szCs w:val="20"/>
          <w:color w:val="auto"/>
        </w:rPr>
      </w:pPr>
    </w:p>
    <w:p>
      <w:pPr>
        <w:ind w:left="1960" w:right="160" w:hanging="656"/>
        <w:spacing w:after="0" w:line="229" w:lineRule="auto"/>
        <w:tabs>
          <w:tab w:leader="none" w:pos="1647" w:val="left"/>
        </w:tabs>
        <w:numPr>
          <w:ilvl w:val="2"/>
          <w:numId w:val="32"/>
        </w:numPr>
        <w:rPr>
          <w:rFonts w:ascii="Arial" w:cs="Arial" w:eastAsia="Arial" w:hAnsi="Arial"/>
          <w:sz w:val="20"/>
          <w:szCs w:val="20"/>
          <w:color w:val="auto"/>
        </w:rPr>
      </w:pPr>
      <w:r>
        <w:rPr>
          <w:rFonts w:ascii="Arial" w:cs="Arial" w:eastAsia="Arial" w:hAnsi="Arial"/>
          <w:sz w:val="20"/>
          <w:szCs w:val="20"/>
          <w:color w:val="auto"/>
        </w:rPr>
        <w:t>members (other than the chairperson of the Science &amp; Medicine Committee) shall be eligible to receive additional cash compensation of $12,500 per year for such service;</w:t>
      </w:r>
    </w:p>
    <w:p>
      <w:pPr>
        <w:spacing w:after="0" w:line="114" w:lineRule="exact"/>
        <w:rPr>
          <w:rFonts w:ascii="Arial" w:cs="Arial" w:eastAsia="Arial" w:hAnsi="Arial"/>
          <w:sz w:val="20"/>
          <w:szCs w:val="20"/>
          <w:color w:val="auto"/>
        </w:rPr>
      </w:pPr>
    </w:p>
    <w:p>
      <w:pPr>
        <w:ind w:left="1960" w:hanging="656"/>
        <w:spacing w:after="0" w:line="229" w:lineRule="auto"/>
        <w:tabs>
          <w:tab w:leader="none" w:pos="1592" w:val="left"/>
        </w:tabs>
        <w:numPr>
          <w:ilvl w:val="2"/>
          <w:numId w:val="32"/>
        </w:numPr>
        <w:rPr>
          <w:rFonts w:ascii="Arial" w:cs="Arial" w:eastAsia="Arial" w:hAnsi="Arial"/>
          <w:sz w:val="20"/>
          <w:szCs w:val="20"/>
          <w:color w:val="auto"/>
        </w:rPr>
      </w:pPr>
      <w:r>
        <w:rPr>
          <w:rFonts w:ascii="Arial" w:cs="Arial" w:eastAsia="Arial" w:hAnsi="Arial"/>
          <w:sz w:val="20"/>
          <w:szCs w:val="20"/>
          <w:color w:val="auto"/>
        </w:rPr>
        <w:t>chairperson of the Transaction Committee shall be eligible to receive additional cash compensation of $5,000 per meeting up to $20,000 per year for such service; and</w:t>
      </w:r>
    </w:p>
    <w:p>
      <w:pPr>
        <w:spacing w:after="0" w:line="114" w:lineRule="exact"/>
        <w:rPr>
          <w:rFonts w:ascii="Arial" w:cs="Arial" w:eastAsia="Arial" w:hAnsi="Arial"/>
          <w:sz w:val="20"/>
          <w:szCs w:val="20"/>
          <w:color w:val="auto"/>
        </w:rPr>
      </w:pPr>
    </w:p>
    <w:p>
      <w:pPr>
        <w:ind w:left="1960" w:right="860" w:hanging="656"/>
        <w:spacing w:after="0" w:line="229" w:lineRule="auto"/>
        <w:tabs>
          <w:tab w:leader="none" w:pos="1647" w:val="left"/>
        </w:tabs>
        <w:numPr>
          <w:ilvl w:val="2"/>
          <w:numId w:val="32"/>
        </w:numPr>
        <w:rPr>
          <w:rFonts w:ascii="Arial" w:cs="Arial" w:eastAsia="Arial" w:hAnsi="Arial"/>
          <w:sz w:val="20"/>
          <w:szCs w:val="20"/>
          <w:color w:val="auto"/>
        </w:rPr>
      </w:pPr>
      <w:r>
        <w:rPr>
          <w:rFonts w:ascii="Arial" w:cs="Arial" w:eastAsia="Arial" w:hAnsi="Arial"/>
          <w:sz w:val="20"/>
          <w:szCs w:val="20"/>
          <w:color w:val="auto"/>
        </w:rPr>
        <w:t>members (other than the chairperson) of the Transaction Committee shall be eligible to receive additional cash compensation of $2,500 per meeting up to $10,000 per year for such service.</w:t>
      </w:r>
    </w:p>
    <w:p>
      <w:pPr>
        <w:sectPr>
          <w:pgSz w:w="11900" w:h="16838" w:orient="portrait"/>
          <w:cols w:equalWidth="0" w:num="1">
            <w:col w:w="11240"/>
          </w:cols>
          <w:pgMar w:left="320" w:top="108" w:right="339" w:bottom="1440" w:gutter="0" w:footer="0" w:header="0"/>
        </w:sectPr>
      </w:pPr>
    </w:p>
    <w:bookmarkStart w:id="93" w:name="page94"/>
    <w:bookmarkEnd w:id="93"/>
    <w:p>
      <w:pPr>
        <w:ind w:right="20" w:firstLine="648"/>
        <w:spacing w:after="0" w:line="213" w:lineRule="auto"/>
        <w:rPr>
          <w:sz w:val="20"/>
          <w:szCs w:val="20"/>
          <w:color w:val="auto"/>
        </w:rPr>
      </w:pPr>
      <w:r>
        <w:rPr>
          <w:rFonts w:ascii="Arial" w:cs="Arial" w:eastAsia="Arial" w:hAnsi="Arial"/>
          <w:sz w:val="20"/>
          <w:szCs w:val="20"/>
          <w:color w:val="auto"/>
        </w:rPr>
        <w:t>The additional cash compensation for the Non-Employee Director’s service on the Committees other than the Transaction Committee shall be paid in four equal quarterly installments, earned upon the completion of service in each calendar quarter. The additional cash compensation for the Non-Employee Director’s service on the Transaction Committee shall be paid in four quarterly installments, earned upon the completion of services in each calendar quarter.</w:t>
      </w:r>
    </w:p>
    <w:p>
      <w:pPr>
        <w:spacing w:after="0" w:line="115" w:lineRule="exact"/>
        <w:rPr>
          <w:sz w:val="20"/>
          <w:szCs w:val="20"/>
          <w:color w:val="auto"/>
        </w:rPr>
      </w:pPr>
    </w:p>
    <w:p>
      <w:pPr>
        <w:ind w:firstLine="656"/>
        <w:spacing w:after="0" w:line="268" w:lineRule="auto"/>
        <w:tabs>
          <w:tab w:leader="none" w:pos="928" w:val="left"/>
        </w:tabs>
        <w:numPr>
          <w:ilvl w:val="1"/>
          <w:numId w:val="33"/>
        </w:numPr>
        <w:rPr>
          <w:rFonts w:ascii="Arial" w:cs="Arial" w:eastAsia="Arial" w:hAnsi="Arial"/>
          <w:sz w:val="16"/>
          <w:szCs w:val="16"/>
          <w:color w:val="auto"/>
        </w:rPr>
      </w:pPr>
      <w:r>
        <w:rPr>
          <w:rFonts w:ascii="Arial" w:cs="Arial" w:eastAsia="Arial" w:hAnsi="Arial"/>
          <w:sz w:val="16"/>
          <w:szCs w:val="16"/>
          <w:color w:val="auto"/>
        </w:rPr>
        <w:t>Each person who is elected or appointed to be a Non-Employee Director or who is appointed to serve as lead independent director or a member or chairperson of one of the Committees described above, in each case other than on the first calendar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calendar day during the calendar quarter prior to the date of such election or appointment.</w:t>
      </w:r>
    </w:p>
    <w:p>
      <w:pPr>
        <w:spacing w:after="0" w:line="106" w:lineRule="exact"/>
        <w:rPr>
          <w:rFonts w:ascii="Arial" w:cs="Arial" w:eastAsia="Arial" w:hAnsi="Arial"/>
          <w:sz w:val="16"/>
          <w:szCs w:val="16"/>
          <w:color w:val="auto"/>
        </w:rPr>
      </w:pPr>
    </w:p>
    <w:p>
      <w:pPr>
        <w:ind w:right="220" w:firstLine="656"/>
        <w:spacing w:after="0" w:line="206" w:lineRule="auto"/>
        <w:tabs>
          <w:tab w:leader="none" w:pos="917" w:val="left"/>
        </w:tabs>
        <w:numPr>
          <w:ilvl w:val="1"/>
          <w:numId w:val="33"/>
        </w:numPr>
        <w:rPr>
          <w:rFonts w:ascii="Arial" w:cs="Arial" w:eastAsia="Arial" w:hAnsi="Arial"/>
          <w:sz w:val="20"/>
          <w:szCs w:val="20"/>
          <w:color w:val="auto"/>
        </w:rPr>
      </w:pPr>
      <w:r>
        <w:rPr>
          <w:rFonts w:ascii="Arial" w:cs="Arial" w:eastAsia="Arial" w:hAnsi="Arial"/>
          <w:sz w:val="20"/>
          <w:szCs w:val="20"/>
          <w:color w:val="auto"/>
        </w:rPr>
        <w:t>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Arial" w:cs="Arial" w:eastAsia="Arial" w:hAnsi="Arial"/>
          <w:sz w:val="20"/>
          <w:szCs w:val="20"/>
          <w:b w:val="1"/>
          <w:bCs w:val="1"/>
          <w:i w:val="1"/>
          <w:iCs w:val="1"/>
          <w:color w:val="auto"/>
        </w:rPr>
        <w:t>Revenue</w:t>
      </w:r>
      <w:r>
        <w:rPr>
          <w:rFonts w:ascii="Arial" w:cs="Arial" w:eastAsia="Arial" w:hAnsi="Arial"/>
          <w:sz w:val="20"/>
          <w:szCs w:val="20"/>
          <w:color w:val="auto"/>
        </w:rPr>
        <w:t>”), each Non-Employee Director will be entitled to a payment, up to an amount (“</w:t>
      </w:r>
      <w:r>
        <w:rPr>
          <w:rFonts w:ascii="Arial" w:cs="Arial" w:eastAsia="Arial" w:hAnsi="Arial"/>
          <w:sz w:val="20"/>
          <w:szCs w:val="20"/>
          <w:b w:val="1"/>
          <w:bCs w:val="1"/>
          <w:i w:val="1"/>
          <w:iCs w:val="1"/>
          <w:color w:val="auto"/>
        </w:rPr>
        <w:t>Tax Reimbursement Payment</w:t>
      </w:r>
      <w:r>
        <w:rPr>
          <w:rFonts w:ascii="Arial" w:cs="Arial" w:eastAsia="Arial" w:hAnsi="Arial"/>
          <w:sz w:val="20"/>
          <w:szCs w:val="20"/>
          <w:color w:val="auto"/>
        </w:rPr>
        <w:t>”) such that after the deduction of all taxes (including, without limitation, any income taxes calculated at the rate applicable to each Non-Employee Director for the year in which the expenses were incurred) on the Tax Reimbursement Payment, the Non-Employee Director will retain an amount equal to the full reimbursement payment. All taxes due will be paid by the Company to Revenue.</w:t>
      </w:r>
    </w:p>
    <w:p>
      <w:pPr>
        <w:spacing w:after="0" w:line="116" w:lineRule="exact"/>
        <w:rPr>
          <w:rFonts w:ascii="Arial" w:cs="Arial" w:eastAsia="Arial" w:hAnsi="Arial"/>
          <w:sz w:val="20"/>
          <w:szCs w:val="20"/>
          <w:color w:val="auto"/>
        </w:rPr>
      </w:pPr>
    </w:p>
    <w:p>
      <w:pPr>
        <w:ind w:right="220" w:firstLine="8"/>
        <w:spacing w:after="0" w:line="269"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The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awards described below shall be granted under and shall be subject to the terms and provisions of the Company’s Amended and Restated 2007 Non-Employee Directors Stock Award Plan (the “</w:t>
      </w:r>
      <w:r>
        <w:rPr>
          <w:rFonts w:ascii="Arial" w:cs="Arial" w:eastAsia="Arial" w:hAnsi="Arial"/>
          <w:sz w:val="18"/>
          <w:szCs w:val="18"/>
          <w:b w:val="1"/>
          <w:bCs w:val="1"/>
          <w:i w:val="1"/>
          <w:iCs w:val="1"/>
          <w:color w:val="auto"/>
        </w:rPr>
        <w:t>NEDSAP</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right="220" w:firstLine="656"/>
        <w:spacing w:after="0" w:line="231" w:lineRule="auto"/>
        <w:tabs>
          <w:tab w:leader="none" w:pos="91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Subject to Section 3 below, beginning with the annual general meeting of the Company’s shareholders (an “</w:t>
      </w:r>
      <w:r>
        <w:rPr>
          <w:rFonts w:ascii="Arial" w:cs="Arial" w:eastAsia="Arial" w:hAnsi="Arial"/>
          <w:sz w:val="18"/>
          <w:szCs w:val="18"/>
          <w:b w:val="1"/>
          <w:bCs w:val="1"/>
          <w:i w:val="1"/>
          <w:iCs w:val="1"/>
          <w:color w:val="auto"/>
        </w:rPr>
        <w:t>AGM</w:t>
      </w:r>
      <w:r>
        <w:rPr>
          <w:rFonts w:ascii="Arial" w:cs="Arial" w:eastAsia="Arial" w:hAnsi="Arial"/>
          <w:sz w:val="18"/>
          <w:szCs w:val="18"/>
          <w:color w:val="auto"/>
        </w:rPr>
        <w:t>”) held in 2021, each person who is a Non-Employee Director at an AGM and who continues as a Non-Employee Director following such meeting automatically shall be granted an RSU award (an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on the grant date set forth in Section 2(b) below. In addition, subject to Section 3 below, each person who is elected or appointed to be a Non-Employee Director for the first time other than at an AGM and after the AGM held in 2021, automatically shall be granted a prorated RSU award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on the grant date set forth in Section 2(b) below, provided that such person is a Non-Employee Director on such grant date.</w:t>
      </w:r>
    </w:p>
    <w:p>
      <w:pPr>
        <w:spacing w:after="0" w:line="127" w:lineRule="exact"/>
        <w:rPr>
          <w:rFonts w:ascii="Arial" w:cs="Arial" w:eastAsia="Arial" w:hAnsi="Arial"/>
          <w:sz w:val="18"/>
          <w:szCs w:val="18"/>
          <w:color w:val="auto"/>
        </w:rPr>
      </w:pPr>
    </w:p>
    <w:p>
      <w:pPr>
        <w:ind w:right="400" w:firstLine="656"/>
        <w:spacing w:after="0" w:line="289" w:lineRule="auto"/>
        <w:tabs>
          <w:tab w:leader="none" w:pos="92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Grant Date</w:t>
      </w:r>
      <w:r>
        <w:rPr>
          <w:rFonts w:ascii="Arial" w:cs="Arial" w:eastAsia="Arial" w:hAnsi="Arial"/>
          <w:sz w:val="16"/>
          <w:szCs w:val="16"/>
          <w:color w:val="auto"/>
        </w:rPr>
        <w:t>. The grant date of each Annual Grant shall be the day of the applicable AGM, and the grant date of each Prorated Annual Grant shall be the second trading day following the filing date of the Company’s next quarterly or annual report filed under the Securities Exchange Act of 1934, as amended, that occurs after the date of the Non-Employee Director’s initial election or appointment.</w:t>
      </w:r>
    </w:p>
    <w:p>
      <w:pPr>
        <w:spacing w:after="0" w:line="77" w:lineRule="exact"/>
        <w:rPr>
          <w:rFonts w:ascii="Arial" w:cs="Arial" w:eastAsia="Arial" w:hAnsi="Arial"/>
          <w:sz w:val="16"/>
          <w:szCs w:val="16"/>
          <w:color w:val="auto"/>
        </w:rPr>
      </w:pPr>
    </w:p>
    <w:p>
      <w:pPr>
        <w:ind w:right="120" w:firstLine="656"/>
        <w:spacing w:after="0" w:line="236" w:lineRule="auto"/>
        <w:tabs>
          <w:tab w:leader="none" w:pos="91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Grant Date Value</w:t>
      </w:r>
      <w:r>
        <w:rPr>
          <w:rFonts w:ascii="Arial" w:cs="Arial" w:eastAsia="Arial" w:hAnsi="Arial"/>
          <w:sz w:val="18"/>
          <w:szCs w:val="18"/>
          <w:color w:val="auto"/>
        </w:rPr>
        <w:t>. The grant date value of each Annual Grant shall be equal to approximately $400,000. The grant date value of each Prorated Annual Grant shall be prorated to reflect the shortened period of service (by multiplying $400,000 by the quotient (rounded to the nearest hundredth) obtained by dividing the number of calendar days from and including the date of the Non-Employee Director’s initial election or appointment to and including the date that is the first anniversary of the prior AGM by 365).</w:t>
      </w:r>
    </w:p>
    <w:p>
      <w:pPr>
        <w:spacing w:after="0" w:line="117" w:lineRule="exact"/>
        <w:rPr>
          <w:rFonts w:ascii="Arial" w:cs="Arial" w:eastAsia="Arial" w:hAnsi="Arial"/>
          <w:sz w:val="18"/>
          <w:szCs w:val="18"/>
          <w:color w:val="auto"/>
        </w:rPr>
      </w:pPr>
    </w:p>
    <w:p>
      <w:pPr>
        <w:ind w:right="60" w:firstLine="656"/>
        <w:spacing w:after="0" w:line="213" w:lineRule="auto"/>
        <w:tabs>
          <w:tab w:leader="none" w:pos="928"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Number of Ordinary Shares</w:t>
      </w:r>
      <w:r>
        <w:rPr>
          <w:rFonts w:ascii="Arial" w:cs="Arial" w:eastAsia="Arial" w:hAnsi="Arial"/>
          <w:sz w:val="20"/>
          <w:szCs w:val="20"/>
          <w:color w:val="auto"/>
        </w:rPr>
        <w:t>. The number of ordinary shares of the Company (“</w:t>
      </w:r>
      <w:r>
        <w:rPr>
          <w:rFonts w:ascii="Arial" w:cs="Arial" w:eastAsia="Arial" w:hAnsi="Arial"/>
          <w:sz w:val="20"/>
          <w:szCs w:val="20"/>
          <w:b w:val="1"/>
          <w:bCs w:val="1"/>
          <w:i w:val="1"/>
          <w:iCs w:val="1"/>
          <w:color w:val="auto"/>
        </w:rPr>
        <w:t>Ordinary Shares</w:t>
      </w:r>
      <w:r>
        <w:rPr>
          <w:rFonts w:ascii="Arial" w:cs="Arial" w:eastAsia="Arial" w:hAnsi="Arial"/>
          <w:sz w:val="20"/>
          <w:szCs w:val="20"/>
          <w:color w:val="auto"/>
        </w:rPr>
        <w:t>”) subject to each Annual Grant and Prorated Annual Grant shall be determined by dividing the grant date value, in each case as set forth in Section 2(c) above, by the average of the daily closing prices per share of the Ordinary Shares during the 30 calendar day period ending on and including the grant date, rounded to the nearest share by application of regular rounding.</w:t>
      </w:r>
    </w:p>
    <w:p>
      <w:pPr>
        <w:spacing w:after="0" w:line="128" w:lineRule="exact"/>
        <w:rPr>
          <w:rFonts w:ascii="Arial" w:cs="Arial" w:eastAsia="Arial" w:hAnsi="Arial"/>
          <w:sz w:val="20"/>
          <w:szCs w:val="20"/>
          <w:color w:val="auto"/>
        </w:rPr>
      </w:pPr>
    </w:p>
    <w:p>
      <w:pPr>
        <w:jc w:val="both"/>
        <w:ind w:right="20" w:firstLine="656"/>
        <w:spacing w:after="0" w:line="228" w:lineRule="auto"/>
        <w:tabs>
          <w:tab w:leader="none" w:pos="917"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Each Annual Grant granted to a Non-Employee Director shall vest in full on the first anniversary of the AGM in the year of grant and each Prorated Annual Grant granted to a Non-Employee Director shall vest in full on the first anniversary of the AGM held prior to the Non-Employee Director’s initial election or appointment, in each case subject to the Non-Employee Director’s Continuous Service (as defined in the NEDSAP) through such vesting date. Notwithstanding the foregoing, if a Non-</w:t>
      </w:r>
    </w:p>
    <w:p>
      <w:pPr>
        <w:sectPr>
          <w:pgSz w:w="11900" w:h="16838" w:orient="portrait"/>
          <w:cols w:equalWidth="0" w:num="1">
            <w:col w:w="11240"/>
          </w:cols>
          <w:pgMar w:left="320" w:top="1405" w:right="339" w:bottom="1440" w:gutter="0" w:footer="0" w:header="0"/>
        </w:sectPr>
      </w:pPr>
    </w:p>
    <w:bookmarkStart w:id="94" w:name="page95"/>
    <w:bookmarkEnd w:id="94"/>
    <w:p>
      <w:pPr>
        <w:ind w:right="100"/>
        <w:spacing w:after="0" w:line="236" w:lineRule="auto"/>
        <w:rPr>
          <w:sz w:val="20"/>
          <w:szCs w:val="20"/>
          <w:color w:val="auto"/>
        </w:rPr>
      </w:pPr>
      <w:r>
        <w:rPr>
          <w:rFonts w:ascii="Arial" w:cs="Arial" w:eastAsia="Arial" w:hAnsi="Arial"/>
          <w:sz w:val="18"/>
          <w:szCs w:val="18"/>
          <w:color w:val="auto"/>
        </w:rPr>
        <w:t>Employee Director does not stand for reelection at an AGM in the year in which his or her term expires or otherwise resigns effective at an AGM and, in either case, the Non-Employee Director’s Continuous Service terminates at such AGM, then effective as of the date of such</w:t>
      </w:r>
    </w:p>
    <w:p>
      <w:pPr>
        <w:spacing w:after="0"/>
        <w:rPr>
          <w:sz w:val="20"/>
          <w:szCs w:val="20"/>
          <w:color w:val="auto"/>
        </w:rPr>
      </w:pPr>
      <w:r>
        <w:rPr>
          <w:rFonts w:ascii="Arial" w:cs="Arial" w:eastAsia="Arial" w:hAnsi="Arial"/>
          <w:sz w:val="18"/>
          <w:szCs w:val="18"/>
          <w:color w:val="auto"/>
        </w:rPr>
        <w:t>AGM, the unvested portion, if any, of such Non-Employee Director’s Annual Grant or Prorated Annual Grant shall become vested in full.</w:t>
      </w:r>
    </w:p>
    <w:p>
      <w:pPr>
        <w:spacing w:after="0" w:line="155" w:lineRule="exact"/>
        <w:rPr>
          <w:sz w:val="20"/>
          <w:szCs w:val="20"/>
          <w:color w:val="auto"/>
        </w:rPr>
      </w:pPr>
    </w:p>
    <w:p>
      <w:pPr>
        <w:ind w:right="60" w:firstLine="656"/>
        <w:spacing w:after="0" w:line="230" w:lineRule="auto"/>
        <w:tabs>
          <w:tab w:leader="none" w:pos="895" w:val="left"/>
        </w:tabs>
        <w:numPr>
          <w:ilvl w:val="1"/>
          <w:numId w:val="3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Terms and Conditions</w:t>
      </w:r>
      <w:r>
        <w:rPr>
          <w:rFonts w:ascii="Arial" w:cs="Arial" w:eastAsia="Arial" w:hAnsi="Arial"/>
          <w:sz w:val="19"/>
          <w:szCs w:val="19"/>
          <w:color w:val="auto"/>
        </w:rPr>
        <w:t>. The terms and conditions applicable to each Annual Grant and Prorated Annual Grant granted to Non-Employee Directors pursuant to this Policy shall be subject to the terms and conditions in the forms of RSU notice of grant and RSU award agreement previously approved by the Board or the Compensation Committee, as applicable, and the NEDSAP.</w:t>
      </w:r>
    </w:p>
    <w:p>
      <w:pPr>
        <w:spacing w:after="0" w:line="127" w:lineRule="exact"/>
        <w:rPr>
          <w:rFonts w:ascii="Arial" w:cs="Arial" w:eastAsia="Arial" w:hAnsi="Arial"/>
          <w:sz w:val="19"/>
          <w:szCs w:val="19"/>
          <w:u w:val="single" w:color="auto"/>
          <w:color w:val="auto"/>
        </w:rPr>
      </w:pPr>
    </w:p>
    <w:p>
      <w:pPr>
        <w:ind w:firstLine="8"/>
        <w:spacing w:after="0" w:line="231"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The aggregate value of all compensation granted or paid, as applicable, by the Company to any individual for service as a Non-Employee Director with respect to any period commencing on the date of the AGM for a particular year and ending on the calendar day immediately prior to the date of the AGM for the subsequent year (the “</w:t>
      </w:r>
      <w:r>
        <w:rPr>
          <w:rFonts w:ascii="Arial" w:cs="Arial" w:eastAsia="Arial" w:hAnsi="Arial"/>
          <w:sz w:val="18"/>
          <w:szCs w:val="18"/>
          <w:b w:val="1"/>
          <w:bCs w:val="1"/>
          <w:i w:val="1"/>
          <w:iCs w:val="1"/>
          <w:color w:val="auto"/>
        </w:rPr>
        <w:t>Annual Period</w:t>
      </w:r>
      <w:r>
        <w:rPr>
          <w:rFonts w:ascii="Arial" w:cs="Arial" w:eastAsia="Arial" w:hAnsi="Arial"/>
          <w:sz w:val="18"/>
          <w:szCs w:val="18"/>
          <w:color w:val="auto"/>
        </w:rPr>
        <w:t>”), including equity awards granted and cash fees paid by the Company to such Non-Employee Director, 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80"/>
        <w:spacing w:after="0"/>
        <w:rPr>
          <w:sz w:val="20"/>
          <w:szCs w:val="20"/>
          <w:color w:val="auto"/>
        </w:rPr>
      </w:pPr>
      <w:r>
        <w:rPr>
          <w:rFonts w:ascii="Arial" w:cs="Arial" w:eastAsia="Arial" w:hAnsi="Arial"/>
          <w:sz w:val="20"/>
          <w:szCs w:val="20"/>
          <w:b w:val="1"/>
          <w:bCs w:val="1"/>
          <w:i w:val="1"/>
          <w:iCs w:val="1"/>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Adopted by the Board of Directors of Jazz Pharmaceuticals plc on 2 May 2013.</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1 August 2013.</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1 May 2014.</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30 October 2014.</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30 April 2015.</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4 May 2016.</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 May 2018.</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21 July 2020.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28 April 2021.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29 July 2021.</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28 April 2022.</w:t>
      </w:r>
    </w:p>
    <w:p>
      <w:pPr>
        <w:sectPr>
          <w:pgSz w:w="11900" w:h="16838" w:orient="portrait"/>
          <w:cols w:equalWidth="0" w:num="1">
            <w:col w:w="11100"/>
          </w:cols>
          <w:pgMar w:left="320" w:top="1405" w:right="4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220" w:hanging="327"/>
        <w:spacing w:after="0" w:line="308"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lvl w:ilvl="1">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lvl w:ilvl="1">
      <w:lvlJc w:val="left"/>
      <w:lvlText w:val="%2"/>
      <w:numFmt w:val="decimal"/>
      <w:start w:val="104"/>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5"/>
    </w:lvl>
  </w:abstractNum>
  <w:abstractNum w:abstractNumId="31">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3804823E"/>
    <w:multiLevelType w:val="hybridMultilevel"/>
    <w:lvl w:ilvl="0">
      <w:lvlJc w:val="left"/>
      <w:lvlText w:val="%1"/>
      <w:numFmt w:val="decimal"/>
      <w:start w:val="1"/>
    </w:lvl>
    <w:lvl w:ilvl="1">
      <w:lvlJc w:val="left"/>
      <w:lvlText w:val="(%2)"/>
      <w:numFmt w:val="lowerLetter"/>
      <w:start w:val="2"/>
    </w:lvl>
  </w:abstractNum>
  <w:abstractNum w:abstractNumId="33">
    <w:nsid w:val="77465F01"/>
    <w:multiLevelType w:val="hybridMultilevel"/>
    <w:lvl w:ilvl="0">
      <w:lvlJc w:val="left"/>
      <w:lvlText w:val="%1."/>
      <w:numFmt w:val="decimal"/>
      <w:start w:val="2"/>
    </w:lvl>
    <w:lvl w:ilvl="1">
      <w:lvlJc w:val="left"/>
      <w:lvlText w:val="(%2)"/>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6"/>
    </w:lvl>
  </w:abstractNum>
  <w:abstractNum w:abstractNumId="35">
    <w:nsid w:val="5C482A97"/>
    <w:multiLevelType w:val="hybridMultilevel"/>
    <w:lvl w:ilvl="0">
      <w:lvlJc w:val="left"/>
      <w:lvlText w:val="%1."/>
      <w:numFmt w:val="decimal"/>
      <w:start w:val="3"/>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07" Type="http://schemas.openxmlformats.org/officeDocument/2006/relationships/hyperlink" Target="http://www.sec.gov/Archives/edgar/data/1232524/000119312511251468/d233902dex21.htm" TargetMode="External"/><Relationship Id="rId108" Type="http://schemas.openxmlformats.org/officeDocument/2006/relationships/hyperlink" Target="http://www.sec.gov/Archives/edgar/data/1232524/000119312512015521/d282897dex22.htm" TargetMode="External"/><Relationship Id="rId109" Type="http://schemas.openxmlformats.org/officeDocument/2006/relationships/hyperlink" Target="http://www.sec.gov/Archives/edgar/data/1232524/000119312512191724/d341488dex21.htm" TargetMode="External"/><Relationship Id="rId110" Type="http://schemas.openxmlformats.org/officeDocument/2006/relationships/hyperlink" Target="http://www.sec.gov/Archives/edgar/data/1232524/000119312512268244/d365702dex21b.htm" TargetMode="External"/><Relationship Id="rId111" Type="http://schemas.openxmlformats.org/officeDocument/2006/relationships/hyperlink" Target="http://www.sec.gov/Archives/edgar/data/1232524/000119312513481242/d647727dex21.htm" TargetMode="External"/><Relationship Id="rId112" Type="http://schemas.openxmlformats.org/officeDocument/2006/relationships/hyperlink" Target="http://www.sec.gov/Archives/edgar/data/1232524/000119312514008838/d656574dex21.htm" TargetMode="External"/><Relationship Id="rId113" Type="http://schemas.openxmlformats.org/officeDocument/2006/relationships/hyperlink" Target="http://www.sec.gov/Archives/edgar/data/1232524/000119312514295844/d768395dex21.htm" TargetMode="External"/><Relationship Id="rId114" Type="http://schemas.openxmlformats.org/officeDocument/2006/relationships/hyperlink" Target="http://www.sec.gov/Archives/edgar/data/1232524/000123252415000074/form8-kex21.htm" TargetMode="External"/><Relationship Id="rId115" Type="http://schemas.openxmlformats.org/officeDocument/2006/relationships/hyperlink" Target="http://www.sec.gov/Archives/edgar/data/1232524/000119312516607097/d203835dex21.htm" TargetMode="External"/><Relationship Id="rId116" Type="http://schemas.openxmlformats.org/officeDocument/2006/relationships/hyperlink" Target="https://www.sec.gov/Archives/edgar/data/1232524/000119312521027577/d117870dex21.htm" TargetMode="External"/><Relationship Id="rId117" Type="http://schemas.openxmlformats.org/officeDocument/2006/relationships/hyperlink" Target="http://www.sec.gov/Archives/edgar/data/1232524/000123252416000303/jazzq22016ex31.htm" TargetMode="External"/><Relationship Id="rId118" Type="http://schemas.openxmlformats.org/officeDocument/2006/relationships/hyperlink" Target="https://www.sec.gov/Archives/edgar/data/0001232524/000119312521140517/d191392dex41.htm" TargetMode="External"/><Relationship Id="rId119" Type="http://schemas.openxmlformats.org/officeDocument/2006/relationships/hyperlink" Target="https://www.sec.gov/Archives/edgar/data/0001232524/000123252421000045/jazzq22021ex45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2022-08-03T15:38:38Z</dcterms:created>
  <dcterms:modified xsi:type="dcterms:W3CDTF">2022-08-03T15:38:38Z</dcterms:modified>
</cp:coreProperties>
</file>