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799465</wp:posOffset>
            </wp:positionH>
            <wp:positionV relativeFrom="page">
              <wp:posOffset>800735</wp:posOffset>
            </wp:positionV>
            <wp:extent cx="59575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57570" cy="8255"/>
                    </a:xfrm>
                    <a:prstGeom prst="rect">
                      <a:avLst/>
                    </a:prstGeom>
                    <a:noFill/>
                  </pic:spPr>
                </pic:pic>
              </a:graphicData>
            </a:graphic>
          </wp:anchor>
        </w:drawing>
        <w:drawing>
          <wp:anchor simplePos="0" relativeHeight="251657728" behindDoc="1" locked="0" layoutInCell="0" allowOverlap="1">
            <wp:simplePos x="0" y="0"/>
            <wp:positionH relativeFrom="page">
              <wp:posOffset>799465</wp:posOffset>
            </wp:positionH>
            <wp:positionV relativeFrom="page">
              <wp:posOffset>732155</wp:posOffset>
            </wp:positionV>
            <wp:extent cx="59575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57570" cy="8255"/>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29"/>
          <w:szCs w:val="29"/>
          <w:b w:val="1"/>
          <w:bCs w:val="1"/>
          <w:color w:val="auto"/>
        </w:rPr>
        <w:t>UNITED STATES</w:t>
      </w:r>
    </w:p>
    <w:p>
      <w:pPr>
        <w:spacing w:after="0" w:line="207" w:lineRule="exact"/>
        <w:rPr>
          <w:sz w:val="24"/>
          <w:szCs w:val="24"/>
          <w:color w:val="auto"/>
        </w:rPr>
      </w:pPr>
    </w:p>
    <w:p>
      <w:pPr>
        <w:jc w:val="center"/>
        <w:ind w:right="-140"/>
        <w:spacing w:after="0"/>
        <w:rPr>
          <w:sz w:val="20"/>
          <w:szCs w:val="20"/>
          <w:color w:val="auto"/>
        </w:rPr>
      </w:pPr>
      <w:r>
        <w:rPr>
          <w:rFonts w:ascii="Arial" w:cs="Arial" w:eastAsia="Arial" w:hAnsi="Arial"/>
          <w:sz w:val="29"/>
          <w:szCs w:val="29"/>
          <w:b w:val="1"/>
          <w:bCs w:val="1"/>
          <w:color w:val="auto"/>
        </w:rPr>
        <w:t>SECURITIES AND EXCHANGE COMMISSION</w:t>
      </w:r>
    </w:p>
    <w:p>
      <w:pPr>
        <w:spacing w:after="0" w:line="2" w:lineRule="exact"/>
        <w:rPr>
          <w:sz w:val="24"/>
          <w:szCs w:val="24"/>
          <w:color w:val="auto"/>
        </w:rPr>
      </w:pPr>
    </w:p>
    <w:p>
      <w:pPr>
        <w:jc w:val="center"/>
        <w:ind w:right="-140"/>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2211705</wp:posOffset>
            </wp:positionH>
            <wp:positionV relativeFrom="paragraph">
              <wp:posOffset>73025</wp:posOffset>
            </wp:positionV>
            <wp:extent cx="14573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40"/>
        <w:spacing w:after="0"/>
        <w:rPr>
          <w:sz w:val="20"/>
          <w:szCs w:val="20"/>
          <w:color w:val="auto"/>
        </w:rPr>
      </w:pPr>
      <w:r>
        <w:rPr>
          <w:rFonts w:ascii="Arial" w:cs="Arial" w:eastAsia="Arial" w:hAnsi="Arial"/>
          <w:sz w:val="29"/>
          <w:szCs w:val="29"/>
          <w:b w:val="1"/>
          <w:bCs w:val="1"/>
          <w:color w:val="auto"/>
        </w:rPr>
        <w:t>SCHEDULE 14A INFORMATION</w:t>
      </w:r>
    </w:p>
    <w:p>
      <w:pPr>
        <w:spacing w:after="0" w:line="227" w:lineRule="exact"/>
        <w:rPr>
          <w:sz w:val="24"/>
          <w:szCs w:val="24"/>
          <w:color w:val="auto"/>
        </w:rPr>
      </w:pPr>
    </w:p>
    <w:p>
      <w:pPr>
        <w:jc w:val="center"/>
        <w:ind w:right="-140"/>
        <w:spacing w:after="0"/>
        <w:rPr>
          <w:sz w:val="20"/>
          <w:szCs w:val="20"/>
          <w:color w:val="auto"/>
        </w:rPr>
      </w:pPr>
      <w:r>
        <w:rPr>
          <w:rFonts w:ascii="Arial" w:cs="Arial" w:eastAsia="Arial" w:hAnsi="Arial"/>
          <w:sz w:val="19"/>
          <w:szCs w:val="19"/>
          <w:b w:val="1"/>
          <w:bCs w:val="1"/>
          <w:color w:val="auto"/>
        </w:rPr>
        <w:t>Proxy Statement Pursuant to Section 14(a) of the</w:t>
      </w:r>
    </w:p>
    <w:p>
      <w:pPr>
        <w:spacing w:after="0" w:line="2" w:lineRule="exact"/>
        <w:rPr>
          <w:sz w:val="24"/>
          <w:szCs w:val="24"/>
          <w:color w:val="auto"/>
        </w:rPr>
      </w:pPr>
    </w:p>
    <w:p>
      <w:pPr>
        <w:jc w:val="center"/>
        <w:ind w:right="-140"/>
        <w:spacing w:after="0"/>
        <w:rPr>
          <w:sz w:val="20"/>
          <w:szCs w:val="20"/>
          <w:color w:val="auto"/>
        </w:rPr>
      </w:pPr>
      <w:r>
        <w:rPr>
          <w:rFonts w:ascii="Arial" w:cs="Arial" w:eastAsia="Arial" w:hAnsi="Arial"/>
          <w:sz w:val="19"/>
          <w:szCs w:val="19"/>
          <w:b w:val="1"/>
          <w:bCs w:val="1"/>
          <w:color w:val="auto"/>
        </w:rPr>
        <w:t>Securities Exchange Act of 1934</w:t>
      </w:r>
    </w:p>
    <w:p>
      <w:pPr>
        <w:spacing w:after="0" w:line="209" w:lineRule="exact"/>
        <w:rPr>
          <w:sz w:val="24"/>
          <w:szCs w:val="24"/>
          <w:color w:val="auto"/>
        </w:rPr>
      </w:pPr>
    </w:p>
    <w:p>
      <w:pPr>
        <w:jc w:val="center"/>
        <w:ind w:right="-140"/>
        <w:spacing w:after="0"/>
        <w:tabs>
          <w:tab w:leader="none" w:pos="160" w:val="left"/>
        </w:tabs>
        <w:rPr>
          <w:sz w:val="20"/>
          <w:szCs w:val="20"/>
          <w:color w:val="auto"/>
        </w:rPr>
      </w:pPr>
      <w:r>
        <w:rPr>
          <w:rFonts w:ascii="Arial" w:cs="Arial" w:eastAsia="Arial" w:hAnsi="Arial"/>
          <w:sz w:val="19"/>
          <w:szCs w:val="19"/>
          <w:b w:val="1"/>
          <w:bCs w:val="1"/>
          <w:color w:val="auto"/>
        </w:rPr>
        <w:t>(Amendment No.</w:t>
      </w:r>
      <w:r>
        <w:rPr>
          <w:sz w:val="20"/>
          <w:szCs w:val="20"/>
          <w:color w:val="auto"/>
        </w:rPr>
        <w:tab/>
      </w:r>
      <w:r>
        <w:rPr>
          <w:rFonts w:ascii="Arial" w:cs="Arial" w:eastAsia="Arial" w:hAnsi="Arial"/>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2211705</wp:posOffset>
            </wp:positionH>
            <wp:positionV relativeFrom="paragraph">
              <wp:posOffset>92710</wp:posOffset>
            </wp:positionV>
            <wp:extent cx="14573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6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327"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262" w:lineRule="exact"/>
        <w:rPr>
          <w:sz w:val="24"/>
          <w:szCs w:val="24"/>
          <w:color w:val="auto"/>
        </w:rPr>
      </w:pPr>
    </w:p>
    <w:p>
      <w:pPr>
        <w:ind w:left="980" w:hanging="332"/>
        <w:spacing w:after="0"/>
        <w:tabs>
          <w:tab w:leader="none" w:pos="98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248" w:lineRule="exact"/>
        <w:rPr>
          <w:rFonts w:ascii="MS PGothic" w:cs="MS PGothic" w:eastAsia="MS PGothic" w:hAnsi="MS PGothic"/>
          <w:sz w:val="16"/>
          <w:szCs w:val="16"/>
          <w:color w:val="auto"/>
        </w:rPr>
      </w:pPr>
    </w:p>
    <w:p>
      <w:pPr>
        <w:ind w:left="980" w:hanging="332"/>
        <w:spacing w:after="0"/>
        <w:tabs>
          <w:tab w:leader="none" w:pos="98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248" w:lineRule="exact"/>
        <w:rPr>
          <w:rFonts w:ascii="MS PGothic" w:cs="MS PGothic" w:eastAsia="MS PGothic" w:hAnsi="MS PGothic"/>
          <w:sz w:val="16"/>
          <w:szCs w:val="16"/>
          <w:color w:val="auto"/>
        </w:rPr>
      </w:pPr>
    </w:p>
    <w:p>
      <w:pPr>
        <w:ind w:left="320" w:hanging="320"/>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248" w:lineRule="exact"/>
        <w:rPr>
          <w:rFonts w:ascii="MS PGothic" w:cs="MS PGothic" w:eastAsia="MS PGothic" w:hAnsi="MS PGothic"/>
          <w:sz w:val="16"/>
          <w:szCs w:val="16"/>
          <w:color w:val="auto"/>
        </w:rPr>
      </w:pPr>
    </w:p>
    <w:p>
      <w:pPr>
        <w:ind w:left="980" w:hanging="332"/>
        <w:spacing w:after="0"/>
        <w:tabs>
          <w:tab w:leader="none" w:pos="98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261" w:lineRule="exact"/>
        <w:rPr>
          <w:rFonts w:ascii="MS PGothic" w:cs="MS PGothic" w:eastAsia="MS PGothic" w:hAnsi="MS PGothic"/>
          <w:sz w:val="16"/>
          <w:szCs w:val="16"/>
          <w:color w:val="auto"/>
        </w:rPr>
      </w:pPr>
    </w:p>
    <w:p>
      <w:pPr>
        <w:ind w:left="980" w:hanging="332"/>
        <w:spacing w:after="0"/>
        <w:tabs>
          <w:tab w:leader="none" w:pos="98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Section 240.14a-12</w:t>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40"/>
        <w:spacing w:after="0"/>
        <w:rPr>
          <w:sz w:val="20"/>
          <w:szCs w:val="20"/>
          <w:color w:val="auto"/>
        </w:rPr>
      </w:pPr>
      <w:r>
        <w:rPr>
          <w:rFonts w:ascii="Arial" w:cs="Arial" w:eastAsia="Arial" w:hAnsi="Arial"/>
          <w:sz w:val="28"/>
          <w:szCs w:val="28"/>
          <w:b w:val="1"/>
          <w:bCs w:val="1"/>
          <w:color w:val="auto"/>
        </w:rPr>
        <w:t>JAZZ PHARMACEUTICALS PUBLIC LIMITED COMPANY</w:t>
      </w:r>
    </w:p>
    <w:p>
      <w:pPr>
        <w:spacing w:after="0" w:line="238" w:lineRule="exact"/>
        <w:rPr>
          <w:sz w:val="24"/>
          <w:szCs w:val="24"/>
          <w:color w:val="auto"/>
        </w:rPr>
      </w:pPr>
    </w:p>
    <w:p>
      <w:pPr>
        <w:jc w:val="center"/>
        <w:ind w:right="-14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21" w:lineRule="exact"/>
        <w:rPr>
          <w:sz w:val="24"/>
          <w:szCs w:val="24"/>
          <w:color w:val="auto"/>
        </w:rPr>
      </w:pPr>
    </w:p>
    <w:p>
      <w:pPr>
        <w:ind w:left="186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all boxes that apply):</w:t>
      </w:r>
    </w:p>
    <w:p>
      <w:pPr>
        <w:spacing w:after="0" w:line="221" w:lineRule="exact"/>
        <w:rPr>
          <w:sz w:val="24"/>
          <w:szCs w:val="24"/>
          <w:color w:val="auto"/>
        </w:rPr>
      </w:pPr>
    </w:p>
    <w:p>
      <w:pPr>
        <w:ind w:left="980" w:hanging="332"/>
        <w:spacing w:after="0"/>
        <w:tabs>
          <w:tab w:leader="none" w:pos="9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48" w:lineRule="exact"/>
        <w:rPr>
          <w:sz w:val="24"/>
          <w:szCs w:val="24"/>
          <w:color w:val="auto"/>
        </w:rPr>
      </w:pPr>
    </w:p>
    <w:p>
      <w:pPr>
        <w:ind w:left="980" w:hanging="332"/>
        <w:spacing w:after="0"/>
        <w:tabs>
          <w:tab w:leader="none" w:pos="9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21" w:lineRule="exact"/>
        <w:rPr>
          <w:rFonts w:ascii="MS PGothic" w:cs="MS PGothic" w:eastAsia="MS PGothic" w:hAnsi="MS PGothic"/>
          <w:sz w:val="16"/>
          <w:szCs w:val="16"/>
          <w:color w:val="auto"/>
        </w:rPr>
      </w:pPr>
    </w:p>
    <w:p>
      <w:pPr>
        <w:ind w:left="980" w:hanging="332"/>
        <w:spacing w:after="0"/>
        <w:tabs>
          <w:tab w:leader="none" w:pos="9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-629285</wp:posOffset>
            </wp:positionH>
            <wp:positionV relativeFrom="paragraph">
              <wp:posOffset>968375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-25400</wp:posOffset>
            </wp:positionH>
            <wp:positionV relativeFrom="paragraph">
              <wp:posOffset>226695</wp:posOffset>
            </wp:positionV>
            <wp:extent cx="59575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57570" cy="8890"/>
                    </a:xfrm>
                    <a:prstGeom prst="rect">
                      <a:avLst/>
                    </a:prstGeom>
                    <a:noFill/>
                  </pic:spPr>
                </pic:pic>
              </a:graphicData>
            </a:graphic>
          </wp:anchor>
        </w:drawing>
        <w:drawing>
          <wp:anchor simplePos="0" relativeHeight="251657728" behindDoc="1" locked="0" layoutInCell="0" allowOverlap="1">
            <wp:simplePos x="0" y="0"/>
            <wp:positionH relativeFrom="column">
              <wp:posOffset>-25400</wp:posOffset>
            </wp:positionH>
            <wp:positionV relativeFrom="paragraph">
              <wp:posOffset>158115</wp:posOffset>
            </wp:positionV>
            <wp:extent cx="59575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57570" cy="8890"/>
                    </a:xfrm>
                    <a:prstGeom prst="rect">
                      <a:avLst/>
                    </a:prstGeom>
                    <a:noFill/>
                  </pic:spPr>
                </pic:pic>
              </a:graphicData>
            </a:graphic>
          </wp:anchor>
        </w:drawing>
      </w:r>
    </w:p>
    <w:p>
      <w:pPr>
        <w:sectPr>
          <w:pgSz w:w="11900" w:h="16838" w:orient="portrait"/>
          <w:cols w:equalWidth="0" w:num="1">
            <w:col w:w="9159"/>
          </w:cols>
          <w:pgMar w:left="1300" w:top="1440" w:right="1440" w:bottom="1440" w:gutter="0" w:footer="0" w:header="0"/>
        </w:sectPr>
      </w:pPr>
    </w:p>
    <w:bookmarkStart w:id="1" w:name="page2"/>
    <w:bookmarkEnd w:id="1"/>
    <w:p>
      <w:pPr>
        <w:jc w:val="center"/>
        <w:ind w:left="1180" w:right="1020"/>
        <w:spacing w:after="0" w:line="264" w:lineRule="auto"/>
        <w:rPr>
          <w:sz w:val="20"/>
          <w:szCs w:val="20"/>
          <w:color w:val="auto"/>
        </w:rPr>
      </w:pPr>
      <w:r>
        <w:rPr>
          <w:rFonts w:ascii="Arial" w:cs="Arial" w:eastAsia="Arial" w:hAnsi="Arial"/>
          <w:sz w:val="40"/>
          <w:szCs w:val="40"/>
          <w:b w:val="1"/>
          <w:bCs w:val="1"/>
          <w:color w:val="852166"/>
        </w:rPr>
        <w:drawing>
          <wp:anchor simplePos="0" relativeHeight="251657728" behindDoc="1" locked="0" layoutInCell="0" allowOverlap="1">
            <wp:simplePos x="0" y="0"/>
            <wp:positionH relativeFrom="page">
              <wp:posOffset>2856865</wp:posOffset>
            </wp:positionH>
            <wp:positionV relativeFrom="page">
              <wp:posOffset>466090</wp:posOffset>
            </wp:positionV>
            <wp:extent cx="1834515"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34515" cy="308610"/>
                    </a:xfrm>
                    <a:prstGeom prst="rect">
                      <a:avLst/>
                    </a:prstGeom>
                    <a:noFill/>
                  </pic:spPr>
                </pic:pic>
              </a:graphicData>
            </a:graphic>
          </wp:anchor>
        </w:drawing>
        <w:t>NOTICE OF 2024 ANNUAL GENERAL MEETING OF SHAREHOLDERS</w:t>
      </w:r>
    </w:p>
    <w:p>
      <w:pPr>
        <w:spacing w:after="0" w:line="4"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852166"/>
        </w:rPr>
        <w:t>TO BE HELD ON JULY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27940</wp:posOffset>
            </wp:positionV>
            <wp:extent cx="1979930" cy="5511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79930" cy="5511800"/>
                    </a:xfrm>
                    <a:prstGeom prst="rect">
                      <a:avLst/>
                    </a:prstGeom>
                    <a:noFill/>
                  </pic:spPr>
                </pic:pic>
              </a:graphicData>
            </a:graphic>
          </wp:anchor>
        </w:drawing>
      </w:r>
    </w:p>
    <w:p>
      <w:pPr>
        <w:sectPr>
          <w:pgSz w:w="11900" w:h="16838" w:orient="portrait"/>
          <w:cols w:equalWidth="0" w:num="1">
            <w:col w:w="11080"/>
          </w:cols>
          <w:pgMar w:left="320" w:top="1348" w:right="499" w:bottom="1440" w:gutter="0" w:footer="0" w:header="0"/>
        </w:sectPr>
      </w:pPr>
    </w:p>
    <w:p>
      <w:pPr>
        <w:spacing w:after="0" w:line="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Dear Shareholder:</w:t>
      </w:r>
    </w:p>
    <w:p>
      <w:pPr>
        <w:spacing w:after="0" w:line="123" w:lineRule="exact"/>
        <w:rPr>
          <w:sz w:val="20"/>
          <w:szCs w:val="20"/>
          <w:color w:val="auto"/>
        </w:rPr>
      </w:pPr>
    </w:p>
    <w:p>
      <w:pPr>
        <w:ind w:left="20" w:right="20"/>
        <w:spacing w:after="0" w:line="269" w:lineRule="auto"/>
        <w:rPr>
          <w:sz w:val="20"/>
          <w:szCs w:val="20"/>
          <w:color w:val="auto"/>
        </w:rPr>
      </w:pPr>
      <w:r>
        <w:rPr>
          <w:rFonts w:ascii="Arial" w:cs="Arial" w:eastAsia="Arial" w:hAnsi="Arial"/>
          <w:sz w:val="14"/>
          <w:szCs w:val="14"/>
          <w:color w:val="auto"/>
        </w:rPr>
        <w:t>The 2024 annual general meeting of shareholders (the “annual meeting”) of Jazz Pharmaceuticals plc, a public limited company formed under the laws of Ireland (the “company”), will be held on Thursday, July 25, 2024, at 9:45 a.m. local time at our corporate headquarters located at Fifth Floor, Waterloo Exchange, Waterloo Road, Dublin 4, Ireland, for the following purposes:</w:t>
      </w:r>
    </w:p>
    <w:p>
      <w:pPr>
        <w:spacing w:after="0" w:line="75" w:lineRule="exact"/>
        <w:rPr>
          <w:sz w:val="20"/>
          <w:szCs w:val="20"/>
          <w:color w:val="auto"/>
        </w:rPr>
      </w:pPr>
    </w:p>
    <w:p>
      <w:pPr>
        <w:ind w:left="360" w:right="180" w:hanging="323"/>
        <w:spacing w:after="0" w:line="305" w:lineRule="auto"/>
        <w:rPr>
          <w:sz w:val="20"/>
          <w:szCs w:val="20"/>
          <w:color w:val="auto"/>
        </w:rPr>
      </w:pPr>
      <w:r>
        <w:rPr>
          <w:rFonts w:ascii="Arial" w:cs="Arial" w:eastAsia="Arial" w:hAnsi="Arial"/>
          <w:sz w:val="14"/>
          <w:szCs w:val="14"/>
          <w:color w:val="auto"/>
        </w:rPr>
        <w:t>1.    To elect by separate resolutions each of the four nominees for director named in the accompanying proxy statement (the “proxy statement”) to hold office until the 2027 annual meeting of shareholders (Proposal 1).</w:t>
      </w:r>
    </w:p>
    <w:p>
      <w:pPr>
        <w:spacing w:after="0" w:line="36" w:lineRule="exact"/>
        <w:rPr>
          <w:sz w:val="20"/>
          <w:szCs w:val="20"/>
          <w:color w:val="auto"/>
        </w:rPr>
      </w:pPr>
    </w:p>
    <w:p>
      <w:pPr>
        <w:jc w:val="center"/>
        <w:ind w:right="220"/>
        <w:spacing w:after="0"/>
        <w:rPr>
          <w:sz w:val="20"/>
          <w:szCs w:val="20"/>
          <w:color w:val="auto"/>
        </w:rPr>
      </w:pPr>
      <w:r>
        <w:rPr>
          <w:rFonts w:ascii="Arial" w:cs="Arial" w:eastAsia="Arial" w:hAnsi="Arial"/>
          <w:sz w:val="14"/>
          <w:szCs w:val="14"/>
          <w:color w:val="auto"/>
        </w:rPr>
        <w:t>2.     To ratify, on a non-binding advisory basis, the appointment of KPMG as our independent auditors for the fiscal year</w:t>
      </w:r>
    </w:p>
    <w:p>
      <w:pPr>
        <w:spacing w:after="0" w:line="29" w:lineRule="exact"/>
        <w:rPr>
          <w:sz w:val="20"/>
          <w:szCs w:val="20"/>
          <w:color w:val="auto"/>
        </w:rPr>
      </w:pPr>
    </w:p>
    <w:p>
      <w:pPr>
        <w:ind w:left="360" w:right="560"/>
        <w:spacing w:after="0" w:line="284" w:lineRule="auto"/>
        <w:rPr>
          <w:sz w:val="20"/>
          <w:szCs w:val="20"/>
          <w:color w:val="auto"/>
        </w:rPr>
      </w:pPr>
      <w:r>
        <w:rPr>
          <w:rFonts w:ascii="Arial" w:cs="Arial" w:eastAsia="Arial" w:hAnsi="Arial"/>
          <w:sz w:val="14"/>
          <w:szCs w:val="14"/>
          <w:color w:val="auto"/>
        </w:rPr>
        <w:t>ending December 31, 2024 and to authorize, in a binding vote, our board of directors, acting through our audit committee, to determine the independent auditors’ remuneration (Proposal 2).</w:t>
      </w:r>
    </w:p>
    <w:p>
      <w:pPr>
        <w:spacing w:after="0" w:line="64" w:lineRule="exact"/>
        <w:rPr>
          <w:sz w:val="20"/>
          <w:szCs w:val="20"/>
          <w:color w:val="auto"/>
        </w:rPr>
      </w:pPr>
    </w:p>
    <w:p>
      <w:pPr>
        <w:ind w:left="360" w:right="600" w:hanging="323"/>
        <w:spacing w:after="0" w:line="305" w:lineRule="auto"/>
        <w:rPr>
          <w:sz w:val="20"/>
          <w:szCs w:val="20"/>
          <w:color w:val="auto"/>
        </w:rPr>
      </w:pPr>
      <w:r>
        <w:rPr>
          <w:rFonts w:ascii="Arial" w:cs="Arial" w:eastAsia="Arial" w:hAnsi="Arial"/>
          <w:sz w:val="14"/>
          <w:szCs w:val="14"/>
          <w:color w:val="auto"/>
        </w:rPr>
        <w:t>3.    To approve, on a non-binding advisory basis, the compensation of our named executive officers, or NEOs, as disclosed in the accompanying proxy statement (Proposal 3).</w:t>
      </w:r>
    </w:p>
    <w:p>
      <w:pPr>
        <w:spacing w:after="0" w:line="36" w:lineRule="exact"/>
        <w:rPr>
          <w:sz w:val="20"/>
          <w:szCs w:val="20"/>
          <w:color w:val="auto"/>
        </w:rPr>
      </w:pPr>
    </w:p>
    <w:p>
      <w:pPr>
        <w:ind w:left="360" w:right="100" w:hanging="323"/>
        <w:spacing w:after="0" w:line="305" w:lineRule="auto"/>
        <w:rPr>
          <w:sz w:val="20"/>
          <w:szCs w:val="20"/>
          <w:color w:val="auto"/>
        </w:rPr>
      </w:pPr>
      <w:r>
        <w:rPr>
          <w:rFonts w:ascii="Arial" w:cs="Arial" w:eastAsia="Arial" w:hAnsi="Arial"/>
          <w:sz w:val="14"/>
          <w:szCs w:val="14"/>
          <w:color w:val="auto"/>
        </w:rPr>
        <w:t>4.    To indicate, on a non-binding advisory basis, the preferred frequency of the advisory vote on the compensation of our named executive officers (Proposal 4).</w:t>
      </w:r>
    </w:p>
    <w:p>
      <w:pPr>
        <w:spacing w:after="0" w:line="50" w:lineRule="exact"/>
        <w:rPr>
          <w:sz w:val="20"/>
          <w:szCs w:val="20"/>
          <w:color w:val="auto"/>
        </w:rPr>
      </w:pPr>
    </w:p>
    <w:p>
      <w:pPr>
        <w:ind w:left="360" w:right="60" w:hanging="323"/>
        <w:spacing w:after="0" w:line="283" w:lineRule="auto"/>
        <w:rPr>
          <w:sz w:val="20"/>
          <w:szCs w:val="20"/>
          <w:color w:val="auto"/>
        </w:rPr>
      </w:pPr>
      <w:r>
        <w:rPr>
          <w:rFonts w:ascii="Arial" w:cs="Arial" w:eastAsia="Arial" w:hAnsi="Arial"/>
          <w:sz w:val="14"/>
          <w:szCs w:val="14"/>
          <w:color w:val="auto"/>
        </w:rPr>
        <w:t>5.    To grant our board of directors authority under Irish law to allot and issue ordinary shares for cash without first offering those ordinary shares to existing shareholders pursuant to the statutory pre-emption right that would otherwise apply (Proposal 5).</w:t>
      </w:r>
    </w:p>
    <w:p>
      <w:pPr>
        <w:spacing w:after="0" w:line="51" w:lineRule="exact"/>
        <w:rPr>
          <w:sz w:val="20"/>
          <w:szCs w:val="20"/>
          <w:color w:val="auto"/>
        </w:rPr>
      </w:pPr>
    </w:p>
    <w:p>
      <w:pPr>
        <w:ind w:left="360" w:hanging="323"/>
        <w:spacing w:after="0" w:line="305" w:lineRule="auto"/>
        <w:rPr>
          <w:sz w:val="20"/>
          <w:szCs w:val="20"/>
          <w:color w:val="auto"/>
        </w:rPr>
      </w:pPr>
      <w:r>
        <w:rPr>
          <w:rFonts w:ascii="Arial" w:cs="Arial" w:eastAsia="Arial" w:hAnsi="Arial"/>
          <w:sz w:val="14"/>
          <w:szCs w:val="14"/>
          <w:color w:val="auto"/>
        </w:rPr>
        <w:t>6.    To approve any motion to adjourn the annual meeting, or any adjournments thereof, to another time and place to solicit additional proxies if there are insufficient votes at the time of the annual meeting to approve Proposal 5 (Proposal 6).</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 conduct any other business properly brought before the annual meeting.</w:t>
      </w:r>
    </w:p>
    <w:p>
      <w:pPr>
        <w:spacing w:after="0" w:line="123" w:lineRule="exact"/>
        <w:rPr>
          <w:sz w:val="20"/>
          <w:szCs w:val="20"/>
          <w:color w:val="auto"/>
        </w:rPr>
      </w:pPr>
    </w:p>
    <w:p>
      <w:pPr>
        <w:jc w:val="both"/>
        <w:ind w:left="20" w:right="20"/>
        <w:spacing w:after="0" w:line="273" w:lineRule="auto"/>
        <w:rPr>
          <w:sz w:val="20"/>
          <w:szCs w:val="20"/>
          <w:color w:val="auto"/>
        </w:rPr>
      </w:pPr>
      <w:r>
        <w:rPr>
          <w:rFonts w:ascii="Arial" w:cs="Arial" w:eastAsia="Arial" w:hAnsi="Arial"/>
          <w:sz w:val="14"/>
          <w:szCs w:val="14"/>
          <w:color w:val="auto"/>
        </w:rPr>
        <w:t>Proposals 1, 2, 3, 4 and 6 are ordinary resolutions, requiring the affirmative vote of a majority of the votes cast (in person or by proxy) at the annual meeting. Proposal 5 is a special resolution, requiring the approval of not less than 75% of the votes cast (in person or by proxy) at the annual meeting.</w:t>
      </w:r>
    </w:p>
    <w:p>
      <w:pPr>
        <w:spacing w:after="0" w:line="72" w:lineRule="exact"/>
        <w:rPr>
          <w:sz w:val="20"/>
          <w:szCs w:val="20"/>
          <w:color w:val="auto"/>
        </w:rPr>
      </w:pPr>
    </w:p>
    <w:p>
      <w:pPr>
        <w:ind w:left="20" w:right="20"/>
        <w:spacing w:after="0" w:line="267" w:lineRule="auto"/>
        <w:rPr>
          <w:sz w:val="20"/>
          <w:szCs w:val="20"/>
          <w:color w:val="auto"/>
        </w:rPr>
      </w:pPr>
      <w:r>
        <w:rPr>
          <w:rFonts w:ascii="Arial" w:cs="Arial" w:eastAsia="Arial" w:hAnsi="Arial"/>
          <w:sz w:val="14"/>
          <w:szCs w:val="14"/>
          <w:color w:val="auto"/>
        </w:rPr>
        <w:t>In addition to the above proposals, the annual meeting will also receive and consider our Irish statutory financial statements for the fiscal year ended December 31, 2023 and the reports of the directors and auditors thereon. There is no requirement under Irish law that the Irish statutory financial statements be approved by the shareholders, and no such approval will be sought at the annual meeting. Under our Constitution (our “constitution”), and the Irish Companies Act 2014 (the “2014 Act”), Proposals 1 and 2 are deemed to be ordinary business, and Proposals 3, 4, 5 and 6 are deemed to be special business.</w:t>
      </w:r>
    </w:p>
    <w:p>
      <w:pPr>
        <w:spacing w:after="0" w:line="252" w:lineRule="exact"/>
        <w:rPr>
          <w:sz w:val="20"/>
          <w:szCs w:val="20"/>
          <w:color w:val="auto"/>
        </w:rPr>
      </w:pPr>
    </w:p>
    <w:p>
      <w:pPr>
        <w:ind w:left="20" w:right="120"/>
        <w:spacing w:after="0" w:line="269" w:lineRule="auto"/>
        <w:rPr>
          <w:sz w:val="20"/>
          <w:szCs w:val="20"/>
          <w:color w:val="auto"/>
        </w:rPr>
      </w:pPr>
      <w:r>
        <w:rPr>
          <w:rFonts w:ascii="Arial" w:cs="Arial" w:eastAsia="Arial" w:hAnsi="Arial"/>
          <w:sz w:val="14"/>
          <w:szCs w:val="14"/>
          <w:color w:val="auto"/>
        </w:rPr>
        <w:t>The record date for the annual meeting is May 29, 2024. Only shareholders of record at the close of business on that date may vote at the annual meeting or any adjournment or postponement thereof. The Notice of Internet Availability of Proxy Materials and our proxy materials, which include this proxy statement, our annual letter to shareholders and our 2023 Annual Report on Form 10-K, are first being mailed to shareholders on or about June 14, 2024.</w:t>
      </w:r>
    </w:p>
    <w:p>
      <w:pPr>
        <w:spacing w:after="0" w:line="75" w:lineRule="exact"/>
        <w:rPr>
          <w:sz w:val="20"/>
          <w:szCs w:val="20"/>
          <w:color w:val="auto"/>
        </w:rPr>
      </w:pPr>
    </w:p>
    <w:p>
      <w:pPr>
        <w:ind w:left="20" w:right="140"/>
        <w:spacing w:after="0" w:line="269" w:lineRule="auto"/>
        <w:rPr>
          <w:sz w:val="20"/>
          <w:szCs w:val="20"/>
          <w:color w:val="auto"/>
        </w:rPr>
      </w:pPr>
      <w:r>
        <w:rPr>
          <w:rFonts w:ascii="Arial" w:cs="Arial" w:eastAsia="Arial" w:hAnsi="Arial"/>
          <w:sz w:val="14"/>
          <w:szCs w:val="14"/>
          <w:color w:val="auto"/>
        </w:rPr>
        <w:t>A shareholder entitled to attend and vote at the annual meeting is entitled to appoint one or more proxies to attend, speak and vote instead of him or her at the annual meeting, using the proxy card provided (or the form of proxy contained in section 184 of the 2014 Act) or using an electronic proxy card by telephone or via the internet in the manner described in this proxy statement. A proxy need not be a shareholder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7140575" cy="6254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6254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right="80"/>
        <w:spacing w:after="0" w:line="277" w:lineRule="auto"/>
        <w:rPr>
          <w:sz w:val="20"/>
          <w:szCs w:val="20"/>
          <w:color w:val="auto"/>
        </w:rPr>
      </w:pPr>
      <w:r>
        <w:rPr>
          <w:rFonts w:ascii="Arial" w:cs="Arial" w:eastAsia="Arial" w:hAnsi="Arial"/>
          <w:sz w:val="14"/>
          <w:szCs w:val="14"/>
          <w:b w:val="1"/>
          <w:bCs w:val="1"/>
          <w:color w:val="auto"/>
        </w:rPr>
        <w:t>Whether or not you expect to attend the meeting, please vote as soon as possible. You may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-450215</wp:posOffset>
            </wp:positionV>
            <wp:extent cx="1894205" cy="5452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94205" cy="545211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-450215</wp:posOffset>
            </wp:positionV>
            <wp:extent cx="1894205" cy="5452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94205" cy="5452110"/>
                    </a:xfrm>
                    <a:prstGeom prst="rect">
                      <a:avLst/>
                    </a:prstGeom>
                    <a:noFill/>
                  </pic:spPr>
                </pic:pic>
              </a:graphicData>
            </a:graphic>
          </wp:anchor>
        </w:drawing>
      </w:r>
    </w:p>
    <w:p>
      <w:pPr>
        <w:spacing w:after="0" w:line="84" w:lineRule="exact"/>
        <w:rPr>
          <w:sz w:val="20"/>
          <w:szCs w:val="20"/>
          <w:color w:val="auto"/>
        </w:rPr>
      </w:pPr>
    </w:p>
    <w:p>
      <w:pPr>
        <w:ind w:left="800" w:right="660"/>
        <w:spacing w:after="0" w:line="394" w:lineRule="auto"/>
        <w:rPr>
          <w:sz w:val="20"/>
          <w:szCs w:val="20"/>
          <w:color w:val="auto"/>
        </w:rPr>
      </w:pPr>
      <w:r>
        <w:rPr>
          <w:rFonts w:ascii="Arial" w:cs="Arial" w:eastAsia="Arial" w:hAnsi="Arial"/>
          <w:sz w:val="14"/>
          <w:szCs w:val="14"/>
          <w:b w:val="1"/>
          <w:bCs w:val="1"/>
          <w:color w:val="auto"/>
        </w:rPr>
        <w:t>Over the Telephone 1-800-690-6903</w:t>
      </w:r>
    </w:p>
    <w:p>
      <w:pPr>
        <w:spacing w:after="0" w:line="79" w:lineRule="exact"/>
        <w:rPr>
          <w:sz w:val="20"/>
          <w:szCs w:val="20"/>
          <w:color w:val="auto"/>
        </w:rPr>
      </w:pPr>
    </w:p>
    <w:p>
      <w:pPr>
        <w:ind w:left="800" w:right="600"/>
        <w:spacing w:after="0" w:line="382" w:lineRule="auto"/>
        <w:rPr>
          <w:sz w:val="20"/>
          <w:szCs w:val="20"/>
          <w:color w:val="auto"/>
        </w:rPr>
      </w:pPr>
      <w:r>
        <w:rPr>
          <w:rFonts w:ascii="Arial" w:cs="Arial" w:eastAsia="Arial" w:hAnsi="Arial"/>
          <w:sz w:val="14"/>
          <w:szCs w:val="14"/>
          <w:b w:val="1"/>
          <w:bCs w:val="1"/>
          <w:color w:val="auto"/>
        </w:rPr>
        <w:t>Via the Internet www.proxyvote.com</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By Mail</w:t>
      </w:r>
    </w:p>
    <w:p>
      <w:pPr>
        <w:spacing w:after="0" w:line="69" w:lineRule="exact"/>
        <w:rPr>
          <w:sz w:val="20"/>
          <w:szCs w:val="20"/>
          <w:color w:val="auto"/>
        </w:rPr>
      </w:pPr>
    </w:p>
    <w:p>
      <w:pPr>
        <w:ind w:left="800" w:right="220"/>
        <w:spacing w:after="0" w:line="294" w:lineRule="auto"/>
        <w:rPr>
          <w:sz w:val="20"/>
          <w:szCs w:val="20"/>
          <w:color w:val="auto"/>
        </w:rPr>
      </w:pPr>
      <w:r>
        <w:rPr>
          <w:rFonts w:ascii="Arial" w:cs="Arial" w:eastAsia="Arial" w:hAnsi="Arial"/>
          <w:sz w:val="14"/>
          <w:szCs w:val="14"/>
          <w:b w:val="1"/>
          <w:bCs w:val="1"/>
          <w:color w:val="auto"/>
        </w:rPr>
        <w:t>Complete, sign and return proxy card</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In Person</w:t>
      </w:r>
    </w:p>
    <w:p>
      <w:pPr>
        <w:spacing w:after="0" w:line="69"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Attend Annual Meeting</w:t>
      </w:r>
    </w:p>
    <w:p>
      <w:pPr>
        <w:spacing w:after="0" w:line="163"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If you received a proxy card or voting instruction card by mail, you may submit your proxy card or voting instruction card by mailing your proxy card or voting instruction card in the envelope provided. Proxy cards must be received by July 24, 2024. Electronic proxy cards submitted via the internet or by telephone must be received by 11:59 p.m., U.S. Eastern Time, on July 24,</w:t>
      </w:r>
    </w:p>
    <w:p>
      <w:pPr>
        <w:spacing w:after="0" w:line="5"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2024. It may not be possible to count proxy cards received after the relevant time towards voting. Proxy cards received will be forwarded to our registered office electronically before commencement of the annual meeting to comply with Irish law. Even if you have voted by proxy, you may still vote in person if you attend the meeting. Please note, however, that if the record holder of your ordinary shares is a broker, bank or other agent, and you wish to vote at the meeting, you must obtain a proxy issued in your name from that record holder.</w:t>
      </w:r>
    </w:p>
    <w:p>
      <w:pPr>
        <w:spacing w:after="0" w:line="446" w:lineRule="exact"/>
        <w:rPr>
          <w:sz w:val="20"/>
          <w:szCs w:val="20"/>
          <w:color w:val="auto"/>
        </w:rPr>
      </w:pPr>
    </w:p>
    <w:p>
      <w:pPr>
        <w:sectPr>
          <w:pgSz w:w="11900" w:h="16838" w:orient="portrait"/>
          <w:cols w:equalWidth="0" w:num="2">
            <w:col w:w="7880" w:space="400"/>
            <w:col w:w="2800"/>
          </w:cols>
          <w:pgMar w:left="320" w:top="1348"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1240" w:right="1040" w:hanging="26"/>
        <w:spacing w:after="0" w:line="294" w:lineRule="auto"/>
        <w:rPr>
          <w:sz w:val="20"/>
          <w:szCs w:val="20"/>
          <w:color w:val="auto"/>
        </w:rPr>
      </w:pPr>
      <w:r>
        <w:rPr>
          <w:rFonts w:ascii="Arial" w:cs="Arial" w:eastAsia="Arial" w:hAnsi="Arial"/>
          <w:sz w:val="14"/>
          <w:szCs w:val="14"/>
          <w:b w:val="1"/>
          <w:bCs w:val="1"/>
          <w:color w:val="auto"/>
        </w:rPr>
        <w:t>Important Notice Regarding the Availability of Proxy Materials for the annual meeting of shareholders to be held on July 25, 2024, at 9:45 a.m. local time at our corporate headquarters located at Fifth Floor, Waterloo Exchange, Waterloo Road, Dublin 4, Ireland.</w:t>
      </w:r>
    </w:p>
    <w:p>
      <w:pPr>
        <w:spacing w:after="0" w:line="159" w:lineRule="exact"/>
        <w:rPr>
          <w:sz w:val="20"/>
          <w:szCs w:val="20"/>
          <w:color w:val="auto"/>
        </w:rPr>
      </w:pPr>
    </w:p>
    <w:p>
      <w:pPr>
        <w:jc w:val="center"/>
        <w:ind w:left="1500"/>
        <w:spacing w:after="0" w:line="314" w:lineRule="auto"/>
        <w:rPr>
          <w:sz w:val="20"/>
          <w:szCs w:val="20"/>
          <w:color w:val="auto"/>
        </w:rPr>
      </w:pPr>
      <w:r>
        <w:rPr>
          <w:rFonts w:ascii="Arial" w:cs="Arial" w:eastAsia="Arial" w:hAnsi="Arial"/>
          <w:sz w:val="14"/>
          <w:szCs w:val="14"/>
          <w:b w:val="1"/>
          <w:bCs w:val="1"/>
          <w:color w:val="auto"/>
        </w:rPr>
        <w:t>The proxy statement, our letter to shareholders, our Irish statutory financial statements and our 2023 Annual Report on Form 10-K are available at https://materials.proxyvote.com/G50871.</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By order of our board of directors,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/s/ Aislinn Doody</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Aislinn Doody, Company Secretary</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Dublin, Ireland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June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439420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48" w:right="499" w:bottom="1440" w:gutter="0" w:footer="0" w:header="0"/>
          <w:type w:val="continuous"/>
        </w:sectPr>
      </w:pPr>
    </w:p>
    <w:bookmarkStart w:id="2" w:name="page3"/>
    <w:bookmarkEnd w:id="2"/>
    <w:p>
      <w:pPr>
        <w:spacing w:after="0"/>
        <w:rPr>
          <w:sz w:val="20"/>
          <w:szCs w:val="20"/>
          <w:color w:val="auto"/>
        </w:rPr>
      </w:pPr>
      <w:r>
        <w:rPr>
          <w:rFonts w:ascii="Arial" w:cs="Arial" w:eastAsia="Arial" w:hAnsi="Arial"/>
          <w:sz w:val="40"/>
          <w:szCs w:val="40"/>
          <w:b w:val="1"/>
          <w:bCs w:val="1"/>
          <w:color w:val="852166"/>
        </w:rPr>
        <w:t>TABLE OF CONTENTS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852166"/>
              </w:rPr>
              <w:t>PROXY OVERVIEW</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870064"/>
              </w:rPr>
              <w:t>1</w:t>
            </w:r>
          </w:p>
        </w:tc>
      </w:tr>
      <w:tr>
        <w:trPr>
          <w:trHeight w:val="216"/>
        </w:trPr>
        <w:tc>
          <w:tcPr>
            <w:tcW w:w="4940" w:type="dxa"/>
            <w:vAlign w:val="bottom"/>
          </w:tcPr>
          <w:p>
            <w:pPr>
              <w:ind w:left="20"/>
              <w:spacing w:after="0"/>
              <w:rPr>
                <w:sz w:val="20"/>
                <w:szCs w:val="20"/>
                <w:color w:val="auto"/>
              </w:rPr>
            </w:pPr>
            <w:r>
              <w:rPr>
                <w:rFonts w:ascii="Arial" w:cs="Arial" w:eastAsia="Arial" w:hAnsi="Arial"/>
                <w:sz w:val="14"/>
                <w:szCs w:val="14"/>
                <w:color w:val="auto"/>
              </w:rPr>
              <w:t>Business Overview</w:t>
            </w: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29"/>
        </w:trPr>
        <w:tc>
          <w:tcPr>
            <w:tcW w:w="4940" w:type="dxa"/>
            <w:vAlign w:val="bottom"/>
          </w:tcPr>
          <w:p>
            <w:pPr>
              <w:ind w:left="20"/>
              <w:spacing w:after="0"/>
              <w:rPr>
                <w:sz w:val="20"/>
                <w:szCs w:val="20"/>
                <w:color w:val="auto"/>
              </w:rPr>
            </w:pPr>
            <w:r>
              <w:rPr>
                <w:rFonts w:ascii="Arial" w:cs="Arial" w:eastAsia="Arial" w:hAnsi="Arial"/>
                <w:sz w:val="14"/>
                <w:szCs w:val="14"/>
                <w:color w:val="auto"/>
              </w:rPr>
              <w:t>Information About our Board of Directors</w:t>
            </w: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4940" w:type="dxa"/>
            <w:vAlign w:val="bottom"/>
          </w:tcPr>
          <w:p>
            <w:pPr>
              <w:ind w:left="20"/>
              <w:spacing w:after="0"/>
              <w:rPr>
                <w:sz w:val="20"/>
                <w:szCs w:val="20"/>
                <w:color w:val="auto"/>
              </w:rPr>
            </w:pPr>
            <w:r>
              <w:rPr>
                <w:rFonts w:ascii="Arial" w:cs="Arial" w:eastAsia="Arial" w:hAnsi="Arial"/>
                <w:sz w:val="14"/>
                <w:szCs w:val="14"/>
                <w:color w:val="auto"/>
              </w:rPr>
              <w:t>Shareholder and Other Stakeholder Engagement</w:t>
            </w:r>
          </w:p>
        </w:tc>
        <w:tc>
          <w:tcPr>
            <w:tcW w:w="50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43"/>
        </w:trPr>
        <w:tc>
          <w:tcPr>
            <w:tcW w:w="4940" w:type="dxa"/>
            <w:vAlign w:val="bottom"/>
          </w:tcPr>
          <w:p>
            <w:pPr>
              <w:ind w:left="20"/>
              <w:spacing w:after="0"/>
              <w:rPr>
                <w:sz w:val="20"/>
                <w:szCs w:val="20"/>
                <w:color w:val="auto"/>
              </w:rPr>
            </w:pPr>
            <w:r>
              <w:rPr>
                <w:rFonts w:ascii="Arial" w:cs="Arial" w:eastAsia="Arial" w:hAnsi="Arial"/>
                <w:sz w:val="14"/>
                <w:szCs w:val="14"/>
                <w:color w:val="auto"/>
              </w:rPr>
              <w:t>Corporate Sustainability and Social Impact</w:t>
            </w:r>
          </w:p>
        </w:tc>
        <w:tc>
          <w:tcPr>
            <w:tcW w:w="50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29"/>
        </w:trPr>
        <w:tc>
          <w:tcPr>
            <w:tcW w:w="4940" w:type="dxa"/>
            <w:vAlign w:val="bottom"/>
          </w:tcPr>
          <w:p>
            <w:pPr>
              <w:ind w:left="20"/>
              <w:spacing w:after="0"/>
              <w:rPr>
                <w:sz w:val="20"/>
                <w:szCs w:val="20"/>
                <w:color w:val="auto"/>
              </w:rPr>
            </w:pPr>
            <w:r>
              <w:rPr>
                <w:rFonts w:ascii="Arial" w:cs="Arial" w:eastAsia="Arial" w:hAnsi="Arial"/>
                <w:sz w:val="14"/>
                <w:szCs w:val="14"/>
                <w:color w:val="auto"/>
              </w:rPr>
              <w:t>Summary of Shareholder Voting Matters and Board Recommendations</w:t>
            </w:r>
          </w:p>
        </w:tc>
        <w:tc>
          <w:tcPr>
            <w:tcW w:w="50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37"/>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852166"/>
              </w:rPr>
              <w:t>GENERAL</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870064"/>
              </w:rPr>
              <w:t>13</w:t>
            </w:r>
          </w:p>
        </w:tc>
      </w:tr>
      <w:tr>
        <w:trPr>
          <w:trHeight w:val="223"/>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852166"/>
              </w:rPr>
              <w:t>PROPOSAL 1 ELECTION OF DIRECTORS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870064"/>
              </w:rPr>
              <w:t>14</w:t>
            </w:r>
          </w:p>
        </w:tc>
      </w:tr>
      <w:tr>
        <w:trPr>
          <w:trHeight w:val="223"/>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852166"/>
              </w:rPr>
              <w:t>CORPORATE GOVERNANCE AND BOARD MATTERS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870064"/>
              </w:rPr>
              <w:t>22</w:t>
            </w:r>
          </w:p>
        </w:tc>
      </w:tr>
      <w:tr>
        <w:trPr>
          <w:trHeight w:val="216"/>
        </w:trPr>
        <w:tc>
          <w:tcPr>
            <w:tcW w:w="4940" w:type="dxa"/>
            <w:vAlign w:val="bottom"/>
          </w:tcPr>
          <w:p>
            <w:pPr>
              <w:ind w:left="20"/>
              <w:spacing w:after="0"/>
              <w:rPr>
                <w:sz w:val="20"/>
                <w:szCs w:val="20"/>
                <w:color w:val="auto"/>
              </w:rPr>
            </w:pPr>
            <w:r>
              <w:rPr>
                <w:rFonts w:ascii="Arial" w:cs="Arial" w:eastAsia="Arial" w:hAnsi="Arial"/>
                <w:sz w:val="14"/>
                <w:szCs w:val="14"/>
                <w:color w:val="auto"/>
              </w:rPr>
              <w:t>Overview</w:t>
            </w:r>
          </w:p>
        </w:tc>
        <w:tc>
          <w:tcPr>
            <w:tcW w:w="50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16"/>
        </w:trPr>
        <w:tc>
          <w:tcPr>
            <w:tcW w:w="4940" w:type="dxa"/>
            <w:vAlign w:val="bottom"/>
          </w:tcPr>
          <w:p>
            <w:pPr>
              <w:ind w:left="20"/>
              <w:spacing w:after="0"/>
              <w:rPr>
                <w:sz w:val="20"/>
                <w:szCs w:val="20"/>
                <w:color w:val="auto"/>
              </w:rPr>
            </w:pPr>
            <w:r>
              <w:rPr>
                <w:rFonts w:ascii="Arial" w:cs="Arial" w:eastAsia="Arial" w:hAnsi="Arial"/>
                <w:sz w:val="14"/>
                <w:szCs w:val="14"/>
                <w:color w:val="auto"/>
              </w:rPr>
              <w:t>Board Leadership Structure</w:t>
            </w:r>
          </w:p>
        </w:tc>
        <w:tc>
          <w:tcPr>
            <w:tcW w:w="50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29"/>
        </w:trPr>
        <w:tc>
          <w:tcPr>
            <w:tcW w:w="4940" w:type="dxa"/>
            <w:vAlign w:val="bottom"/>
          </w:tcPr>
          <w:p>
            <w:pPr>
              <w:ind w:left="20"/>
              <w:spacing w:after="0"/>
              <w:rPr>
                <w:sz w:val="20"/>
                <w:szCs w:val="20"/>
                <w:color w:val="auto"/>
              </w:rPr>
            </w:pPr>
            <w:r>
              <w:rPr>
                <w:rFonts w:ascii="Arial" w:cs="Arial" w:eastAsia="Arial" w:hAnsi="Arial"/>
                <w:sz w:val="14"/>
                <w:szCs w:val="14"/>
                <w:color w:val="auto"/>
              </w:rPr>
              <w:t>Lead Independent Director</w:t>
            </w:r>
          </w:p>
        </w:tc>
        <w:tc>
          <w:tcPr>
            <w:tcW w:w="50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29"/>
        </w:trPr>
        <w:tc>
          <w:tcPr>
            <w:tcW w:w="4940" w:type="dxa"/>
            <w:vAlign w:val="bottom"/>
          </w:tcPr>
          <w:p>
            <w:pPr>
              <w:ind w:left="20"/>
              <w:spacing w:after="0"/>
              <w:rPr>
                <w:sz w:val="20"/>
                <w:szCs w:val="20"/>
                <w:color w:val="auto"/>
              </w:rPr>
            </w:pPr>
            <w:r>
              <w:rPr>
                <w:rFonts w:ascii="Arial" w:cs="Arial" w:eastAsia="Arial" w:hAnsi="Arial"/>
                <w:sz w:val="14"/>
                <w:szCs w:val="14"/>
                <w:color w:val="auto"/>
              </w:rPr>
              <w:t>Classified Board Structure</w:t>
            </w:r>
          </w:p>
        </w:tc>
        <w:tc>
          <w:tcPr>
            <w:tcW w:w="50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30"/>
        </w:trPr>
        <w:tc>
          <w:tcPr>
            <w:tcW w:w="4940" w:type="dxa"/>
            <w:vAlign w:val="bottom"/>
          </w:tcPr>
          <w:p>
            <w:pPr>
              <w:ind w:left="20"/>
              <w:spacing w:after="0"/>
              <w:rPr>
                <w:sz w:val="20"/>
                <w:szCs w:val="20"/>
                <w:color w:val="auto"/>
              </w:rPr>
            </w:pPr>
            <w:r>
              <w:rPr>
                <w:rFonts w:ascii="Arial" w:cs="Arial" w:eastAsia="Arial" w:hAnsi="Arial"/>
                <w:sz w:val="14"/>
                <w:szCs w:val="14"/>
                <w:color w:val="auto"/>
              </w:rPr>
              <w:t>Independence of our Board</w:t>
            </w:r>
          </w:p>
        </w:tc>
        <w:tc>
          <w:tcPr>
            <w:tcW w:w="50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29"/>
        </w:trPr>
        <w:tc>
          <w:tcPr>
            <w:tcW w:w="4940" w:type="dxa"/>
            <w:vAlign w:val="bottom"/>
          </w:tcPr>
          <w:p>
            <w:pPr>
              <w:ind w:left="20"/>
              <w:spacing w:after="0"/>
              <w:rPr>
                <w:sz w:val="20"/>
                <w:szCs w:val="20"/>
                <w:color w:val="auto"/>
              </w:rPr>
            </w:pPr>
            <w:r>
              <w:rPr>
                <w:rFonts w:ascii="Arial" w:cs="Arial" w:eastAsia="Arial" w:hAnsi="Arial"/>
                <w:sz w:val="14"/>
                <w:szCs w:val="14"/>
                <w:color w:val="auto"/>
              </w:rPr>
              <w:t>Director Commitments</w:t>
            </w:r>
          </w:p>
        </w:tc>
        <w:tc>
          <w:tcPr>
            <w:tcW w:w="50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30"/>
        </w:trPr>
        <w:tc>
          <w:tcPr>
            <w:tcW w:w="4940" w:type="dxa"/>
            <w:vAlign w:val="bottom"/>
          </w:tcPr>
          <w:p>
            <w:pPr>
              <w:ind w:left="20"/>
              <w:spacing w:after="0"/>
              <w:rPr>
                <w:sz w:val="20"/>
                <w:szCs w:val="20"/>
                <w:color w:val="auto"/>
              </w:rPr>
            </w:pPr>
            <w:r>
              <w:rPr>
                <w:rFonts w:ascii="Arial" w:cs="Arial" w:eastAsia="Arial" w:hAnsi="Arial"/>
                <w:sz w:val="14"/>
                <w:szCs w:val="14"/>
                <w:color w:val="auto"/>
              </w:rPr>
              <w:t>Board Evaluation</w:t>
            </w:r>
          </w:p>
        </w:tc>
        <w:tc>
          <w:tcPr>
            <w:tcW w:w="50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29"/>
        </w:trPr>
        <w:tc>
          <w:tcPr>
            <w:tcW w:w="4940" w:type="dxa"/>
            <w:vAlign w:val="bottom"/>
          </w:tcPr>
          <w:p>
            <w:pPr>
              <w:ind w:left="20"/>
              <w:spacing w:after="0"/>
              <w:rPr>
                <w:sz w:val="20"/>
                <w:szCs w:val="20"/>
                <w:color w:val="auto"/>
              </w:rPr>
            </w:pPr>
            <w:r>
              <w:rPr>
                <w:rFonts w:ascii="Arial" w:cs="Arial" w:eastAsia="Arial" w:hAnsi="Arial"/>
                <w:sz w:val="14"/>
                <w:szCs w:val="14"/>
                <w:color w:val="auto"/>
              </w:rPr>
              <w:t>Board Refreshment</w:t>
            </w:r>
          </w:p>
        </w:tc>
        <w:tc>
          <w:tcPr>
            <w:tcW w:w="50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29"/>
        </w:trPr>
        <w:tc>
          <w:tcPr>
            <w:tcW w:w="4940" w:type="dxa"/>
            <w:vAlign w:val="bottom"/>
          </w:tcPr>
          <w:p>
            <w:pPr>
              <w:ind w:left="20"/>
              <w:spacing w:after="0"/>
              <w:rPr>
                <w:sz w:val="20"/>
                <w:szCs w:val="20"/>
                <w:color w:val="auto"/>
              </w:rPr>
            </w:pPr>
            <w:r>
              <w:rPr>
                <w:rFonts w:ascii="Arial" w:cs="Arial" w:eastAsia="Arial" w:hAnsi="Arial"/>
                <w:sz w:val="14"/>
                <w:szCs w:val="14"/>
                <w:color w:val="auto"/>
              </w:rPr>
              <w:t>Committees of our Board</w:t>
            </w:r>
          </w:p>
        </w:tc>
        <w:tc>
          <w:tcPr>
            <w:tcW w:w="50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30"/>
        </w:trPr>
        <w:tc>
          <w:tcPr>
            <w:tcW w:w="4940" w:type="dxa"/>
            <w:vAlign w:val="bottom"/>
          </w:tcPr>
          <w:p>
            <w:pPr>
              <w:ind w:left="20"/>
              <w:spacing w:after="0"/>
              <w:rPr>
                <w:sz w:val="20"/>
                <w:szCs w:val="20"/>
                <w:color w:val="auto"/>
              </w:rPr>
            </w:pPr>
            <w:r>
              <w:rPr>
                <w:rFonts w:ascii="Arial" w:cs="Arial" w:eastAsia="Arial" w:hAnsi="Arial"/>
                <w:sz w:val="14"/>
                <w:szCs w:val="14"/>
                <w:color w:val="auto"/>
              </w:rPr>
              <w:t>Board and Committee Information</w:t>
            </w:r>
          </w:p>
        </w:tc>
        <w:tc>
          <w:tcPr>
            <w:tcW w:w="50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29"/>
        </w:trPr>
        <w:tc>
          <w:tcPr>
            <w:tcW w:w="4940" w:type="dxa"/>
            <w:vAlign w:val="bottom"/>
          </w:tcPr>
          <w:p>
            <w:pPr>
              <w:ind w:left="20"/>
              <w:spacing w:after="0"/>
              <w:rPr>
                <w:sz w:val="20"/>
                <w:szCs w:val="20"/>
                <w:color w:val="auto"/>
              </w:rPr>
            </w:pPr>
            <w:r>
              <w:rPr>
                <w:rFonts w:ascii="Arial" w:cs="Arial" w:eastAsia="Arial" w:hAnsi="Arial"/>
                <w:sz w:val="14"/>
                <w:szCs w:val="14"/>
                <w:color w:val="auto"/>
              </w:rPr>
              <w:t>Audit Committee</w:t>
            </w:r>
          </w:p>
        </w:tc>
        <w:tc>
          <w:tcPr>
            <w:tcW w:w="50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29"/>
        </w:trPr>
        <w:tc>
          <w:tcPr>
            <w:tcW w:w="4940" w:type="dxa"/>
            <w:vAlign w:val="bottom"/>
          </w:tcPr>
          <w:p>
            <w:pPr>
              <w:ind w:left="20"/>
              <w:spacing w:after="0"/>
              <w:rPr>
                <w:sz w:val="20"/>
                <w:szCs w:val="20"/>
                <w:color w:val="auto"/>
              </w:rPr>
            </w:pPr>
            <w:r>
              <w:rPr>
                <w:rFonts w:ascii="Arial" w:cs="Arial" w:eastAsia="Arial" w:hAnsi="Arial"/>
                <w:sz w:val="14"/>
                <w:szCs w:val="14"/>
                <w:color w:val="auto"/>
              </w:rPr>
              <w:t>Compensation and Management Development Committee</w:t>
            </w:r>
          </w:p>
        </w:tc>
        <w:tc>
          <w:tcPr>
            <w:tcW w:w="50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30"/>
        </w:trPr>
        <w:tc>
          <w:tcPr>
            <w:tcW w:w="4940" w:type="dxa"/>
            <w:vAlign w:val="bottom"/>
          </w:tcPr>
          <w:p>
            <w:pPr>
              <w:ind w:left="20"/>
              <w:spacing w:after="0"/>
              <w:rPr>
                <w:sz w:val="20"/>
                <w:szCs w:val="20"/>
                <w:color w:val="auto"/>
              </w:rPr>
            </w:pPr>
            <w:r>
              <w:rPr>
                <w:rFonts w:ascii="Arial" w:cs="Arial" w:eastAsia="Arial" w:hAnsi="Arial"/>
                <w:sz w:val="14"/>
                <w:szCs w:val="14"/>
                <w:color w:val="auto"/>
              </w:rPr>
              <w:t>Compensation Committee Processes and Procedures</w:t>
            </w:r>
          </w:p>
        </w:tc>
        <w:tc>
          <w:tcPr>
            <w:tcW w:w="50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29"/>
        </w:trPr>
        <w:tc>
          <w:tcPr>
            <w:tcW w:w="4940" w:type="dxa"/>
            <w:vAlign w:val="bottom"/>
          </w:tcPr>
          <w:p>
            <w:pPr>
              <w:ind w:left="20"/>
              <w:spacing w:after="0"/>
              <w:rPr>
                <w:sz w:val="20"/>
                <w:szCs w:val="20"/>
                <w:color w:val="auto"/>
              </w:rPr>
            </w:pPr>
            <w:r>
              <w:rPr>
                <w:rFonts w:ascii="Arial" w:cs="Arial" w:eastAsia="Arial" w:hAnsi="Arial"/>
                <w:sz w:val="14"/>
                <w:szCs w:val="14"/>
                <w:color w:val="auto"/>
              </w:rPr>
              <w:t>Nominating and Corporate Governance Committee</w:t>
            </w:r>
          </w:p>
        </w:tc>
        <w:tc>
          <w:tcPr>
            <w:tcW w:w="50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30"/>
        </w:trPr>
        <w:tc>
          <w:tcPr>
            <w:tcW w:w="4940" w:type="dxa"/>
            <w:vAlign w:val="bottom"/>
          </w:tcPr>
          <w:p>
            <w:pPr>
              <w:ind w:left="20"/>
              <w:spacing w:after="0"/>
              <w:rPr>
                <w:sz w:val="20"/>
                <w:szCs w:val="20"/>
                <w:color w:val="auto"/>
              </w:rPr>
            </w:pPr>
            <w:r>
              <w:rPr>
                <w:rFonts w:ascii="Arial" w:cs="Arial" w:eastAsia="Arial" w:hAnsi="Arial"/>
                <w:sz w:val="14"/>
                <w:szCs w:val="14"/>
                <w:color w:val="auto"/>
              </w:rPr>
              <w:t>Science and Medicine Committee</w:t>
            </w:r>
          </w:p>
        </w:tc>
        <w:tc>
          <w:tcPr>
            <w:tcW w:w="50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30"/>
        </w:trPr>
        <w:tc>
          <w:tcPr>
            <w:tcW w:w="4940" w:type="dxa"/>
            <w:vAlign w:val="bottom"/>
          </w:tcPr>
          <w:p>
            <w:pPr>
              <w:ind w:left="20"/>
              <w:spacing w:after="0"/>
              <w:rPr>
                <w:sz w:val="20"/>
                <w:szCs w:val="20"/>
                <w:color w:val="auto"/>
              </w:rPr>
            </w:pPr>
            <w:r>
              <w:rPr>
                <w:rFonts w:ascii="Arial" w:cs="Arial" w:eastAsia="Arial" w:hAnsi="Arial"/>
                <w:sz w:val="14"/>
                <w:szCs w:val="14"/>
                <w:color w:val="auto"/>
              </w:rPr>
              <w:t>Risk Oversight</w:t>
            </w:r>
          </w:p>
        </w:tc>
        <w:tc>
          <w:tcPr>
            <w:tcW w:w="50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43"/>
        </w:trPr>
        <w:tc>
          <w:tcPr>
            <w:tcW w:w="4940" w:type="dxa"/>
            <w:vAlign w:val="bottom"/>
          </w:tcPr>
          <w:p>
            <w:pPr>
              <w:ind w:left="20"/>
              <w:spacing w:after="0"/>
              <w:rPr>
                <w:sz w:val="20"/>
                <w:szCs w:val="20"/>
                <w:color w:val="auto"/>
              </w:rPr>
            </w:pPr>
            <w:r>
              <w:rPr>
                <w:rFonts w:ascii="Arial" w:cs="Arial" w:eastAsia="Arial" w:hAnsi="Arial"/>
                <w:sz w:val="14"/>
                <w:szCs w:val="14"/>
                <w:color w:val="auto"/>
              </w:rPr>
              <w:t>Ethical Business Practices</w:t>
            </w:r>
          </w:p>
        </w:tc>
        <w:tc>
          <w:tcPr>
            <w:tcW w:w="50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30"/>
        </w:trPr>
        <w:tc>
          <w:tcPr>
            <w:tcW w:w="4940" w:type="dxa"/>
            <w:vAlign w:val="bottom"/>
          </w:tcPr>
          <w:p>
            <w:pPr>
              <w:ind w:left="20"/>
              <w:spacing w:after="0"/>
              <w:rPr>
                <w:sz w:val="20"/>
                <w:szCs w:val="20"/>
                <w:color w:val="auto"/>
              </w:rPr>
            </w:pPr>
            <w:r>
              <w:rPr>
                <w:rFonts w:ascii="Arial" w:cs="Arial" w:eastAsia="Arial" w:hAnsi="Arial"/>
                <w:sz w:val="14"/>
                <w:szCs w:val="14"/>
                <w:color w:val="auto"/>
              </w:rPr>
              <w:t>Other Corporate Governance Matters</w:t>
            </w:r>
          </w:p>
        </w:tc>
        <w:tc>
          <w:tcPr>
            <w:tcW w:w="5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01"/>
        </w:trPr>
        <w:tc>
          <w:tcPr>
            <w:tcW w:w="4940" w:type="dxa"/>
            <w:vAlign w:val="bottom"/>
          </w:tcPr>
          <w:p>
            <w:pPr>
              <w:ind w:left="20"/>
              <w:spacing w:after="0"/>
              <w:rPr>
                <w:sz w:val="20"/>
                <w:szCs w:val="20"/>
                <w:color w:val="auto"/>
              </w:rPr>
            </w:pPr>
            <w:r>
              <w:rPr>
                <w:rFonts w:ascii="Arial" w:cs="Arial" w:eastAsia="Arial" w:hAnsi="Arial"/>
                <w:sz w:val="14"/>
                <w:szCs w:val="14"/>
                <w:b w:val="1"/>
                <w:bCs w:val="1"/>
                <w:color w:val="852166"/>
              </w:rPr>
              <w:t>SECURITY OWNERSHIP OF CERTAIN BENEFICIAL OWNERS AND</w:t>
            </w:r>
          </w:p>
        </w:tc>
        <w:tc>
          <w:tcPr>
            <w:tcW w:w="500" w:type="dxa"/>
            <w:vAlign w:val="bottom"/>
          </w:tcPr>
          <w:p>
            <w:pPr>
              <w:spacing w:after="0"/>
              <w:rPr>
                <w:sz w:val="17"/>
                <w:szCs w:val="17"/>
                <w:color w:val="auto"/>
              </w:rPr>
            </w:pPr>
          </w:p>
        </w:tc>
      </w:tr>
      <w:tr>
        <w:trPr>
          <w:trHeight w:val="211"/>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852166"/>
              </w:rPr>
              <w:t>MANAGEMENT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870064"/>
              </w:rPr>
              <w:t>34</w:t>
            </w:r>
          </w:p>
        </w:tc>
      </w:tr>
      <w:tr>
        <w:trPr>
          <w:trHeight w:val="223"/>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852166"/>
              </w:rPr>
              <w:t>EXECUTIVE OFFICERS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870064"/>
              </w:rPr>
              <w:t>36</w:t>
            </w:r>
          </w:p>
        </w:tc>
      </w:tr>
      <w:tr>
        <w:trPr>
          <w:trHeight w:val="223"/>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852166"/>
              </w:rPr>
              <w:t>EXECUTIVE COMPENSATION</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870064"/>
              </w:rPr>
              <w:t>38</w:t>
            </w:r>
          </w:p>
        </w:tc>
      </w:tr>
      <w:tr>
        <w:trPr>
          <w:trHeight w:val="202"/>
        </w:trPr>
        <w:tc>
          <w:tcPr>
            <w:tcW w:w="4940" w:type="dxa"/>
            <w:vAlign w:val="bottom"/>
          </w:tcPr>
          <w:p>
            <w:pPr>
              <w:ind w:left="20"/>
              <w:spacing w:after="0"/>
              <w:rPr>
                <w:sz w:val="20"/>
                <w:szCs w:val="20"/>
                <w:color w:val="auto"/>
              </w:rPr>
            </w:pPr>
            <w:r>
              <w:rPr>
                <w:rFonts w:ascii="Arial" w:cs="Arial" w:eastAsia="Arial" w:hAnsi="Arial"/>
                <w:sz w:val="14"/>
                <w:szCs w:val="14"/>
                <w:color w:val="auto"/>
              </w:rPr>
              <w:t>Compensation Discussion and Analysis</w:t>
            </w:r>
          </w:p>
        </w:tc>
        <w:tc>
          <w:tcPr>
            <w:tcW w:w="50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30"/>
        </w:trPr>
        <w:tc>
          <w:tcPr>
            <w:tcW w:w="4940" w:type="dxa"/>
            <w:vAlign w:val="bottom"/>
          </w:tcPr>
          <w:p>
            <w:pPr>
              <w:ind w:left="20"/>
              <w:spacing w:after="0"/>
              <w:rPr>
                <w:sz w:val="20"/>
                <w:szCs w:val="20"/>
                <w:color w:val="auto"/>
              </w:rPr>
            </w:pPr>
            <w:r>
              <w:rPr>
                <w:rFonts w:ascii="Arial" w:cs="Arial" w:eastAsia="Arial" w:hAnsi="Arial"/>
                <w:sz w:val="14"/>
                <w:szCs w:val="14"/>
                <w:color w:val="auto"/>
              </w:rPr>
              <w:t>Summary of Compensation</w:t>
            </w:r>
          </w:p>
        </w:tc>
        <w:tc>
          <w:tcPr>
            <w:tcW w:w="50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229"/>
        </w:trPr>
        <w:tc>
          <w:tcPr>
            <w:tcW w:w="4940" w:type="dxa"/>
            <w:vAlign w:val="bottom"/>
          </w:tcPr>
          <w:p>
            <w:pPr>
              <w:ind w:left="20"/>
              <w:spacing w:after="0"/>
              <w:rPr>
                <w:sz w:val="20"/>
                <w:szCs w:val="20"/>
                <w:color w:val="auto"/>
              </w:rPr>
            </w:pPr>
            <w:r>
              <w:rPr>
                <w:rFonts w:ascii="Arial" w:cs="Arial" w:eastAsia="Arial" w:hAnsi="Arial"/>
                <w:sz w:val="14"/>
                <w:szCs w:val="14"/>
                <w:color w:val="auto"/>
              </w:rPr>
              <w:t>Grants of Plan-Based Awards</w:t>
            </w:r>
          </w:p>
        </w:tc>
        <w:tc>
          <w:tcPr>
            <w:tcW w:w="50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30"/>
        </w:trPr>
        <w:tc>
          <w:tcPr>
            <w:tcW w:w="4940" w:type="dxa"/>
            <w:vAlign w:val="bottom"/>
          </w:tcPr>
          <w:p>
            <w:pPr>
              <w:ind w:left="20"/>
              <w:spacing w:after="0"/>
              <w:rPr>
                <w:sz w:val="20"/>
                <w:szCs w:val="20"/>
                <w:color w:val="auto"/>
              </w:rPr>
            </w:pPr>
            <w:r>
              <w:rPr>
                <w:rFonts w:ascii="Arial" w:cs="Arial" w:eastAsia="Arial" w:hAnsi="Arial"/>
                <w:sz w:val="14"/>
                <w:szCs w:val="14"/>
                <w:color w:val="auto"/>
              </w:rPr>
              <w:t>Description of Compensation Arrangements</w:t>
            </w:r>
          </w:p>
        </w:tc>
        <w:tc>
          <w:tcPr>
            <w:tcW w:w="50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30"/>
        </w:trPr>
        <w:tc>
          <w:tcPr>
            <w:tcW w:w="4940" w:type="dxa"/>
            <w:vAlign w:val="bottom"/>
          </w:tcPr>
          <w:p>
            <w:pPr>
              <w:ind w:left="20"/>
              <w:spacing w:after="0"/>
              <w:rPr>
                <w:sz w:val="20"/>
                <w:szCs w:val="20"/>
                <w:color w:val="auto"/>
              </w:rPr>
            </w:pPr>
            <w:r>
              <w:rPr>
                <w:rFonts w:ascii="Arial" w:cs="Arial" w:eastAsia="Arial" w:hAnsi="Arial"/>
                <w:sz w:val="14"/>
                <w:szCs w:val="14"/>
                <w:color w:val="auto"/>
              </w:rPr>
              <w:t>Outstanding Equity Awards at Fiscal Year-End</w:t>
            </w:r>
          </w:p>
        </w:tc>
        <w:tc>
          <w:tcPr>
            <w:tcW w:w="50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30"/>
        </w:trPr>
        <w:tc>
          <w:tcPr>
            <w:tcW w:w="4940" w:type="dxa"/>
            <w:vAlign w:val="bottom"/>
          </w:tcPr>
          <w:p>
            <w:pPr>
              <w:ind w:left="20"/>
              <w:spacing w:after="0"/>
              <w:rPr>
                <w:sz w:val="20"/>
                <w:szCs w:val="20"/>
                <w:color w:val="auto"/>
              </w:rPr>
            </w:pPr>
            <w:r>
              <w:rPr>
                <w:rFonts w:ascii="Arial" w:cs="Arial" w:eastAsia="Arial" w:hAnsi="Arial"/>
                <w:sz w:val="14"/>
                <w:szCs w:val="14"/>
                <w:color w:val="auto"/>
              </w:rPr>
              <w:t>Option Exercises and Stock Vested</w:t>
            </w:r>
          </w:p>
        </w:tc>
        <w:tc>
          <w:tcPr>
            <w:tcW w:w="50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229"/>
        </w:trPr>
        <w:tc>
          <w:tcPr>
            <w:tcW w:w="4940" w:type="dxa"/>
            <w:vAlign w:val="bottom"/>
          </w:tcPr>
          <w:p>
            <w:pPr>
              <w:ind w:left="20"/>
              <w:spacing w:after="0"/>
              <w:rPr>
                <w:sz w:val="20"/>
                <w:szCs w:val="20"/>
                <w:color w:val="auto"/>
              </w:rPr>
            </w:pPr>
            <w:r>
              <w:rPr>
                <w:rFonts w:ascii="Arial" w:cs="Arial" w:eastAsia="Arial" w:hAnsi="Arial"/>
                <w:sz w:val="14"/>
                <w:szCs w:val="14"/>
                <w:color w:val="auto"/>
              </w:rPr>
              <w:t>Potential Payments upon Termination or Change in Control</w:t>
            </w:r>
          </w:p>
        </w:tc>
        <w:tc>
          <w:tcPr>
            <w:tcW w:w="50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230"/>
        </w:trPr>
        <w:tc>
          <w:tcPr>
            <w:tcW w:w="4940" w:type="dxa"/>
            <w:vAlign w:val="bottom"/>
          </w:tcPr>
          <w:p>
            <w:pPr>
              <w:ind w:left="20"/>
              <w:spacing w:after="0"/>
              <w:rPr>
                <w:sz w:val="20"/>
                <w:szCs w:val="20"/>
                <w:color w:val="auto"/>
              </w:rPr>
            </w:pPr>
            <w:r>
              <w:rPr>
                <w:rFonts w:ascii="Arial" w:cs="Arial" w:eastAsia="Arial" w:hAnsi="Arial"/>
                <w:sz w:val="14"/>
                <w:szCs w:val="14"/>
                <w:color w:val="auto"/>
              </w:rPr>
              <w:t>Pay Ratio Disclosure</w:t>
            </w:r>
          </w:p>
        </w:tc>
        <w:tc>
          <w:tcPr>
            <w:tcW w:w="50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230"/>
        </w:trPr>
        <w:tc>
          <w:tcPr>
            <w:tcW w:w="4940" w:type="dxa"/>
            <w:vAlign w:val="bottom"/>
          </w:tcPr>
          <w:p>
            <w:pPr>
              <w:ind w:left="20"/>
              <w:spacing w:after="0"/>
              <w:rPr>
                <w:sz w:val="20"/>
                <w:szCs w:val="20"/>
                <w:color w:val="auto"/>
              </w:rPr>
            </w:pPr>
            <w:r>
              <w:rPr>
                <w:rFonts w:ascii="Arial" w:cs="Arial" w:eastAsia="Arial" w:hAnsi="Arial"/>
                <w:sz w:val="14"/>
                <w:szCs w:val="14"/>
                <w:color w:val="auto"/>
              </w:rPr>
              <w:t>Item 402(v) Pay versus Performance</w:t>
            </w:r>
          </w:p>
        </w:tc>
        <w:tc>
          <w:tcPr>
            <w:tcW w:w="50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230"/>
        </w:trPr>
        <w:tc>
          <w:tcPr>
            <w:tcW w:w="4940" w:type="dxa"/>
            <w:vAlign w:val="bottom"/>
          </w:tcPr>
          <w:p>
            <w:pPr>
              <w:ind w:left="20"/>
              <w:spacing w:after="0"/>
              <w:rPr>
                <w:sz w:val="20"/>
                <w:szCs w:val="20"/>
                <w:color w:val="auto"/>
              </w:rPr>
            </w:pPr>
            <w:r>
              <w:rPr>
                <w:rFonts w:ascii="Arial" w:cs="Arial" w:eastAsia="Arial" w:hAnsi="Arial"/>
                <w:sz w:val="14"/>
                <w:szCs w:val="14"/>
                <w:color w:val="auto"/>
              </w:rPr>
              <w:t>Compensation Consultant Fees</w:t>
            </w:r>
          </w:p>
        </w:tc>
        <w:tc>
          <w:tcPr>
            <w:tcW w:w="50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229"/>
        </w:trPr>
        <w:tc>
          <w:tcPr>
            <w:tcW w:w="4940" w:type="dxa"/>
            <w:vAlign w:val="bottom"/>
          </w:tcPr>
          <w:p>
            <w:pPr>
              <w:ind w:left="20"/>
              <w:spacing w:after="0"/>
              <w:rPr>
                <w:sz w:val="20"/>
                <w:szCs w:val="20"/>
                <w:color w:val="auto"/>
              </w:rPr>
            </w:pPr>
            <w:r>
              <w:rPr>
                <w:rFonts w:ascii="Arial" w:cs="Arial" w:eastAsia="Arial" w:hAnsi="Arial"/>
                <w:sz w:val="14"/>
                <w:szCs w:val="14"/>
                <w:color w:val="auto"/>
              </w:rPr>
              <w:t>Compensation Committee Report</w:t>
            </w:r>
          </w:p>
        </w:tc>
        <w:tc>
          <w:tcPr>
            <w:tcW w:w="500" w:type="dxa"/>
            <w:vAlign w:val="bottom"/>
          </w:tcPr>
          <w:p>
            <w:pPr>
              <w:jc w:val="right"/>
              <w:spacing w:after="0"/>
              <w:rPr>
                <w:sz w:val="20"/>
                <w:szCs w:val="20"/>
                <w:color w:val="auto"/>
              </w:rPr>
            </w:pPr>
            <w:r>
              <w:rPr>
                <w:rFonts w:ascii="Arial" w:cs="Arial" w:eastAsia="Arial" w:hAnsi="Arial"/>
                <w:sz w:val="14"/>
                <w:szCs w:val="14"/>
                <w:color w:val="auto"/>
              </w:rPr>
              <w:t>85</w:t>
            </w:r>
          </w:p>
        </w:tc>
      </w:tr>
      <w:tr>
        <w:trPr>
          <w:trHeight w:val="250"/>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852166"/>
              </w:rPr>
              <w:t>DIRECTOR COMPENSATION</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870064"/>
              </w:rPr>
              <w:t>86</w:t>
            </w:r>
          </w:p>
        </w:tc>
      </w:tr>
      <w:tr>
        <w:trPr>
          <w:trHeight w:val="223"/>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852166"/>
              </w:rPr>
              <w:t>CERTAIN RELATIONSHIPS AND RELATED PARTY TRANSACTIONS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870064"/>
              </w:rPr>
              <w:t>90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5060" w:type="dxa"/>
            <w:vAlign w:val="bottom"/>
          </w:tcPr>
          <w:p>
            <w:pPr>
              <w:ind w:left="20"/>
              <w:spacing w:after="0"/>
              <w:rPr>
                <w:sz w:val="20"/>
                <w:szCs w:val="20"/>
                <w:color w:val="auto"/>
              </w:rPr>
            </w:pPr>
            <w:r>
              <w:rPr>
                <w:rFonts w:ascii="Arial" w:cs="Arial" w:eastAsia="Arial" w:hAnsi="Arial"/>
                <w:sz w:val="14"/>
                <w:szCs w:val="14"/>
                <w:b w:val="1"/>
                <w:bCs w:val="1"/>
                <w:color w:val="852166"/>
              </w:rPr>
              <w:t>PROPOSAL 2 RATIFY, ON A NON-BINDING ADVISORY BASIS, THE</w:t>
            </w:r>
          </w:p>
        </w:tc>
        <w:tc>
          <w:tcPr>
            <w:tcW w:w="360" w:type="dxa"/>
            <w:vAlign w:val="bottom"/>
          </w:tcPr>
          <w:p>
            <w:pPr>
              <w:spacing w:after="0"/>
              <w:rPr>
                <w:sz w:val="15"/>
                <w:szCs w:val="15"/>
                <w:color w:val="auto"/>
              </w:rPr>
            </w:pPr>
          </w:p>
        </w:tc>
      </w:tr>
      <w:tr>
        <w:trPr>
          <w:trHeight w:val="176"/>
        </w:trPr>
        <w:tc>
          <w:tcPr>
            <w:tcW w:w="5060" w:type="dxa"/>
            <w:vAlign w:val="bottom"/>
          </w:tcPr>
          <w:p>
            <w:pPr>
              <w:ind w:left="20"/>
              <w:spacing w:after="0"/>
              <w:rPr>
                <w:sz w:val="20"/>
                <w:szCs w:val="20"/>
                <w:color w:val="auto"/>
              </w:rPr>
            </w:pPr>
            <w:r>
              <w:rPr>
                <w:rFonts w:ascii="Arial" w:cs="Arial" w:eastAsia="Arial" w:hAnsi="Arial"/>
                <w:sz w:val="14"/>
                <w:szCs w:val="14"/>
                <w:b w:val="1"/>
                <w:bCs w:val="1"/>
                <w:color w:val="852166"/>
              </w:rPr>
              <w:t>APPOINTMENT OF KPMG AS THE INDEPENDENT AUDITORS FOR THE</w:t>
            </w:r>
          </w:p>
        </w:tc>
        <w:tc>
          <w:tcPr>
            <w:tcW w:w="360" w:type="dxa"/>
            <w:vAlign w:val="bottom"/>
          </w:tcPr>
          <w:p>
            <w:pPr>
              <w:spacing w:after="0"/>
              <w:rPr>
                <w:sz w:val="15"/>
                <w:szCs w:val="15"/>
                <w:color w:val="auto"/>
              </w:rPr>
            </w:pPr>
          </w:p>
        </w:tc>
      </w:tr>
      <w:tr>
        <w:trPr>
          <w:trHeight w:val="175"/>
        </w:trPr>
        <w:tc>
          <w:tcPr>
            <w:tcW w:w="5060" w:type="dxa"/>
            <w:vAlign w:val="bottom"/>
          </w:tcPr>
          <w:p>
            <w:pPr>
              <w:ind w:left="20"/>
              <w:spacing w:after="0"/>
              <w:rPr>
                <w:sz w:val="20"/>
                <w:szCs w:val="20"/>
                <w:color w:val="auto"/>
              </w:rPr>
            </w:pPr>
            <w:r>
              <w:rPr>
                <w:rFonts w:ascii="Arial" w:cs="Arial" w:eastAsia="Arial" w:hAnsi="Arial"/>
                <w:sz w:val="14"/>
                <w:szCs w:val="14"/>
                <w:b w:val="1"/>
                <w:bCs w:val="1"/>
                <w:color w:val="852166"/>
              </w:rPr>
              <w:t>FINANCIAL YEAR ENDING DECEMBER 31, 2024 AND AUTHORIZE, IN A</w:t>
            </w:r>
          </w:p>
        </w:tc>
        <w:tc>
          <w:tcPr>
            <w:tcW w:w="360" w:type="dxa"/>
            <w:vAlign w:val="bottom"/>
          </w:tcPr>
          <w:p>
            <w:pPr>
              <w:spacing w:after="0"/>
              <w:rPr>
                <w:sz w:val="15"/>
                <w:szCs w:val="15"/>
                <w:color w:val="auto"/>
              </w:rPr>
            </w:pPr>
          </w:p>
        </w:tc>
      </w:tr>
      <w:tr>
        <w:trPr>
          <w:trHeight w:val="162"/>
        </w:trPr>
        <w:tc>
          <w:tcPr>
            <w:tcW w:w="5060" w:type="dxa"/>
            <w:vAlign w:val="bottom"/>
          </w:tcPr>
          <w:p>
            <w:pPr>
              <w:ind w:left="20"/>
              <w:spacing w:after="0"/>
              <w:rPr>
                <w:sz w:val="20"/>
                <w:szCs w:val="20"/>
                <w:color w:val="auto"/>
              </w:rPr>
            </w:pPr>
            <w:r>
              <w:rPr>
                <w:rFonts w:ascii="Arial" w:cs="Arial" w:eastAsia="Arial" w:hAnsi="Arial"/>
                <w:sz w:val="14"/>
                <w:szCs w:val="14"/>
                <w:b w:val="1"/>
                <w:bCs w:val="1"/>
                <w:color w:val="852166"/>
              </w:rPr>
              <w:t>BINDING VOTE, OUR BOARD OF DIRECTORS, ACTING THROUGH OUR</w:t>
            </w:r>
          </w:p>
        </w:tc>
        <w:tc>
          <w:tcPr>
            <w:tcW w:w="360" w:type="dxa"/>
            <w:vAlign w:val="bottom"/>
          </w:tcPr>
          <w:p>
            <w:pPr>
              <w:spacing w:after="0"/>
              <w:rPr>
                <w:sz w:val="14"/>
                <w:szCs w:val="14"/>
                <w:color w:val="auto"/>
              </w:rPr>
            </w:pPr>
          </w:p>
        </w:tc>
      </w:tr>
      <w:tr>
        <w:trPr>
          <w:trHeight w:val="211"/>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852166"/>
              </w:rPr>
              <w:t>AUDIT COMMITTEE, TO DETERMINE KPMG’S REMUNERATION</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870064"/>
              </w:rPr>
              <w:t>92</w:t>
            </w:r>
          </w:p>
        </w:tc>
      </w:tr>
      <w:tr>
        <w:trPr>
          <w:trHeight w:val="216"/>
        </w:trPr>
        <w:tc>
          <w:tcPr>
            <w:tcW w:w="5060" w:type="dxa"/>
            <w:vAlign w:val="bottom"/>
          </w:tcPr>
          <w:p>
            <w:pPr>
              <w:ind w:left="20"/>
              <w:spacing w:after="0"/>
              <w:rPr>
                <w:sz w:val="20"/>
                <w:szCs w:val="20"/>
                <w:color w:val="auto"/>
              </w:rPr>
            </w:pPr>
            <w:r>
              <w:rPr>
                <w:rFonts w:ascii="Arial" w:cs="Arial" w:eastAsia="Arial" w:hAnsi="Arial"/>
                <w:sz w:val="14"/>
                <w:szCs w:val="14"/>
                <w:color w:val="auto"/>
              </w:rPr>
              <w:t>Independent Registered Public Accounting Firm Fees and Services</w:t>
            </w:r>
          </w:p>
        </w:tc>
        <w:tc>
          <w:tcPr>
            <w:tcW w:w="36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229"/>
        </w:trPr>
        <w:tc>
          <w:tcPr>
            <w:tcW w:w="5060" w:type="dxa"/>
            <w:vAlign w:val="bottom"/>
          </w:tcPr>
          <w:p>
            <w:pPr>
              <w:ind w:left="20"/>
              <w:spacing w:after="0"/>
              <w:rPr>
                <w:sz w:val="20"/>
                <w:szCs w:val="20"/>
                <w:color w:val="auto"/>
              </w:rPr>
            </w:pPr>
            <w:r>
              <w:rPr>
                <w:rFonts w:ascii="Arial" w:cs="Arial" w:eastAsia="Arial" w:hAnsi="Arial"/>
                <w:sz w:val="14"/>
                <w:szCs w:val="14"/>
                <w:color w:val="auto"/>
              </w:rPr>
              <w:t>Pre-Approval Policies and Procedures</w:t>
            </w:r>
          </w:p>
        </w:tc>
        <w:tc>
          <w:tcPr>
            <w:tcW w:w="36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230"/>
        </w:trPr>
        <w:tc>
          <w:tcPr>
            <w:tcW w:w="5060" w:type="dxa"/>
            <w:vAlign w:val="bottom"/>
          </w:tcPr>
          <w:p>
            <w:pPr>
              <w:ind w:left="20"/>
              <w:spacing w:after="0"/>
              <w:rPr>
                <w:sz w:val="20"/>
                <w:szCs w:val="20"/>
                <w:color w:val="auto"/>
              </w:rPr>
            </w:pPr>
            <w:r>
              <w:rPr>
                <w:rFonts w:ascii="Arial" w:cs="Arial" w:eastAsia="Arial" w:hAnsi="Arial"/>
                <w:sz w:val="14"/>
                <w:szCs w:val="14"/>
                <w:color w:val="auto"/>
              </w:rPr>
              <w:t>Independence</w:t>
            </w:r>
          </w:p>
        </w:tc>
        <w:tc>
          <w:tcPr>
            <w:tcW w:w="36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229"/>
        </w:trPr>
        <w:tc>
          <w:tcPr>
            <w:tcW w:w="5060" w:type="dxa"/>
            <w:vAlign w:val="bottom"/>
          </w:tcPr>
          <w:p>
            <w:pPr>
              <w:ind w:left="20"/>
              <w:spacing w:after="0"/>
              <w:rPr>
                <w:sz w:val="20"/>
                <w:szCs w:val="20"/>
                <w:color w:val="auto"/>
              </w:rPr>
            </w:pPr>
            <w:r>
              <w:rPr>
                <w:rFonts w:ascii="Arial" w:cs="Arial" w:eastAsia="Arial" w:hAnsi="Arial"/>
                <w:sz w:val="14"/>
                <w:szCs w:val="14"/>
                <w:color w:val="auto"/>
              </w:rPr>
              <w:t>Report of Audit Committee of our Board</w:t>
            </w:r>
          </w:p>
        </w:tc>
        <w:tc>
          <w:tcPr>
            <w:tcW w:w="36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201"/>
        </w:trPr>
        <w:tc>
          <w:tcPr>
            <w:tcW w:w="5060" w:type="dxa"/>
            <w:vAlign w:val="bottom"/>
          </w:tcPr>
          <w:p>
            <w:pPr>
              <w:ind w:left="20"/>
              <w:spacing w:after="0"/>
              <w:rPr>
                <w:sz w:val="20"/>
                <w:szCs w:val="20"/>
                <w:color w:val="auto"/>
              </w:rPr>
            </w:pPr>
            <w:r>
              <w:rPr>
                <w:rFonts w:ascii="Arial" w:cs="Arial" w:eastAsia="Arial" w:hAnsi="Arial"/>
                <w:sz w:val="14"/>
                <w:szCs w:val="14"/>
                <w:b w:val="1"/>
                <w:bCs w:val="1"/>
                <w:color w:val="852166"/>
              </w:rPr>
              <w:t>PROPOSAL 3 NON-BINDING ADVISORY VOTE ON EXECUTIVE</w:t>
            </w:r>
          </w:p>
        </w:tc>
        <w:tc>
          <w:tcPr>
            <w:tcW w:w="360" w:type="dxa"/>
            <w:vAlign w:val="bottom"/>
          </w:tcPr>
          <w:p>
            <w:pPr>
              <w:spacing w:after="0"/>
              <w:rPr>
                <w:sz w:val="17"/>
                <w:szCs w:val="17"/>
                <w:color w:val="auto"/>
              </w:rPr>
            </w:pPr>
          </w:p>
        </w:tc>
      </w:tr>
      <w:tr>
        <w:trPr>
          <w:trHeight w:val="211"/>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852166"/>
              </w:rPr>
              <w:t>COMPENSATION</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870064"/>
              </w:rPr>
              <w:t>95</w:t>
            </w:r>
          </w:p>
        </w:tc>
      </w:tr>
      <w:tr>
        <w:trPr>
          <w:trHeight w:val="188"/>
        </w:trPr>
        <w:tc>
          <w:tcPr>
            <w:tcW w:w="5060" w:type="dxa"/>
            <w:vAlign w:val="bottom"/>
          </w:tcPr>
          <w:p>
            <w:pPr>
              <w:ind w:left="20"/>
              <w:spacing w:after="0"/>
              <w:rPr>
                <w:sz w:val="20"/>
                <w:szCs w:val="20"/>
                <w:color w:val="auto"/>
              </w:rPr>
            </w:pPr>
            <w:r>
              <w:rPr>
                <w:rFonts w:ascii="Arial" w:cs="Arial" w:eastAsia="Arial" w:hAnsi="Arial"/>
                <w:sz w:val="14"/>
                <w:szCs w:val="14"/>
                <w:b w:val="1"/>
                <w:bCs w:val="1"/>
                <w:color w:val="852166"/>
              </w:rPr>
              <w:t>PROPOSAL 4 NON-BINDING ADVISORY VOTE ON THE PREFERRED</w:t>
            </w:r>
          </w:p>
        </w:tc>
        <w:tc>
          <w:tcPr>
            <w:tcW w:w="360" w:type="dxa"/>
            <w:vAlign w:val="bottom"/>
          </w:tcPr>
          <w:p>
            <w:pPr>
              <w:spacing w:after="0"/>
              <w:rPr>
                <w:sz w:val="16"/>
                <w:szCs w:val="16"/>
                <w:color w:val="auto"/>
              </w:rPr>
            </w:pPr>
          </w:p>
        </w:tc>
      </w:tr>
      <w:tr>
        <w:trPr>
          <w:trHeight w:val="175"/>
        </w:trPr>
        <w:tc>
          <w:tcPr>
            <w:tcW w:w="5060" w:type="dxa"/>
            <w:vAlign w:val="bottom"/>
          </w:tcPr>
          <w:p>
            <w:pPr>
              <w:ind w:left="20"/>
              <w:spacing w:after="0"/>
              <w:rPr>
                <w:sz w:val="20"/>
                <w:szCs w:val="20"/>
                <w:color w:val="auto"/>
              </w:rPr>
            </w:pPr>
            <w:r>
              <w:rPr>
                <w:rFonts w:ascii="Arial" w:cs="Arial" w:eastAsia="Arial" w:hAnsi="Arial"/>
                <w:sz w:val="14"/>
                <w:szCs w:val="14"/>
                <w:b w:val="1"/>
                <w:bCs w:val="1"/>
                <w:color w:val="852166"/>
              </w:rPr>
              <w:t>FREQUENCY OF THE ADVISORY VOTE ON EXECUTIVE</w:t>
            </w:r>
          </w:p>
        </w:tc>
        <w:tc>
          <w:tcPr>
            <w:tcW w:w="360" w:type="dxa"/>
            <w:vAlign w:val="bottom"/>
          </w:tcPr>
          <w:p>
            <w:pPr>
              <w:spacing w:after="0"/>
              <w:rPr>
                <w:sz w:val="15"/>
                <w:szCs w:val="15"/>
                <w:color w:val="auto"/>
              </w:rPr>
            </w:pPr>
          </w:p>
        </w:tc>
      </w:tr>
      <w:tr>
        <w:trPr>
          <w:trHeight w:val="197"/>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852166"/>
              </w:rPr>
              <w:t>COMPENSATION</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870064"/>
              </w:rPr>
              <w:t>97</w:t>
            </w:r>
          </w:p>
        </w:tc>
      </w:tr>
      <w:tr>
        <w:trPr>
          <w:trHeight w:val="188"/>
        </w:trPr>
        <w:tc>
          <w:tcPr>
            <w:tcW w:w="5060" w:type="dxa"/>
            <w:vAlign w:val="bottom"/>
          </w:tcPr>
          <w:p>
            <w:pPr>
              <w:ind w:left="20"/>
              <w:spacing w:after="0"/>
              <w:rPr>
                <w:sz w:val="20"/>
                <w:szCs w:val="20"/>
                <w:color w:val="auto"/>
              </w:rPr>
            </w:pPr>
            <w:r>
              <w:rPr>
                <w:rFonts w:ascii="Arial" w:cs="Arial" w:eastAsia="Arial" w:hAnsi="Arial"/>
                <w:sz w:val="14"/>
                <w:szCs w:val="14"/>
                <w:b w:val="1"/>
                <w:bCs w:val="1"/>
                <w:color w:val="852166"/>
              </w:rPr>
              <w:t>PROPOSAL 5 BOARD AUTHORITY TO ALLOT AND ISSUE ORDINARY</w:t>
            </w:r>
          </w:p>
        </w:tc>
        <w:tc>
          <w:tcPr>
            <w:tcW w:w="360" w:type="dxa"/>
            <w:vAlign w:val="bottom"/>
          </w:tcPr>
          <w:p>
            <w:pPr>
              <w:spacing w:after="0"/>
              <w:rPr>
                <w:sz w:val="16"/>
                <w:szCs w:val="16"/>
                <w:color w:val="auto"/>
              </w:rPr>
            </w:pPr>
          </w:p>
        </w:tc>
      </w:tr>
      <w:tr>
        <w:trPr>
          <w:trHeight w:val="176"/>
        </w:trPr>
        <w:tc>
          <w:tcPr>
            <w:tcW w:w="5060" w:type="dxa"/>
            <w:vAlign w:val="bottom"/>
          </w:tcPr>
          <w:p>
            <w:pPr>
              <w:ind w:left="20"/>
              <w:spacing w:after="0"/>
              <w:rPr>
                <w:sz w:val="20"/>
                <w:szCs w:val="20"/>
                <w:color w:val="auto"/>
              </w:rPr>
            </w:pPr>
            <w:r>
              <w:rPr>
                <w:rFonts w:ascii="Arial" w:cs="Arial" w:eastAsia="Arial" w:hAnsi="Arial"/>
                <w:sz w:val="14"/>
                <w:szCs w:val="14"/>
                <w:b w:val="1"/>
                <w:bCs w:val="1"/>
                <w:color w:val="852166"/>
              </w:rPr>
              <w:t>SHARES FOR CASH WITHOUT FIRST OFFERING SHARES TO EXISTING</w:t>
            </w:r>
          </w:p>
        </w:tc>
        <w:tc>
          <w:tcPr>
            <w:tcW w:w="360" w:type="dxa"/>
            <w:vAlign w:val="bottom"/>
          </w:tcPr>
          <w:p>
            <w:pPr>
              <w:spacing w:after="0"/>
              <w:rPr>
                <w:sz w:val="15"/>
                <w:szCs w:val="15"/>
                <w:color w:val="auto"/>
              </w:rPr>
            </w:pPr>
          </w:p>
        </w:tc>
      </w:tr>
      <w:tr>
        <w:trPr>
          <w:trHeight w:val="197"/>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852166"/>
              </w:rPr>
              <w:t>SHAREHOLDERS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870064"/>
              </w:rPr>
              <w:t>98</w:t>
            </w:r>
          </w:p>
        </w:tc>
      </w:tr>
      <w:tr>
        <w:trPr>
          <w:trHeight w:val="223"/>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852166"/>
              </w:rPr>
              <w:t>PROPOSAL 6 ADJOURNMENT PROPOSAL</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870064"/>
              </w:rPr>
              <w:t>100</w:t>
            </w:r>
          </w:p>
        </w:tc>
      </w:tr>
      <w:tr>
        <w:trPr>
          <w:trHeight w:val="188"/>
        </w:trPr>
        <w:tc>
          <w:tcPr>
            <w:tcW w:w="5060" w:type="dxa"/>
            <w:vAlign w:val="bottom"/>
          </w:tcPr>
          <w:p>
            <w:pPr>
              <w:ind w:left="20"/>
              <w:spacing w:after="0"/>
              <w:rPr>
                <w:sz w:val="20"/>
                <w:szCs w:val="20"/>
                <w:color w:val="auto"/>
              </w:rPr>
            </w:pPr>
            <w:r>
              <w:rPr>
                <w:rFonts w:ascii="Arial" w:cs="Arial" w:eastAsia="Arial" w:hAnsi="Arial"/>
                <w:sz w:val="14"/>
                <w:szCs w:val="14"/>
                <w:b w:val="1"/>
                <w:bCs w:val="1"/>
                <w:color w:val="852166"/>
              </w:rPr>
              <w:t>QUESTIONS AND ANSWERS ABOUT THESE PROXY MATERIALS AND</w:t>
            </w:r>
          </w:p>
        </w:tc>
        <w:tc>
          <w:tcPr>
            <w:tcW w:w="360" w:type="dxa"/>
            <w:vAlign w:val="bottom"/>
          </w:tcPr>
          <w:p>
            <w:pPr>
              <w:spacing w:after="0"/>
              <w:rPr>
                <w:sz w:val="16"/>
                <w:szCs w:val="16"/>
                <w:color w:val="auto"/>
              </w:rPr>
            </w:pPr>
          </w:p>
        </w:tc>
      </w:tr>
      <w:tr>
        <w:trPr>
          <w:trHeight w:val="211"/>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852166"/>
              </w:rPr>
              <w:t>VOTING</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870064"/>
              </w:rPr>
              <w:t>101</w:t>
            </w:r>
          </w:p>
        </w:tc>
      </w:tr>
      <w:tr>
        <w:trPr>
          <w:trHeight w:val="223"/>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852166"/>
              </w:rPr>
              <w:t>OTHER MATTERS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870064"/>
              </w:rPr>
              <w:t>107</w:t>
            </w:r>
          </w:p>
        </w:tc>
      </w:tr>
      <w:tr>
        <w:trPr>
          <w:trHeight w:val="216"/>
        </w:trPr>
        <w:tc>
          <w:tcPr>
            <w:tcW w:w="5060" w:type="dxa"/>
            <w:vAlign w:val="bottom"/>
          </w:tcPr>
          <w:p>
            <w:pPr>
              <w:ind w:left="20"/>
              <w:spacing w:after="0"/>
              <w:rPr>
                <w:sz w:val="20"/>
                <w:szCs w:val="20"/>
                <w:color w:val="auto"/>
              </w:rPr>
            </w:pPr>
            <w:r>
              <w:rPr>
                <w:rFonts w:ascii="Arial" w:cs="Arial" w:eastAsia="Arial" w:hAnsi="Arial"/>
                <w:sz w:val="14"/>
                <w:szCs w:val="14"/>
                <w:color w:val="auto"/>
              </w:rPr>
              <w:t>Presentation of Irish Statutory Financial Statements</w:t>
            </w:r>
          </w:p>
        </w:tc>
        <w:tc>
          <w:tcPr>
            <w:tcW w:w="360" w:type="dxa"/>
            <w:vAlign w:val="bottom"/>
          </w:tcPr>
          <w:p>
            <w:pPr>
              <w:jc w:val="right"/>
              <w:spacing w:after="0"/>
              <w:rPr>
                <w:sz w:val="20"/>
                <w:szCs w:val="20"/>
                <w:color w:val="auto"/>
              </w:rPr>
            </w:pPr>
            <w:r>
              <w:rPr>
                <w:rFonts w:ascii="Arial" w:cs="Arial" w:eastAsia="Arial" w:hAnsi="Arial"/>
                <w:sz w:val="14"/>
                <w:szCs w:val="14"/>
                <w:color w:val="auto"/>
              </w:rPr>
              <w:t>107</w:t>
            </w:r>
          </w:p>
        </w:tc>
      </w:tr>
      <w:tr>
        <w:trPr>
          <w:trHeight w:val="229"/>
        </w:trPr>
        <w:tc>
          <w:tcPr>
            <w:tcW w:w="5060" w:type="dxa"/>
            <w:vAlign w:val="bottom"/>
          </w:tcPr>
          <w:p>
            <w:pPr>
              <w:ind w:left="20"/>
              <w:spacing w:after="0"/>
              <w:rPr>
                <w:sz w:val="20"/>
                <w:szCs w:val="20"/>
                <w:color w:val="auto"/>
              </w:rPr>
            </w:pPr>
            <w:r>
              <w:rPr>
                <w:rFonts w:ascii="Arial" w:cs="Arial" w:eastAsia="Arial" w:hAnsi="Arial"/>
                <w:sz w:val="14"/>
                <w:szCs w:val="14"/>
                <w:color w:val="auto"/>
              </w:rPr>
              <w:t>Delinquent Section 16(a) Reports</w:t>
            </w:r>
          </w:p>
        </w:tc>
        <w:tc>
          <w:tcPr>
            <w:tcW w:w="360" w:type="dxa"/>
            <w:vAlign w:val="bottom"/>
          </w:tcPr>
          <w:p>
            <w:pPr>
              <w:jc w:val="right"/>
              <w:spacing w:after="0"/>
              <w:rPr>
                <w:sz w:val="20"/>
                <w:szCs w:val="20"/>
                <w:color w:val="auto"/>
              </w:rPr>
            </w:pPr>
            <w:r>
              <w:rPr>
                <w:rFonts w:ascii="Arial" w:cs="Arial" w:eastAsia="Arial" w:hAnsi="Arial"/>
                <w:sz w:val="14"/>
                <w:szCs w:val="14"/>
                <w:color w:val="auto"/>
              </w:rPr>
              <w:t>107</w:t>
            </w:r>
          </w:p>
        </w:tc>
      </w:tr>
      <w:tr>
        <w:trPr>
          <w:trHeight w:val="216"/>
        </w:trPr>
        <w:tc>
          <w:tcPr>
            <w:tcW w:w="5060" w:type="dxa"/>
            <w:vAlign w:val="bottom"/>
          </w:tcPr>
          <w:p>
            <w:pPr>
              <w:ind w:left="20"/>
              <w:spacing w:after="0"/>
              <w:rPr>
                <w:sz w:val="20"/>
                <w:szCs w:val="20"/>
                <w:color w:val="auto"/>
              </w:rPr>
            </w:pPr>
            <w:r>
              <w:rPr>
                <w:rFonts w:ascii="Arial" w:cs="Arial" w:eastAsia="Arial" w:hAnsi="Arial"/>
                <w:sz w:val="14"/>
                <w:szCs w:val="14"/>
                <w:color w:val="auto"/>
              </w:rPr>
              <w:t>Registered and Principal Executive Offices</w:t>
            </w:r>
          </w:p>
        </w:tc>
        <w:tc>
          <w:tcPr>
            <w:tcW w:w="360" w:type="dxa"/>
            <w:vAlign w:val="bottom"/>
          </w:tcPr>
          <w:p>
            <w:pPr>
              <w:jc w:val="right"/>
              <w:spacing w:after="0"/>
              <w:rPr>
                <w:sz w:val="20"/>
                <w:szCs w:val="20"/>
                <w:color w:val="auto"/>
              </w:rPr>
            </w:pPr>
            <w:r>
              <w:rPr>
                <w:rFonts w:ascii="Arial" w:cs="Arial" w:eastAsia="Arial" w:hAnsi="Arial"/>
                <w:sz w:val="14"/>
                <w:szCs w:val="14"/>
                <w:color w:val="auto"/>
              </w:rPr>
              <w:t>107</w:t>
            </w:r>
          </w:p>
        </w:tc>
      </w:tr>
      <w:tr>
        <w:trPr>
          <w:trHeight w:val="215"/>
        </w:trPr>
        <w:tc>
          <w:tcPr>
            <w:tcW w:w="5060" w:type="dxa"/>
            <w:vAlign w:val="bottom"/>
          </w:tcPr>
          <w:p>
            <w:pPr>
              <w:ind w:left="20"/>
              <w:spacing w:after="0"/>
              <w:rPr>
                <w:sz w:val="20"/>
                <w:szCs w:val="20"/>
                <w:color w:val="auto"/>
              </w:rPr>
            </w:pPr>
            <w:r>
              <w:rPr>
                <w:rFonts w:ascii="Arial" w:cs="Arial" w:eastAsia="Arial" w:hAnsi="Arial"/>
                <w:sz w:val="14"/>
                <w:szCs w:val="14"/>
                <w:color w:val="auto"/>
              </w:rPr>
              <w:t>Shareholder Proposals and Director Nominations for the 2025 Annual</w:t>
            </w:r>
          </w:p>
        </w:tc>
        <w:tc>
          <w:tcPr>
            <w:tcW w:w="360" w:type="dxa"/>
            <w:vAlign w:val="bottom"/>
          </w:tcPr>
          <w:p>
            <w:pPr>
              <w:spacing w:after="0"/>
              <w:rPr>
                <w:sz w:val="18"/>
                <w:szCs w:val="18"/>
                <w:color w:val="auto"/>
              </w:rPr>
            </w:pPr>
          </w:p>
        </w:tc>
      </w:tr>
      <w:tr>
        <w:trPr>
          <w:trHeight w:val="204"/>
        </w:trPr>
        <w:tc>
          <w:tcPr>
            <w:tcW w:w="5060" w:type="dxa"/>
            <w:vAlign w:val="bottom"/>
          </w:tcPr>
          <w:p>
            <w:pPr>
              <w:ind w:left="20"/>
              <w:spacing w:after="0"/>
              <w:rPr>
                <w:sz w:val="20"/>
                <w:szCs w:val="20"/>
                <w:color w:val="auto"/>
              </w:rPr>
            </w:pPr>
            <w:r>
              <w:rPr>
                <w:rFonts w:ascii="Arial" w:cs="Arial" w:eastAsia="Arial" w:hAnsi="Arial"/>
                <w:sz w:val="14"/>
                <w:szCs w:val="14"/>
                <w:color w:val="auto"/>
              </w:rPr>
              <w:t>Meeting</w:t>
            </w:r>
          </w:p>
        </w:tc>
        <w:tc>
          <w:tcPr>
            <w:tcW w:w="360" w:type="dxa"/>
            <w:vAlign w:val="bottom"/>
          </w:tcPr>
          <w:p>
            <w:pPr>
              <w:jc w:val="right"/>
              <w:spacing w:after="0"/>
              <w:rPr>
                <w:sz w:val="20"/>
                <w:szCs w:val="20"/>
                <w:color w:val="auto"/>
              </w:rPr>
            </w:pPr>
            <w:r>
              <w:rPr>
                <w:rFonts w:ascii="Arial" w:cs="Arial" w:eastAsia="Arial" w:hAnsi="Arial"/>
                <w:sz w:val="14"/>
                <w:szCs w:val="14"/>
                <w:color w:val="auto"/>
              </w:rPr>
              <w:t>107</w:t>
            </w:r>
          </w:p>
        </w:tc>
      </w:tr>
      <w:tr>
        <w:trPr>
          <w:trHeight w:val="216"/>
        </w:trPr>
        <w:tc>
          <w:tcPr>
            <w:tcW w:w="5060" w:type="dxa"/>
            <w:vAlign w:val="bottom"/>
          </w:tcPr>
          <w:p>
            <w:pPr>
              <w:ind w:left="20"/>
              <w:spacing w:after="0"/>
              <w:rPr>
                <w:sz w:val="20"/>
                <w:szCs w:val="20"/>
                <w:color w:val="auto"/>
              </w:rPr>
            </w:pPr>
            <w:r>
              <w:rPr>
                <w:rFonts w:ascii="Arial" w:cs="Arial" w:eastAsia="Arial" w:hAnsi="Arial"/>
                <w:sz w:val="14"/>
                <w:szCs w:val="14"/>
                <w:color w:val="auto"/>
              </w:rPr>
              <w:t>Householding of Proxy Materials</w:t>
            </w:r>
          </w:p>
        </w:tc>
        <w:tc>
          <w:tcPr>
            <w:tcW w:w="36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230"/>
        </w:trPr>
        <w:tc>
          <w:tcPr>
            <w:tcW w:w="5060" w:type="dxa"/>
            <w:vAlign w:val="bottom"/>
          </w:tcPr>
          <w:p>
            <w:pPr>
              <w:ind w:left="20"/>
              <w:spacing w:after="0"/>
              <w:rPr>
                <w:sz w:val="20"/>
                <w:szCs w:val="20"/>
                <w:color w:val="auto"/>
              </w:rPr>
            </w:pPr>
            <w:r>
              <w:rPr>
                <w:rFonts w:ascii="Arial" w:cs="Arial" w:eastAsia="Arial" w:hAnsi="Arial"/>
                <w:sz w:val="14"/>
                <w:szCs w:val="14"/>
                <w:color w:val="auto"/>
              </w:rPr>
              <w:t>Annual Report on Form 10-K</w:t>
            </w:r>
          </w:p>
        </w:tc>
        <w:tc>
          <w:tcPr>
            <w:tcW w:w="36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229"/>
        </w:trPr>
        <w:tc>
          <w:tcPr>
            <w:tcW w:w="5060" w:type="dxa"/>
            <w:vAlign w:val="bottom"/>
          </w:tcPr>
          <w:p>
            <w:pPr>
              <w:ind w:left="20"/>
              <w:spacing w:after="0"/>
              <w:rPr>
                <w:sz w:val="20"/>
                <w:szCs w:val="20"/>
                <w:color w:val="auto"/>
              </w:rPr>
            </w:pPr>
            <w:r>
              <w:rPr>
                <w:rFonts w:ascii="Arial" w:cs="Arial" w:eastAsia="Arial" w:hAnsi="Arial"/>
                <w:sz w:val="14"/>
                <w:szCs w:val="14"/>
                <w:color w:val="auto"/>
              </w:rPr>
              <w:t>Special Note Regarding Forward-Looking Statements</w:t>
            </w:r>
          </w:p>
        </w:tc>
        <w:tc>
          <w:tcPr>
            <w:tcW w:w="36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230"/>
        </w:trPr>
        <w:tc>
          <w:tcPr>
            <w:tcW w:w="5060" w:type="dxa"/>
            <w:vAlign w:val="bottom"/>
          </w:tcPr>
          <w:p>
            <w:pPr>
              <w:ind w:left="20"/>
              <w:spacing w:after="0"/>
              <w:rPr>
                <w:sz w:val="20"/>
                <w:szCs w:val="20"/>
                <w:color w:val="auto"/>
              </w:rPr>
            </w:pPr>
            <w:r>
              <w:rPr>
                <w:rFonts w:ascii="Arial" w:cs="Arial" w:eastAsia="Arial" w:hAnsi="Arial"/>
                <w:sz w:val="14"/>
                <w:szCs w:val="14"/>
                <w:color w:val="auto"/>
              </w:rPr>
              <w:t>General</w:t>
            </w:r>
          </w:p>
        </w:tc>
        <w:tc>
          <w:tcPr>
            <w:tcW w:w="360" w:type="dxa"/>
            <w:vAlign w:val="bottom"/>
          </w:tcPr>
          <w:p>
            <w:pPr>
              <w:jc w:val="right"/>
              <w:spacing w:after="0"/>
              <w:rPr>
                <w:sz w:val="20"/>
                <w:szCs w:val="20"/>
                <w:color w:val="auto"/>
              </w:rPr>
            </w:pPr>
            <w:r>
              <w:rPr>
                <w:rFonts w:ascii="Arial" w:cs="Arial" w:eastAsia="Arial" w:hAnsi="Arial"/>
                <w:sz w:val="14"/>
                <w:szCs w:val="14"/>
                <w:color w:val="auto"/>
              </w:rPr>
              <w:t>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3446780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40" w:space="260"/>
            <w:col w:w="5420"/>
          </w:cols>
          <w:pgMar w:left="320" w:top="956"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93"/>
        </w:trPr>
        <w:tc>
          <w:tcPr>
            <w:tcW w:w="140" w:type="dxa"/>
            <w:vAlign w:val="bottom"/>
            <w:shd w:val="clear" w:color="auto" w:fill="EAEAEA"/>
          </w:tcPr>
          <w:p>
            <w:pPr>
              <w:spacing w:after="0"/>
              <w:rPr>
                <w:sz w:val="24"/>
                <w:szCs w:val="24"/>
                <w:color w:val="auto"/>
              </w:rPr>
            </w:pPr>
          </w:p>
        </w:tc>
        <w:tc>
          <w:tcPr>
            <w:tcW w:w="4760" w:type="dxa"/>
            <w:vAlign w:val="bottom"/>
            <w:shd w:val="clear" w:color="auto" w:fill="EAEAEA"/>
          </w:tcPr>
          <w:p>
            <w:pPr>
              <w:ind w:left="20"/>
              <w:spacing w:after="0"/>
              <w:rPr>
                <w:sz w:val="20"/>
                <w:szCs w:val="20"/>
                <w:color w:val="auto"/>
              </w:rPr>
            </w:pPr>
            <w:r>
              <w:rPr>
                <w:rFonts w:ascii="Arial" w:cs="Arial" w:eastAsia="Arial" w:hAnsi="Arial"/>
                <w:sz w:val="16"/>
                <w:szCs w:val="16"/>
                <w:b w:val="1"/>
                <w:bCs w:val="1"/>
                <w:color w:val="870064"/>
              </w:rPr>
              <w:t>Index of Frequently Requested Information</w:t>
            </w:r>
          </w:p>
        </w:tc>
        <w:tc>
          <w:tcPr>
            <w:tcW w:w="520" w:type="dxa"/>
            <w:vAlign w:val="bottom"/>
            <w:gridSpan w:val="2"/>
            <w:shd w:val="clear" w:color="auto" w:fill="EAEAEA"/>
          </w:tcPr>
          <w:p>
            <w:pPr>
              <w:ind w:left="60"/>
              <w:spacing w:after="0"/>
              <w:rPr>
                <w:sz w:val="20"/>
                <w:szCs w:val="20"/>
                <w:color w:val="auto"/>
              </w:rPr>
            </w:pPr>
            <w:r>
              <w:rPr>
                <w:rFonts w:ascii="Arial" w:cs="Arial" w:eastAsia="Arial" w:hAnsi="Arial"/>
                <w:sz w:val="13"/>
                <w:szCs w:val="13"/>
                <w:b w:val="1"/>
                <w:bCs w:val="1"/>
                <w:color w:val="870064"/>
              </w:rPr>
              <w:t>Page</w:t>
            </w:r>
          </w:p>
        </w:tc>
        <w:tc>
          <w:tcPr>
            <w:tcW w:w="5820" w:type="dxa"/>
            <w:vAlign w:val="bottom"/>
          </w:tcPr>
          <w:p>
            <w:pPr>
              <w:spacing w:after="0"/>
              <w:rPr>
                <w:sz w:val="24"/>
                <w:szCs w:val="24"/>
                <w:color w:val="auto"/>
              </w:rPr>
            </w:pPr>
          </w:p>
        </w:tc>
      </w:tr>
      <w:tr>
        <w:trPr>
          <w:trHeight w:val="219"/>
        </w:trPr>
        <w:tc>
          <w:tcPr>
            <w:tcW w:w="140" w:type="dxa"/>
            <w:vAlign w:val="bottom"/>
            <w:tcBorders>
              <w:top w:val="single" w:sz="8" w:color="EAEAEA"/>
            </w:tcBorders>
            <w:shd w:val="clear" w:color="auto" w:fill="EAEAEA"/>
          </w:tcPr>
          <w:p>
            <w:pPr>
              <w:spacing w:after="0"/>
              <w:rPr>
                <w:sz w:val="19"/>
                <w:szCs w:val="19"/>
                <w:color w:val="auto"/>
              </w:rPr>
            </w:pPr>
          </w:p>
        </w:tc>
        <w:tc>
          <w:tcPr>
            <w:tcW w:w="4760" w:type="dxa"/>
            <w:vAlign w:val="bottom"/>
            <w:tcBorders>
              <w:top w:val="single" w:sz="8" w:color="auto"/>
            </w:tcBorders>
            <w:shd w:val="clear" w:color="auto" w:fill="EAEAEA"/>
          </w:tcPr>
          <w:p>
            <w:pPr>
              <w:ind w:left="20"/>
              <w:spacing w:after="0"/>
              <w:rPr>
                <w:sz w:val="20"/>
                <w:szCs w:val="20"/>
                <w:color w:val="auto"/>
              </w:rPr>
            </w:pPr>
            <w:r>
              <w:rPr>
                <w:rFonts w:ascii="Arial" w:cs="Arial" w:eastAsia="Arial" w:hAnsi="Arial"/>
                <w:sz w:val="14"/>
                <w:szCs w:val="14"/>
                <w:color w:val="auto"/>
              </w:rPr>
              <w:t>Anti-Hedging/Pledging Policy</w:t>
            </w:r>
          </w:p>
        </w:tc>
        <w:tc>
          <w:tcPr>
            <w:tcW w:w="38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4"/>
                <w:szCs w:val="14"/>
                <w:color w:val="auto"/>
              </w:rPr>
              <w:t>32</w:t>
            </w:r>
          </w:p>
        </w:tc>
        <w:tc>
          <w:tcPr>
            <w:tcW w:w="140" w:type="dxa"/>
            <w:vAlign w:val="bottom"/>
            <w:tcBorders>
              <w:top w:val="single" w:sz="8" w:color="EAEAEA"/>
            </w:tcBorders>
            <w:shd w:val="clear" w:color="auto" w:fill="EAEAEA"/>
          </w:tcPr>
          <w:p>
            <w:pPr>
              <w:spacing w:after="0"/>
              <w:rPr>
                <w:sz w:val="19"/>
                <w:szCs w:val="19"/>
                <w:color w:val="auto"/>
              </w:rPr>
            </w:pPr>
          </w:p>
        </w:tc>
        <w:tc>
          <w:tcPr>
            <w:tcW w:w="5820" w:type="dxa"/>
            <w:vAlign w:val="bottom"/>
          </w:tcPr>
          <w:p>
            <w:pPr>
              <w:spacing w:after="0"/>
              <w:rPr>
                <w:sz w:val="19"/>
                <w:szCs w:val="19"/>
                <w:color w:val="auto"/>
              </w:rPr>
            </w:pPr>
          </w:p>
        </w:tc>
      </w:tr>
      <w:tr>
        <w:trPr>
          <w:trHeight w:val="229"/>
        </w:trPr>
        <w:tc>
          <w:tcPr>
            <w:tcW w:w="140" w:type="dxa"/>
            <w:vAlign w:val="bottom"/>
            <w:shd w:val="clear" w:color="auto" w:fill="EAEAEA"/>
          </w:tcPr>
          <w:p>
            <w:pPr>
              <w:spacing w:after="0"/>
              <w:rPr>
                <w:sz w:val="19"/>
                <w:szCs w:val="19"/>
                <w:color w:val="auto"/>
              </w:rPr>
            </w:pPr>
          </w:p>
        </w:tc>
        <w:tc>
          <w:tcPr>
            <w:tcW w:w="4760" w:type="dxa"/>
            <w:vAlign w:val="bottom"/>
            <w:shd w:val="clear" w:color="auto" w:fill="EAEAEA"/>
          </w:tcPr>
          <w:p>
            <w:pPr>
              <w:ind w:left="20"/>
              <w:spacing w:after="0"/>
              <w:rPr>
                <w:sz w:val="20"/>
                <w:szCs w:val="20"/>
                <w:color w:val="auto"/>
              </w:rPr>
            </w:pPr>
            <w:r>
              <w:rPr>
                <w:rFonts w:ascii="Arial" w:cs="Arial" w:eastAsia="Arial" w:hAnsi="Arial"/>
                <w:sz w:val="14"/>
                <w:szCs w:val="14"/>
                <w:color w:val="auto"/>
              </w:rPr>
              <w:t>Auditor Fees</w:t>
            </w:r>
          </w:p>
        </w:tc>
        <w:tc>
          <w:tcPr>
            <w:tcW w:w="3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92</w:t>
            </w:r>
          </w:p>
        </w:tc>
        <w:tc>
          <w:tcPr>
            <w:tcW w:w="140" w:type="dxa"/>
            <w:vAlign w:val="bottom"/>
            <w:shd w:val="clear" w:color="auto" w:fill="EAEAEA"/>
          </w:tcPr>
          <w:p>
            <w:pPr>
              <w:spacing w:after="0"/>
              <w:rPr>
                <w:sz w:val="19"/>
                <w:szCs w:val="19"/>
                <w:color w:val="auto"/>
              </w:rPr>
            </w:pPr>
          </w:p>
        </w:tc>
        <w:tc>
          <w:tcPr>
            <w:tcW w:w="5820" w:type="dxa"/>
            <w:vAlign w:val="bottom"/>
          </w:tcPr>
          <w:p>
            <w:pPr>
              <w:spacing w:after="0"/>
              <w:rPr>
                <w:sz w:val="19"/>
                <w:szCs w:val="19"/>
                <w:color w:val="auto"/>
              </w:rPr>
            </w:pPr>
          </w:p>
        </w:tc>
      </w:tr>
      <w:tr>
        <w:trPr>
          <w:trHeight w:val="230"/>
        </w:trPr>
        <w:tc>
          <w:tcPr>
            <w:tcW w:w="140" w:type="dxa"/>
            <w:vAlign w:val="bottom"/>
            <w:shd w:val="clear" w:color="auto" w:fill="EAEAEA"/>
          </w:tcPr>
          <w:p>
            <w:pPr>
              <w:spacing w:after="0"/>
              <w:rPr>
                <w:sz w:val="19"/>
                <w:szCs w:val="19"/>
                <w:color w:val="auto"/>
              </w:rPr>
            </w:pPr>
          </w:p>
        </w:tc>
        <w:tc>
          <w:tcPr>
            <w:tcW w:w="4760" w:type="dxa"/>
            <w:vAlign w:val="bottom"/>
            <w:shd w:val="clear" w:color="auto" w:fill="EAEAEA"/>
          </w:tcPr>
          <w:p>
            <w:pPr>
              <w:ind w:left="20"/>
              <w:spacing w:after="0"/>
              <w:rPr>
                <w:sz w:val="20"/>
                <w:szCs w:val="20"/>
                <w:color w:val="auto"/>
              </w:rPr>
            </w:pPr>
            <w:r>
              <w:rPr>
                <w:rFonts w:ascii="Arial" w:cs="Arial" w:eastAsia="Arial" w:hAnsi="Arial"/>
                <w:sz w:val="14"/>
                <w:szCs w:val="14"/>
                <w:color w:val="auto"/>
              </w:rPr>
              <w:t>Auditor Tenure</w:t>
            </w:r>
          </w:p>
        </w:tc>
        <w:tc>
          <w:tcPr>
            <w:tcW w:w="3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92</w:t>
            </w:r>
          </w:p>
        </w:tc>
        <w:tc>
          <w:tcPr>
            <w:tcW w:w="140" w:type="dxa"/>
            <w:vAlign w:val="bottom"/>
            <w:shd w:val="clear" w:color="auto" w:fill="EAEAEA"/>
          </w:tcPr>
          <w:p>
            <w:pPr>
              <w:spacing w:after="0"/>
              <w:rPr>
                <w:sz w:val="19"/>
                <w:szCs w:val="19"/>
                <w:color w:val="auto"/>
              </w:rPr>
            </w:pPr>
          </w:p>
        </w:tc>
        <w:tc>
          <w:tcPr>
            <w:tcW w:w="5820" w:type="dxa"/>
            <w:vAlign w:val="bottom"/>
          </w:tcPr>
          <w:p>
            <w:pPr>
              <w:spacing w:after="0"/>
              <w:rPr>
                <w:sz w:val="19"/>
                <w:szCs w:val="19"/>
                <w:color w:val="auto"/>
              </w:rPr>
            </w:pPr>
          </w:p>
        </w:tc>
      </w:tr>
      <w:tr>
        <w:trPr>
          <w:trHeight w:val="229"/>
        </w:trPr>
        <w:tc>
          <w:tcPr>
            <w:tcW w:w="140" w:type="dxa"/>
            <w:vAlign w:val="bottom"/>
            <w:shd w:val="clear" w:color="auto" w:fill="EAEAEA"/>
          </w:tcPr>
          <w:p>
            <w:pPr>
              <w:spacing w:after="0"/>
              <w:rPr>
                <w:sz w:val="19"/>
                <w:szCs w:val="19"/>
                <w:color w:val="auto"/>
              </w:rPr>
            </w:pPr>
          </w:p>
        </w:tc>
        <w:tc>
          <w:tcPr>
            <w:tcW w:w="4760" w:type="dxa"/>
            <w:vAlign w:val="bottom"/>
            <w:shd w:val="clear" w:color="auto" w:fill="EAEAEA"/>
          </w:tcPr>
          <w:p>
            <w:pPr>
              <w:ind w:left="20"/>
              <w:spacing w:after="0"/>
              <w:rPr>
                <w:sz w:val="20"/>
                <w:szCs w:val="20"/>
                <w:color w:val="auto"/>
              </w:rPr>
            </w:pPr>
            <w:r>
              <w:rPr>
                <w:rFonts w:ascii="Arial" w:cs="Arial" w:eastAsia="Arial" w:hAnsi="Arial"/>
                <w:sz w:val="14"/>
                <w:szCs w:val="14"/>
                <w:color w:val="auto"/>
              </w:rPr>
              <w:t>Board Diversity</w:t>
            </w:r>
          </w:p>
        </w:tc>
        <w:tc>
          <w:tcPr>
            <w:tcW w:w="3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EAEAEA"/>
          </w:tcPr>
          <w:p>
            <w:pPr>
              <w:spacing w:after="0"/>
              <w:rPr>
                <w:sz w:val="19"/>
                <w:szCs w:val="19"/>
                <w:color w:val="auto"/>
              </w:rPr>
            </w:pPr>
          </w:p>
        </w:tc>
        <w:tc>
          <w:tcPr>
            <w:tcW w:w="5820" w:type="dxa"/>
            <w:vAlign w:val="bottom"/>
          </w:tcPr>
          <w:p>
            <w:pPr>
              <w:spacing w:after="0"/>
              <w:rPr>
                <w:sz w:val="19"/>
                <w:szCs w:val="19"/>
                <w:color w:val="auto"/>
              </w:rPr>
            </w:pPr>
          </w:p>
        </w:tc>
      </w:tr>
      <w:tr>
        <w:trPr>
          <w:trHeight w:val="229"/>
        </w:trPr>
        <w:tc>
          <w:tcPr>
            <w:tcW w:w="140" w:type="dxa"/>
            <w:vAlign w:val="bottom"/>
            <w:shd w:val="clear" w:color="auto" w:fill="EAEAEA"/>
          </w:tcPr>
          <w:p>
            <w:pPr>
              <w:spacing w:after="0"/>
              <w:rPr>
                <w:sz w:val="19"/>
                <w:szCs w:val="19"/>
                <w:color w:val="auto"/>
              </w:rPr>
            </w:pPr>
          </w:p>
        </w:tc>
        <w:tc>
          <w:tcPr>
            <w:tcW w:w="4760" w:type="dxa"/>
            <w:vAlign w:val="bottom"/>
            <w:shd w:val="clear" w:color="auto" w:fill="EAEAEA"/>
          </w:tcPr>
          <w:p>
            <w:pPr>
              <w:ind w:left="20"/>
              <w:spacing w:after="0"/>
              <w:rPr>
                <w:sz w:val="20"/>
                <w:szCs w:val="20"/>
                <w:color w:val="auto"/>
              </w:rPr>
            </w:pPr>
            <w:r>
              <w:rPr>
                <w:rFonts w:ascii="Arial" w:cs="Arial" w:eastAsia="Arial" w:hAnsi="Arial"/>
                <w:sz w:val="14"/>
                <w:szCs w:val="14"/>
                <w:color w:val="auto"/>
              </w:rPr>
              <w:t>Board Leadership</w:t>
            </w:r>
          </w:p>
        </w:tc>
        <w:tc>
          <w:tcPr>
            <w:tcW w:w="3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22</w:t>
            </w:r>
          </w:p>
        </w:tc>
        <w:tc>
          <w:tcPr>
            <w:tcW w:w="140" w:type="dxa"/>
            <w:vAlign w:val="bottom"/>
            <w:shd w:val="clear" w:color="auto" w:fill="EAEAEA"/>
          </w:tcPr>
          <w:p>
            <w:pPr>
              <w:spacing w:after="0"/>
              <w:rPr>
                <w:sz w:val="19"/>
                <w:szCs w:val="19"/>
                <w:color w:val="auto"/>
              </w:rPr>
            </w:pPr>
          </w:p>
        </w:tc>
        <w:tc>
          <w:tcPr>
            <w:tcW w:w="5820" w:type="dxa"/>
            <w:vAlign w:val="bottom"/>
          </w:tcPr>
          <w:p>
            <w:pPr>
              <w:spacing w:after="0"/>
              <w:rPr>
                <w:sz w:val="19"/>
                <w:szCs w:val="19"/>
                <w:color w:val="auto"/>
              </w:rPr>
            </w:pPr>
          </w:p>
        </w:tc>
      </w:tr>
      <w:tr>
        <w:trPr>
          <w:trHeight w:val="230"/>
        </w:trPr>
        <w:tc>
          <w:tcPr>
            <w:tcW w:w="140" w:type="dxa"/>
            <w:vAlign w:val="bottom"/>
            <w:shd w:val="clear" w:color="auto" w:fill="EAEAEA"/>
          </w:tcPr>
          <w:p>
            <w:pPr>
              <w:spacing w:after="0"/>
              <w:rPr>
                <w:sz w:val="19"/>
                <w:szCs w:val="19"/>
                <w:color w:val="auto"/>
              </w:rPr>
            </w:pPr>
          </w:p>
        </w:tc>
        <w:tc>
          <w:tcPr>
            <w:tcW w:w="4760" w:type="dxa"/>
            <w:vAlign w:val="bottom"/>
            <w:shd w:val="clear" w:color="auto" w:fill="EAEAEA"/>
          </w:tcPr>
          <w:p>
            <w:pPr>
              <w:ind w:left="20"/>
              <w:spacing w:after="0"/>
              <w:rPr>
                <w:sz w:val="20"/>
                <w:szCs w:val="20"/>
                <w:color w:val="auto"/>
              </w:rPr>
            </w:pPr>
            <w:r>
              <w:rPr>
                <w:rFonts w:ascii="Arial" w:cs="Arial" w:eastAsia="Arial" w:hAnsi="Arial"/>
                <w:sz w:val="14"/>
                <w:szCs w:val="14"/>
                <w:color w:val="auto"/>
              </w:rPr>
              <w:t>Board Meeting Attendance</w:t>
            </w:r>
          </w:p>
        </w:tc>
        <w:tc>
          <w:tcPr>
            <w:tcW w:w="3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25</w:t>
            </w:r>
          </w:p>
        </w:tc>
        <w:tc>
          <w:tcPr>
            <w:tcW w:w="140" w:type="dxa"/>
            <w:vAlign w:val="bottom"/>
            <w:shd w:val="clear" w:color="auto" w:fill="EAEAEA"/>
          </w:tcPr>
          <w:p>
            <w:pPr>
              <w:spacing w:after="0"/>
              <w:rPr>
                <w:sz w:val="19"/>
                <w:szCs w:val="19"/>
                <w:color w:val="auto"/>
              </w:rPr>
            </w:pPr>
          </w:p>
        </w:tc>
        <w:tc>
          <w:tcPr>
            <w:tcW w:w="5820" w:type="dxa"/>
            <w:vAlign w:val="bottom"/>
          </w:tcPr>
          <w:p>
            <w:pPr>
              <w:spacing w:after="0"/>
              <w:rPr>
                <w:sz w:val="19"/>
                <w:szCs w:val="19"/>
                <w:color w:val="auto"/>
              </w:rPr>
            </w:pPr>
          </w:p>
        </w:tc>
      </w:tr>
      <w:tr>
        <w:trPr>
          <w:trHeight w:val="229"/>
        </w:trPr>
        <w:tc>
          <w:tcPr>
            <w:tcW w:w="140" w:type="dxa"/>
            <w:vAlign w:val="bottom"/>
            <w:shd w:val="clear" w:color="auto" w:fill="EAEAEA"/>
          </w:tcPr>
          <w:p>
            <w:pPr>
              <w:spacing w:after="0"/>
              <w:rPr>
                <w:sz w:val="19"/>
                <w:szCs w:val="19"/>
                <w:color w:val="auto"/>
              </w:rPr>
            </w:pPr>
          </w:p>
        </w:tc>
        <w:tc>
          <w:tcPr>
            <w:tcW w:w="4760" w:type="dxa"/>
            <w:vAlign w:val="bottom"/>
            <w:shd w:val="clear" w:color="auto" w:fill="EAEAEA"/>
          </w:tcPr>
          <w:p>
            <w:pPr>
              <w:ind w:left="20"/>
              <w:spacing w:after="0"/>
              <w:rPr>
                <w:sz w:val="20"/>
                <w:szCs w:val="20"/>
                <w:color w:val="auto"/>
              </w:rPr>
            </w:pPr>
            <w:r>
              <w:rPr>
                <w:rFonts w:ascii="Arial" w:cs="Arial" w:eastAsia="Arial" w:hAnsi="Arial"/>
                <w:sz w:val="14"/>
                <w:szCs w:val="14"/>
                <w:color w:val="auto"/>
              </w:rPr>
              <w:t>Clawback Policy</w:t>
            </w:r>
          </w:p>
        </w:tc>
        <w:tc>
          <w:tcPr>
            <w:tcW w:w="3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33</w:t>
            </w:r>
          </w:p>
        </w:tc>
        <w:tc>
          <w:tcPr>
            <w:tcW w:w="140" w:type="dxa"/>
            <w:vAlign w:val="bottom"/>
            <w:shd w:val="clear" w:color="auto" w:fill="EAEAEA"/>
          </w:tcPr>
          <w:p>
            <w:pPr>
              <w:spacing w:after="0"/>
              <w:rPr>
                <w:sz w:val="19"/>
                <w:szCs w:val="19"/>
                <w:color w:val="auto"/>
              </w:rPr>
            </w:pPr>
          </w:p>
        </w:tc>
        <w:tc>
          <w:tcPr>
            <w:tcW w:w="5820" w:type="dxa"/>
            <w:vAlign w:val="bottom"/>
          </w:tcPr>
          <w:p>
            <w:pPr>
              <w:spacing w:after="0"/>
              <w:rPr>
                <w:sz w:val="19"/>
                <w:szCs w:val="19"/>
                <w:color w:val="auto"/>
              </w:rPr>
            </w:pPr>
          </w:p>
        </w:tc>
      </w:tr>
      <w:tr>
        <w:trPr>
          <w:trHeight w:val="230"/>
        </w:trPr>
        <w:tc>
          <w:tcPr>
            <w:tcW w:w="140" w:type="dxa"/>
            <w:vAlign w:val="bottom"/>
            <w:shd w:val="clear" w:color="auto" w:fill="EAEAEA"/>
          </w:tcPr>
          <w:p>
            <w:pPr>
              <w:spacing w:after="0"/>
              <w:rPr>
                <w:sz w:val="19"/>
                <w:szCs w:val="19"/>
                <w:color w:val="auto"/>
              </w:rPr>
            </w:pPr>
          </w:p>
        </w:tc>
        <w:tc>
          <w:tcPr>
            <w:tcW w:w="4760" w:type="dxa"/>
            <w:vAlign w:val="bottom"/>
            <w:shd w:val="clear" w:color="auto" w:fill="EAEAEA"/>
          </w:tcPr>
          <w:p>
            <w:pPr>
              <w:ind w:left="20"/>
              <w:spacing w:after="0"/>
              <w:rPr>
                <w:sz w:val="20"/>
                <w:szCs w:val="20"/>
                <w:color w:val="auto"/>
              </w:rPr>
            </w:pPr>
            <w:r>
              <w:rPr>
                <w:rFonts w:ascii="Arial" w:cs="Arial" w:eastAsia="Arial" w:hAnsi="Arial"/>
                <w:sz w:val="14"/>
                <w:szCs w:val="14"/>
                <w:color w:val="auto"/>
              </w:rPr>
              <w:t>Code of Conduct</w:t>
            </w:r>
          </w:p>
        </w:tc>
        <w:tc>
          <w:tcPr>
            <w:tcW w:w="3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32</w:t>
            </w:r>
          </w:p>
        </w:tc>
        <w:tc>
          <w:tcPr>
            <w:tcW w:w="140" w:type="dxa"/>
            <w:vAlign w:val="bottom"/>
            <w:shd w:val="clear" w:color="auto" w:fill="EAEAEA"/>
          </w:tcPr>
          <w:p>
            <w:pPr>
              <w:spacing w:after="0"/>
              <w:rPr>
                <w:sz w:val="19"/>
                <w:szCs w:val="19"/>
                <w:color w:val="auto"/>
              </w:rPr>
            </w:pPr>
          </w:p>
        </w:tc>
        <w:tc>
          <w:tcPr>
            <w:tcW w:w="5820" w:type="dxa"/>
            <w:vAlign w:val="bottom"/>
          </w:tcPr>
          <w:p>
            <w:pPr>
              <w:spacing w:after="0"/>
              <w:rPr>
                <w:sz w:val="19"/>
                <w:szCs w:val="19"/>
                <w:color w:val="auto"/>
              </w:rPr>
            </w:pPr>
          </w:p>
        </w:tc>
      </w:tr>
      <w:tr>
        <w:trPr>
          <w:trHeight w:val="229"/>
        </w:trPr>
        <w:tc>
          <w:tcPr>
            <w:tcW w:w="140" w:type="dxa"/>
            <w:vAlign w:val="bottom"/>
            <w:shd w:val="clear" w:color="auto" w:fill="EAEAEA"/>
          </w:tcPr>
          <w:p>
            <w:pPr>
              <w:spacing w:after="0"/>
              <w:rPr>
                <w:sz w:val="19"/>
                <w:szCs w:val="19"/>
                <w:color w:val="auto"/>
              </w:rPr>
            </w:pPr>
          </w:p>
        </w:tc>
        <w:tc>
          <w:tcPr>
            <w:tcW w:w="4760" w:type="dxa"/>
            <w:vAlign w:val="bottom"/>
            <w:shd w:val="clear" w:color="auto" w:fill="EAEAEA"/>
          </w:tcPr>
          <w:p>
            <w:pPr>
              <w:ind w:left="20"/>
              <w:spacing w:after="0"/>
              <w:rPr>
                <w:sz w:val="20"/>
                <w:szCs w:val="20"/>
                <w:color w:val="auto"/>
              </w:rPr>
            </w:pPr>
            <w:r>
              <w:rPr>
                <w:rFonts w:ascii="Arial" w:cs="Arial" w:eastAsia="Arial" w:hAnsi="Arial"/>
                <w:sz w:val="14"/>
                <w:szCs w:val="14"/>
                <w:color w:val="auto"/>
              </w:rPr>
              <w:t>Compensation Consultant Fees</w:t>
            </w:r>
          </w:p>
        </w:tc>
        <w:tc>
          <w:tcPr>
            <w:tcW w:w="3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84</w:t>
            </w:r>
          </w:p>
        </w:tc>
        <w:tc>
          <w:tcPr>
            <w:tcW w:w="140" w:type="dxa"/>
            <w:vAlign w:val="bottom"/>
            <w:shd w:val="clear" w:color="auto" w:fill="EAEAEA"/>
          </w:tcPr>
          <w:p>
            <w:pPr>
              <w:spacing w:after="0"/>
              <w:rPr>
                <w:sz w:val="19"/>
                <w:szCs w:val="19"/>
                <w:color w:val="auto"/>
              </w:rPr>
            </w:pPr>
          </w:p>
        </w:tc>
        <w:tc>
          <w:tcPr>
            <w:tcW w:w="5820" w:type="dxa"/>
            <w:vAlign w:val="bottom"/>
          </w:tcPr>
          <w:p>
            <w:pPr>
              <w:spacing w:after="0"/>
              <w:rPr>
                <w:sz w:val="19"/>
                <w:szCs w:val="19"/>
                <w:color w:val="auto"/>
              </w:rPr>
            </w:pPr>
          </w:p>
        </w:tc>
      </w:tr>
      <w:tr>
        <w:trPr>
          <w:trHeight w:val="229"/>
        </w:trPr>
        <w:tc>
          <w:tcPr>
            <w:tcW w:w="140" w:type="dxa"/>
            <w:vAlign w:val="bottom"/>
            <w:shd w:val="clear" w:color="auto" w:fill="EAEAEA"/>
          </w:tcPr>
          <w:p>
            <w:pPr>
              <w:spacing w:after="0"/>
              <w:rPr>
                <w:sz w:val="19"/>
                <w:szCs w:val="19"/>
                <w:color w:val="auto"/>
              </w:rPr>
            </w:pPr>
          </w:p>
        </w:tc>
        <w:tc>
          <w:tcPr>
            <w:tcW w:w="4760" w:type="dxa"/>
            <w:vAlign w:val="bottom"/>
            <w:shd w:val="clear" w:color="auto" w:fill="EAEAEA"/>
          </w:tcPr>
          <w:p>
            <w:pPr>
              <w:ind w:left="20"/>
              <w:spacing w:after="0"/>
              <w:rPr>
                <w:sz w:val="20"/>
                <w:szCs w:val="20"/>
                <w:color w:val="auto"/>
              </w:rPr>
            </w:pPr>
            <w:r>
              <w:rPr>
                <w:rFonts w:ascii="Arial" w:cs="Arial" w:eastAsia="Arial" w:hAnsi="Arial"/>
                <w:sz w:val="14"/>
                <w:szCs w:val="14"/>
                <w:color w:val="auto"/>
              </w:rPr>
              <w:t>Corporate Governance Guidelines</w:t>
            </w:r>
          </w:p>
        </w:tc>
        <w:tc>
          <w:tcPr>
            <w:tcW w:w="3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22</w:t>
            </w:r>
          </w:p>
        </w:tc>
        <w:tc>
          <w:tcPr>
            <w:tcW w:w="140" w:type="dxa"/>
            <w:vAlign w:val="bottom"/>
            <w:shd w:val="clear" w:color="auto" w:fill="EAEAEA"/>
          </w:tcPr>
          <w:p>
            <w:pPr>
              <w:spacing w:after="0"/>
              <w:rPr>
                <w:sz w:val="19"/>
                <w:szCs w:val="19"/>
                <w:color w:val="auto"/>
              </w:rPr>
            </w:pPr>
          </w:p>
        </w:tc>
        <w:tc>
          <w:tcPr>
            <w:tcW w:w="5820" w:type="dxa"/>
            <w:vAlign w:val="bottom"/>
          </w:tcPr>
          <w:p>
            <w:pPr>
              <w:spacing w:after="0"/>
              <w:rPr>
                <w:sz w:val="19"/>
                <w:szCs w:val="19"/>
                <w:color w:val="auto"/>
              </w:rPr>
            </w:pPr>
          </w:p>
        </w:tc>
      </w:tr>
      <w:tr>
        <w:trPr>
          <w:trHeight w:val="230"/>
        </w:trPr>
        <w:tc>
          <w:tcPr>
            <w:tcW w:w="140" w:type="dxa"/>
            <w:vAlign w:val="bottom"/>
            <w:shd w:val="clear" w:color="auto" w:fill="EAEAEA"/>
          </w:tcPr>
          <w:p>
            <w:pPr>
              <w:spacing w:after="0"/>
              <w:rPr>
                <w:sz w:val="19"/>
                <w:szCs w:val="19"/>
                <w:color w:val="auto"/>
              </w:rPr>
            </w:pPr>
          </w:p>
        </w:tc>
        <w:tc>
          <w:tcPr>
            <w:tcW w:w="4760" w:type="dxa"/>
            <w:vAlign w:val="bottom"/>
            <w:shd w:val="clear" w:color="auto" w:fill="EAEAEA"/>
          </w:tcPr>
          <w:p>
            <w:pPr>
              <w:ind w:left="20"/>
              <w:spacing w:after="0"/>
              <w:rPr>
                <w:sz w:val="20"/>
                <w:szCs w:val="20"/>
                <w:color w:val="auto"/>
              </w:rPr>
            </w:pPr>
            <w:r>
              <w:rPr>
                <w:rFonts w:ascii="Arial" w:cs="Arial" w:eastAsia="Arial" w:hAnsi="Arial"/>
                <w:sz w:val="14"/>
                <w:szCs w:val="14"/>
                <w:color w:val="auto"/>
              </w:rPr>
              <w:t>Corporate Sustainability and Social Impact Pillar Highlights</w:t>
            </w:r>
          </w:p>
        </w:tc>
        <w:tc>
          <w:tcPr>
            <w:tcW w:w="3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EAEAEA"/>
          </w:tcPr>
          <w:p>
            <w:pPr>
              <w:spacing w:after="0"/>
              <w:rPr>
                <w:sz w:val="19"/>
                <w:szCs w:val="19"/>
                <w:color w:val="auto"/>
              </w:rPr>
            </w:pPr>
          </w:p>
        </w:tc>
        <w:tc>
          <w:tcPr>
            <w:tcW w:w="5820" w:type="dxa"/>
            <w:vAlign w:val="bottom"/>
          </w:tcPr>
          <w:p>
            <w:pPr>
              <w:spacing w:after="0"/>
              <w:rPr>
                <w:sz w:val="19"/>
                <w:szCs w:val="19"/>
                <w:color w:val="auto"/>
              </w:rPr>
            </w:pPr>
          </w:p>
        </w:tc>
      </w:tr>
      <w:tr>
        <w:trPr>
          <w:trHeight w:val="229"/>
        </w:trPr>
        <w:tc>
          <w:tcPr>
            <w:tcW w:w="140" w:type="dxa"/>
            <w:vAlign w:val="bottom"/>
            <w:shd w:val="clear" w:color="auto" w:fill="EAEAEA"/>
          </w:tcPr>
          <w:p>
            <w:pPr>
              <w:spacing w:after="0"/>
              <w:rPr>
                <w:sz w:val="19"/>
                <w:szCs w:val="19"/>
                <w:color w:val="auto"/>
              </w:rPr>
            </w:pPr>
          </w:p>
        </w:tc>
        <w:tc>
          <w:tcPr>
            <w:tcW w:w="4760" w:type="dxa"/>
            <w:vAlign w:val="bottom"/>
            <w:shd w:val="clear" w:color="auto" w:fill="EAEAEA"/>
          </w:tcPr>
          <w:p>
            <w:pPr>
              <w:ind w:left="20"/>
              <w:spacing w:after="0"/>
              <w:rPr>
                <w:sz w:val="20"/>
                <w:szCs w:val="20"/>
                <w:color w:val="auto"/>
              </w:rPr>
            </w:pPr>
            <w:r>
              <w:rPr>
                <w:rFonts w:ascii="Arial" w:cs="Arial" w:eastAsia="Arial" w:hAnsi="Arial"/>
                <w:sz w:val="14"/>
                <w:szCs w:val="14"/>
                <w:color w:val="auto"/>
              </w:rPr>
              <w:t>Director Biographies</w:t>
            </w:r>
          </w:p>
        </w:tc>
        <w:tc>
          <w:tcPr>
            <w:tcW w:w="3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16</w:t>
            </w:r>
          </w:p>
        </w:tc>
        <w:tc>
          <w:tcPr>
            <w:tcW w:w="140" w:type="dxa"/>
            <w:vAlign w:val="bottom"/>
            <w:shd w:val="clear" w:color="auto" w:fill="EAEAEA"/>
          </w:tcPr>
          <w:p>
            <w:pPr>
              <w:spacing w:after="0"/>
              <w:rPr>
                <w:sz w:val="19"/>
                <w:szCs w:val="19"/>
                <w:color w:val="auto"/>
              </w:rPr>
            </w:pPr>
          </w:p>
        </w:tc>
        <w:tc>
          <w:tcPr>
            <w:tcW w:w="5820" w:type="dxa"/>
            <w:vAlign w:val="bottom"/>
          </w:tcPr>
          <w:p>
            <w:pPr>
              <w:spacing w:after="0"/>
              <w:rPr>
                <w:sz w:val="19"/>
                <w:szCs w:val="19"/>
                <w:color w:val="auto"/>
              </w:rPr>
            </w:pPr>
          </w:p>
        </w:tc>
      </w:tr>
      <w:tr>
        <w:trPr>
          <w:trHeight w:val="229"/>
        </w:trPr>
        <w:tc>
          <w:tcPr>
            <w:tcW w:w="140" w:type="dxa"/>
            <w:vAlign w:val="bottom"/>
            <w:shd w:val="clear" w:color="auto" w:fill="EAEAEA"/>
          </w:tcPr>
          <w:p>
            <w:pPr>
              <w:spacing w:after="0"/>
              <w:rPr>
                <w:sz w:val="19"/>
                <w:szCs w:val="19"/>
                <w:color w:val="auto"/>
              </w:rPr>
            </w:pPr>
          </w:p>
        </w:tc>
        <w:tc>
          <w:tcPr>
            <w:tcW w:w="4760" w:type="dxa"/>
            <w:vAlign w:val="bottom"/>
            <w:shd w:val="clear" w:color="auto" w:fill="EAEAEA"/>
          </w:tcPr>
          <w:p>
            <w:pPr>
              <w:ind w:left="20"/>
              <w:spacing w:after="0"/>
              <w:rPr>
                <w:sz w:val="20"/>
                <w:szCs w:val="20"/>
                <w:color w:val="auto"/>
              </w:rPr>
            </w:pPr>
            <w:r>
              <w:rPr>
                <w:rFonts w:ascii="Arial" w:cs="Arial" w:eastAsia="Arial" w:hAnsi="Arial"/>
                <w:sz w:val="14"/>
                <w:szCs w:val="14"/>
                <w:color w:val="auto"/>
              </w:rPr>
              <w:t>Director Commitments</w:t>
            </w:r>
          </w:p>
        </w:tc>
        <w:tc>
          <w:tcPr>
            <w:tcW w:w="3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24</w:t>
            </w:r>
          </w:p>
        </w:tc>
        <w:tc>
          <w:tcPr>
            <w:tcW w:w="140" w:type="dxa"/>
            <w:vAlign w:val="bottom"/>
            <w:shd w:val="clear" w:color="auto" w:fill="EAEAEA"/>
          </w:tcPr>
          <w:p>
            <w:pPr>
              <w:spacing w:after="0"/>
              <w:rPr>
                <w:sz w:val="19"/>
                <w:szCs w:val="19"/>
                <w:color w:val="auto"/>
              </w:rPr>
            </w:pPr>
          </w:p>
        </w:tc>
        <w:tc>
          <w:tcPr>
            <w:tcW w:w="5820" w:type="dxa"/>
            <w:vAlign w:val="bottom"/>
          </w:tcPr>
          <w:p>
            <w:pPr>
              <w:spacing w:after="0"/>
              <w:rPr>
                <w:sz w:val="19"/>
                <w:szCs w:val="19"/>
                <w:color w:val="auto"/>
              </w:rPr>
            </w:pPr>
          </w:p>
        </w:tc>
      </w:tr>
      <w:tr>
        <w:trPr>
          <w:trHeight w:val="230"/>
        </w:trPr>
        <w:tc>
          <w:tcPr>
            <w:tcW w:w="140" w:type="dxa"/>
            <w:vAlign w:val="bottom"/>
            <w:shd w:val="clear" w:color="auto" w:fill="EAEAEA"/>
          </w:tcPr>
          <w:p>
            <w:pPr>
              <w:spacing w:after="0"/>
              <w:rPr>
                <w:sz w:val="19"/>
                <w:szCs w:val="19"/>
                <w:color w:val="auto"/>
              </w:rPr>
            </w:pPr>
          </w:p>
        </w:tc>
        <w:tc>
          <w:tcPr>
            <w:tcW w:w="4760" w:type="dxa"/>
            <w:vAlign w:val="bottom"/>
            <w:shd w:val="clear" w:color="auto" w:fill="EAEAEA"/>
          </w:tcPr>
          <w:p>
            <w:pPr>
              <w:ind w:left="20"/>
              <w:spacing w:after="0"/>
              <w:rPr>
                <w:sz w:val="20"/>
                <w:szCs w:val="20"/>
                <w:color w:val="auto"/>
              </w:rPr>
            </w:pPr>
            <w:r>
              <w:rPr>
                <w:rFonts w:ascii="Arial" w:cs="Arial" w:eastAsia="Arial" w:hAnsi="Arial"/>
                <w:sz w:val="14"/>
                <w:szCs w:val="14"/>
                <w:color w:val="auto"/>
              </w:rPr>
              <w:t>Director Independence</w:t>
            </w:r>
          </w:p>
        </w:tc>
        <w:tc>
          <w:tcPr>
            <w:tcW w:w="3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23</w:t>
            </w:r>
          </w:p>
        </w:tc>
        <w:tc>
          <w:tcPr>
            <w:tcW w:w="140" w:type="dxa"/>
            <w:vAlign w:val="bottom"/>
            <w:shd w:val="clear" w:color="auto" w:fill="EAEAEA"/>
          </w:tcPr>
          <w:p>
            <w:pPr>
              <w:spacing w:after="0"/>
              <w:rPr>
                <w:sz w:val="19"/>
                <w:szCs w:val="19"/>
                <w:color w:val="auto"/>
              </w:rPr>
            </w:pPr>
          </w:p>
        </w:tc>
        <w:tc>
          <w:tcPr>
            <w:tcW w:w="5820" w:type="dxa"/>
            <w:vAlign w:val="bottom"/>
          </w:tcPr>
          <w:p>
            <w:pPr>
              <w:spacing w:after="0"/>
              <w:rPr>
                <w:sz w:val="19"/>
                <w:szCs w:val="19"/>
                <w:color w:val="auto"/>
              </w:rPr>
            </w:pPr>
          </w:p>
        </w:tc>
      </w:tr>
      <w:tr>
        <w:trPr>
          <w:trHeight w:val="229"/>
        </w:trPr>
        <w:tc>
          <w:tcPr>
            <w:tcW w:w="140" w:type="dxa"/>
            <w:vAlign w:val="bottom"/>
            <w:shd w:val="clear" w:color="auto" w:fill="EAEAEA"/>
          </w:tcPr>
          <w:p>
            <w:pPr>
              <w:spacing w:after="0"/>
              <w:rPr>
                <w:sz w:val="19"/>
                <w:szCs w:val="19"/>
                <w:color w:val="auto"/>
              </w:rPr>
            </w:pPr>
          </w:p>
        </w:tc>
        <w:tc>
          <w:tcPr>
            <w:tcW w:w="4760" w:type="dxa"/>
            <w:vAlign w:val="bottom"/>
            <w:shd w:val="clear" w:color="auto" w:fill="EAEAEA"/>
          </w:tcPr>
          <w:p>
            <w:pPr>
              <w:ind w:left="20"/>
              <w:spacing w:after="0"/>
              <w:rPr>
                <w:sz w:val="20"/>
                <w:szCs w:val="20"/>
                <w:color w:val="auto"/>
              </w:rPr>
            </w:pPr>
            <w:r>
              <w:rPr>
                <w:rFonts w:ascii="Arial" w:cs="Arial" w:eastAsia="Arial" w:hAnsi="Arial"/>
                <w:sz w:val="14"/>
                <w:szCs w:val="14"/>
                <w:color w:val="auto"/>
              </w:rPr>
              <w:t>Director Qualifications</w:t>
            </w:r>
          </w:p>
        </w:tc>
        <w:tc>
          <w:tcPr>
            <w:tcW w:w="3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14</w:t>
            </w:r>
          </w:p>
        </w:tc>
        <w:tc>
          <w:tcPr>
            <w:tcW w:w="140" w:type="dxa"/>
            <w:vAlign w:val="bottom"/>
            <w:shd w:val="clear" w:color="auto" w:fill="EAEAEA"/>
          </w:tcPr>
          <w:p>
            <w:pPr>
              <w:spacing w:after="0"/>
              <w:rPr>
                <w:sz w:val="19"/>
                <w:szCs w:val="19"/>
                <w:color w:val="auto"/>
              </w:rPr>
            </w:pPr>
          </w:p>
        </w:tc>
        <w:tc>
          <w:tcPr>
            <w:tcW w:w="5820" w:type="dxa"/>
            <w:vAlign w:val="bottom"/>
          </w:tcPr>
          <w:p>
            <w:pPr>
              <w:spacing w:after="0"/>
              <w:rPr>
                <w:sz w:val="19"/>
                <w:szCs w:val="19"/>
                <w:color w:val="auto"/>
              </w:rPr>
            </w:pPr>
          </w:p>
        </w:tc>
      </w:tr>
      <w:tr>
        <w:trPr>
          <w:trHeight w:val="230"/>
        </w:trPr>
        <w:tc>
          <w:tcPr>
            <w:tcW w:w="140" w:type="dxa"/>
            <w:vAlign w:val="bottom"/>
            <w:shd w:val="clear" w:color="auto" w:fill="EAEAEA"/>
          </w:tcPr>
          <w:p>
            <w:pPr>
              <w:spacing w:after="0"/>
              <w:rPr>
                <w:sz w:val="19"/>
                <w:szCs w:val="19"/>
                <w:color w:val="auto"/>
              </w:rPr>
            </w:pPr>
          </w:p>
        </w:tc>
        <w:tc>
          <w:tcPr>
            <w:tcW w:w="4760" w:type="dxa"/>
            <w:vAlign w:val="bottom"/>
            <w:shd w:val="clear" w:color="auto" w:fill="EAEAEA"/>
          </w:tcPr>
          <w:p>
            <w:pPr>
              <w:ind w:left="20"/>
              <w:spacing w:after="0"/>
              <w:rPr>
                <w:sz w:val="20"/>
                <w:szCs w:val="20"/>
                <w:color w:val="auto"/>
              </w:rPr>
            </w:pPr>
            <w:r>
              <w:rPr>
                <w:rFonts w:ascii="Arial" w:cs="Arial" w:eastAsia="Arial" w:hAnsi="Arial"/>
                <w:sz w:val="14"/>
                <w:szCs w:val="14"/>
                <w:color w:val="auto"/>
              </w:rPr>
              <w:t>Corporate Sustainability and Social Impact</w:t>
            </w:r>
          </w:p>
        </w:tc>
        <w:tc>
          <w:tcPr>
            <w:tcW w:w="3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EAEAEA"/>
          </w:tcPr>
          <w:p>
            <w:pPr>
              <w:spacing w:after="0"/>
              <w:rPr>
                <w:sz w:val="19"/>
                <w:szCs w:val="19"/>
                <w:color w:val="auto"/>
              </w:rPr>
            </w:pPr>
          </w:p>
        </w:tc>
        <w:tc>
          <w:tcPr>
            <w:tcW w:w="5820" w:type="dxa"/>
            <w:vAlign w:val="bottom"/>
          </w:tcPr>
          <w:p>
            <w:pPr>
              <w:spacing w:after="0"/>
              <w:rPr>
                <w:sz w:val="19"/>
                <w:szCs w:val="19"/>
                <w:color w:val="auto"/>
              </w:rPr>
            </w:pPr>
          </w:p>
        </w:tc>
      </w:tr>
      <w:tr>
        <w:trPr>
          <w:trHeight w:val="229"/>
        </w:trPr>
        <w:tc>
          <w:tcPr>
            <w:tcW w:w="140" w:type="dxa"/>
            <w:vAlign w:val="bottom"/>
            <w:shd w:val="clear" w:color="auto" w:fill="EAEAEA"/>
          </w:tcPr>
          <w:p>
            <w:pPr>
              <w:spacing w:after="0"/>
              <w:rPr>
                <w:sz w:val="19"/>
                <w:szCs w:val="19"/>
                <w:color w:val="auto"/>
              </w:rPr>
            </w:pPr>
          </w:p>
        </w:tc>
        <w:tc>
          <w:tcPr>
            <w:tcW w:w="4760" w:type="dxa"/>
            <w:vAlign w:val="bottom"/>
            <w:shd w:val="clear" w:color="auto" w:fill="EAEAEA"/>
          </w:tcPr>
          <w:p>
            <w:pPr>
              <w:ind w:left="20"/>
              <w:spacing w:after="0"/>
              <w:rPr>
                <w:sz w:val="20"/>
                <w:szCs w:val="20"/>
                <w:color w:val="auto"/>
              </w:rPr>
            </w:pPr>
            <w:r>
              <w:rPr>
                <w:rFonts w:ascii="Arial" w:cs="Arial" w:eastAsia="Arial" w:hAnsi="Arial"/>
                <w:sz w:val="14"/>
                <w:szCs w:val="14"/>
                <w:color w:val="auto"/>
              </w:rPr>
              <w:t>Item 402(v) Pay versus Performance</w:t>
            </w:r>
          </w:p>
        </w:tc>
        <w:tc>
          <w:tcPr>
            <w:tcW w:w="3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81</w:t>
            </w:r>
          </w:p>
        </w:tc>
        <w:tc>
          <w:tcPr>
            <w:tcW w:w="140" w:type="dxa"/>
            <w:vAlign w:val="bottom"/>
            <w:shd w:val="clear" w:color="auto" w:fill="EAEAEA"/>
          </w:tcPr>
          <w:p>
            <w:pPr>
              <w:spacing w:after="0"/>
              <w:rPr>
                <w:sz w:val="19"/>
                <w:szCs w:val="19"/>
                <w:color w:val="auto"/>
              </w:rPr>
            </w:pPr>
          </w:p>
        </w:tc>
        <w:tc>
          <w:tcPr>
            <w:tcW w:w="5820" w:type="dxa"/>
            <w:vAlign w:val="bottom"/>
          </w:tcPr>
          <w:p>
            <w:pPr>
              <w:spacing w:after="0"/>
              <w:rPr>
                <w:sz w:val="19"/>
                <w:szCs w:val="19"/>
                <w:color w:val="auto"/>
              </w:rPr>
            </w:pPr>
          </w:p>
        </w:tc>
      </w:tr>
      <w:tr>
        <w:trPr>
          <w:trHeight w:val="229"/>
        </w:trPr>
        <w:tc>
          <w:tcPr>
            <w:tcW w:w="140" w:type="dxa"/>
            <w:vAlign w:val="bottom"/>
            <w:shd w:val="clear" w:color="auto" w:fill="EAEAEA"/>
          </w:tcPr>
          <w:p>
            <w:pPr>
              <w:spacing w:after="0"/>
              <w:rPr>
                <w:sz w:val="19"/>
                <w:szCs w:val="19"/>
                <w:color w:val="auto"/>
              </w:rPr>
            </w:pPr>
          </w:p>
        </w:tc>
        <w:tc>
          <w:tcPr>
            <w:tcW w:w="4760" w:type="dxa"/>
            <w:vAlign w:val="bottom"/>
            <w:shd w:val="clear" w:color="auto" w:fill="EAEAEA"/>
          </w:tcPr>
          <w:p>
            <w:pPr>
              <w:ind w:left="20"/>
              <w:spacing w:after="0"/>
              <w:rPr>
                <w:sz w:val="20"/>
                <w:szCs w:val="20"/>
                <w:color w:val="auto"/>
              </w:rPr>
            </w:pPr>
            <w:r>
              <w:rPr>
                <w:rFonts w:ascii="Arial" w:cs="Arial" w:eastAsia="Arial" w:hAnsi="Arial"/>
                <w:sz w:val="14"/>
                <w:szCs w:val="14"/>
                <w:color w:val="auto"/>
              </w:rPr>
              <w:t>Majority Voting for Directors</w:t>
            </w:r>
          </w:p>
        </w:tc>
        <w:tc>
          <w:tcPr>
            <w:tcW w:w="3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14</w:t>
            </w:r>
          </w:p>
        </w:tc>
        <w:tc>
          <w:tcPr>
            <w:tcW w:w="140" w:type="dxa"/>
            <w:vAlign w:val="bottom"/>
            <w:shd w:val="clear" w:color="auto" w:fill="EAEAEA"/>
          </w:tcPr>
          <w:p>
            <w:pPr>
              <w:spacing w:after="0"/>
              <w:rPr>
                <w:sz w:val="19"/>
                <w:szCs w:val="19"/>
                <w:color w:val="auto"/>
              </w:rPr>
            </w:pPr>
          </w:p>
        </w:tc>
        <w:tc>
          <w:tcPr>
            <w:tcW w:w="5820" w:type="dxa"/>
            <w:vAlign w:val="bottom"/>
          </w:tcPr>
          <w:p>
            <w:pPr>
              <w:spacing w:after="0"/>
              <w:rPr>
                <w:sz w:val="19"/>
                <w:szCs w:val="19"/>
                <w:color w:val="auto"/>
              </w:rPr>
            </w:pPr>
          </w:p>
        </w:tc>
      </w:tr>
      <w:tr>
        <w:trPr>
          <w:trHeight w:val="230"/>
        </w:trPr>
        <w:tc>
          <w:tcPr>
            <w:tcW w:w="140" w:type="dxa"/>
            <w:vAlign w:val="bottom"/>
            <w:shd w:val="clear" w:color="auto" w:fill="EAEAEA"/>
          </w:tcPr>
          <w:p>
            <w:pPr>
              <w:spacing w:after="0"/>
              <w:rPr>
                <w:sz w:val="19"/>
                <w:szCs w:val="19"/>
                <w:color w:val="auto"/>
              </w:rPr>
            </w:pPr>
          </w:p>
        </w:tc>
        <w:tc>
          <w:tcPr>
            <w:tcW w:w="4760" w:type="dxa"/>
            <w:vAlign w:val="bottom"/>
            <w:shd w:val="clear" w:color="auto" w:fill="EAEAEA"/>
          </w:tcPr>
          <w:p>
            <w:pPr>
              <w:ind w:left="20"/>
              <w:spacing w:after="0"/>
              <w:rPr>
                <w:sz w:val="20"/>
                <w:szCs w:val="20"/>
                <w:color w:val="auto"/>
              </w:rPr>
            </w:pPr>
            <w:r>
              <w:rPr>
                <w:rFonts w:ascii="Arial" w:cs="Arial" w:eastAsia="Arial" w:hAnsi="Arial"/>
                <w:sz w:val="14"/>
                <w:szCs w:val="14"/>
                <w:color w:val="auto"/>
              </w:rPr>
              <w:t>Pay Ratio Disclosure</w:t>
            </w:r>
          </w:p>
        </w:tc>
        <w:tc>
          <w:tcPr>
            <w:tcW w:w="3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81</w:t>
            </w:r>
          </w:p>
        </w:tc>
        <w:tc>
          <w:tcPr>
            <w:tcW w:w="140" w:type="dxa"/>
            <w:vAlign w:val="bottom"/>
            <w:shd w:val="clear" w:color="auto" w:fill="EAEAEA"/>
          </w:tcPr>
          <w:p>
            <w:pPr>
              <w:spacing w:after="0"/>
              <w:rPr>
                <w:sz w:val="19"/>
                <w:szCs w:val="19"/>
                <w:color w:val="auto"/>
              </w:rPr>
            </w:pPr>
          </w:p>
        </w:tc>
        <w:tc>
          <w:tcPr>
            <w:tcW w:w="5820" w:type="dxa"/>
            <w:vAlign w:val="bottom"/>
          </w:tcPr>
          <w:p>
            <w:pPr>
              <w:spacing w:after="0"/>
              <w:rPr>
                <w:sz w:val="19"/>
                <w:szCs w:val="19"/>
                <w:color w:val="auto"/>
              </w:rPr>
            </w:pPr>
          </w:p>
        </w:tc>
      </w:tr>
      <w:tr>
        <w:trPr>
          <w:trHeight w:val="229"/>
        </w:trPr>
        <w:tc>
          <w:tcPr>
            <w:tcW w:w="140" w:type="dxa"/>
            <w:vAlign w:val="bottom"/>
            <w:shd w:val="clear" w:color="auto" w:fill="EAEAEA"/>
          </w:tcPr>
          <w:p>
            <w:pPr>
              <w:spacing w:after="0"/>
              <w:rPr>
                <w:sz w:val="19"/>
                <w:szCs w:val="19"/>
                <w:color w:val="auto"/>
              </w:rPr>
            </w:pPr>
          </w:p>
        </w:tc>
        <w:tc>
          <w:tcPr>
            <w:tcW w:w="4760" w:type="dxa"/>
            <w:vAlign w:val="bottom"/>
            <w:shd w:val="clear" w:color="auto" w:fill="EAEAEA"/>
          </w:tcPr>
          <w:p>
            <w:pPr>
              <w:ind w:left="20"/>
              <w:spacing w:after="0"/>
              <w:rPr>
                <w:sz w:val="20"/>
                <w:szCs w:val="20"/>
                <w:color w:val="auto"/>
              </w:rPr>
            </w:pPr>
            <w:r>
              <w:rPr>
                <w:rFonts w:ascii="Arial" w:cs="Arial" w:eastAsia="Arial" w:hAnsi="Arial"/>
                <w:sz w:val="14"/>
                <w:szCs w:val="14"/>
                <w:color w:val="auto"/>
              </w:rPr>
              <w:t>Peer Group Companies</w:t>
            </w:r>
          </w:p>
        </w:tc>
        <w:tc>
          <w:tcPr>
            <w:tcW w:w="3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45</w:t>
            </w:r>
          </w:p>
        </w:tc>
        <w:tc>
          <w:tcPr>
            <w:tcW w:w="140" w:type="dxa"/>
            <w:vAlign w:val="bottom"/>
            <w:shd w:val="clear" w:color="auto" w:fill="EAEAEA"/>
          </w:tcPr>
          <w:p>
            <w:pPr>
              <w:spacing w:after="0"/>
              <w:rPr>
                <w:sz w:val="19"/>
                <w:szCs w:val="19"/>
                <w:color w:val="auto"/>
              </w:rPr>
            </w:pPr>
          </w:p>
        </w:tc>
        <w:tc>
          <w:tcPr>
            <w:tcW w:w="5820" w:type="dxa"/>
            <w:vAlign w:val="bottom"/>
          </w:tcPr>
          <w:p>
            <w:pPr>
              <w:spacing w:after="0"/>
              <w:rPr>
                <w:sz w:val="19"/>
                <w:szCs w:val="19"/>
                <w:color w:val="auto"/>
              </w:rPr>
            </w:pPr>
          </w:p>
        </w:tc>
      </w:tr>
      <w:tr>
        <w:trPr>
          <w:trHeight w:val="229"/>
        </w:trPr>
        <w:tc>
          <w:tcPr>
            <w:tcW w:w="140" w:type="dxa"/>
            <w:vAlign w:val="bottom"/>
            <w:shd w:val="clear" w:color="auto" w:fill="EAEAEA"/>
          </w:tcPr>
          <w:p>
            <w:pPr>
              <w:spacing w:after="0"/>
              <w:rPr>
                <w:sz w:val="19"/>
                <w:szCs w:val="19"/>
                <w:color w:val="auto"/>
              </w:rPr>
            </w:pPr>
          </w:p>
        </w:tc>
        <w:tc>
          <w:tcPr>
            <w:tcW w:w="4760" w:type="dxa"/>
            <w:vAlign w:val="bottom"/>
            <w:shd w:val="clear" w:color="auto" w:fill="EAEAEA"/>
          </w:tcPr>
          <w:p>
            <w:pPr>
              <w:ind w:left="20"/>
              <w:spacing w:after="0"/>
              <w:rPr>
                <w:sz w:val="20"/>
                <w:szCs w:val="20"/>
                <w:color w:val="auto"/>
              </w:rPr>
            </w:pPr>
            <w:r>
              <w:rPr>
                <w:rFonts w:ascii="Arial" w:cs="Arial" w:eastAsia="Arial" w:hAnsi="Arial"/>
                <w:sz w:val="14"/>
                <w:szCs w:val="14"/>
                <w:color w:val="auto"/>
              </w:rPr>
              <w:t>Performance-Based Equity Awards</w:t>
            </w:r>
          </w:p>
        </w:tc>
        <w:tc>
          <w:tcPr>
            <w:tcW w:w="3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48</w:t>
            </w:r>
          </w:p>
        </w:tc>
        <w:tc>
          <w:tcPr>
            <w:tcW w:w="140" w:type="dxa"/>
            <w:vAlign w:val="bottom"/>
            <w:shd w:val="clear" w:color="auto" w:fill="EAEAEA"/>
          </w:tcPr>
          <w:p>
            <w:pPr>
              <w:spacing w:after="0"/>
              <w:rPr>
                <w:sz w:val="19"/>
                <w:szCs w:val="19"/>
                <w:color w:val="auto"/>
              </w:rPr>
            </w:pPr>
          </w:p>
        </w:tc>
        <w:tc>
          <w:tcPr>
            <w:tcW w:w="5820" w:type="dxa"/>
            <w:vAlign w:val="bottom"/>
          </w:tcPr>
          <w:p>
            <w:pPr>
              <w:spacing w:after="0"/>
              <w:rPr>
                <w:sz w:val="19"/>
                <w:szCs w:val="19"/>
                <w:color w:val="auto"/>
              </w:rPr>
            </w:pPr>
          </w:p>
        </w:tc>
      </w:tr>
      <w:tr>
        <w:trPr>
          <w:trHeight w:val="201"/>
        </w:trPr>
        <w:tc>
          <w:tcPr>
            <w:tcW w:w="140" w:type="dxa"/>
            <w:vAlign w:val="bottom"/>
            <w:shd w:val="clear" w:color="auto" w:fill="EAEAEA"/>
          </w:tcPr>
          <w:p>
            <w:pPr>
              <w:spacing w:after="0"/>
              <w:rPr>
                <w:sz w:val="17"/>
                <w:szCs w:val="17"/>
                <w:color w:val="auto"/>
              </w:rPr>
            </w:pPr>
          </w:p>
        </w:tc>
        <w:tc>
          <w:tcPr>
            <w:tcW w:w="4760" w:type="dxa"/>
            <w:vAlign w:val="bottom"/>
            <w:shd w:val="clear" w:color="auto" w:fill="EAEAEA"/>
          </w:tcPr>
          <w:p>
            <w:pPr>
              <w:ind w:left="20"/>
              <w:spacing w:after="0"/>
              <w:rPr>
                <w:sz w:val="20"/>
                <w:szCs w:val="20"/>
                <w:color w:val="auto"/>
              </w:rPr>
            </w:pPr>
            <w:r>
              <w:rPr>
                <w:rFonts w:ascii="Arial" w:cs="Arial" w:eastAsia="Arial" w:hAnsi="Arial"/>
                <w:sz w:val="14"/>
                <w:szCs w:val="14"/>
                <w:color w:val="auto"/>
              </w:rPr>
              <w:t>Procedures for Shareholder Proposals and Director Nominations for the</w:t>
            </w:r>
          </w:p>
        </w:tc>
        <w:tc>
          <w:tcPr>
            <w:tcW w:w="38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5820" w:type="dxa"/>
            <w:vAlign w:val="bottom"/>
          </w:tcPr>
          <w:p>
            <w:pPr>
              <w:spacing w:after="0"/>
              <w:rPr>
                <w:sz w:val="17"/>
                <w:szCs w:val="17"/>
                <w:color w:val="auto"/>
              </w:rPr>
            </w:pPr>
          </w:p>
        </w:tc>
      </w:tr>
      <w:tr>
        <w:trPr>
          <w:trHeight w:val="204"/>
        </w:trPr>
        <w:tc>
          <w:tcPr>
            <w:tcW w:w="140" w:type="dxa"/>
            <w:vAlign w:val="bottom"/>
            <w:shd w:val="clear" w:color="auto" w:fill="EAEAEA"/>
          </w:tcPr>
          <w:p>
            <w:pPr>
              <w:spacing w:after="0"/>
              <w:rPr>
                <w:sz w:val="17"/>
                <w:szCs w:val="17"/>
                <w:color w:val="auto"/>
              </w:rPr>
            </w:pPr>
          </w:p>
        </w:tc>
        <w:tc>
          <w:tcPr>
            <w:tcW w:w="4760" w:type="dxa"/>
            <w:vAlign w:val="bottom"/>
            <w:shd w:val="clear" w:color="auto" w:fill="EAEAEA"/>
          </w:tcPr>
          <w:p>
            <w:pPr>
              <w:ind w:left="20"/>
              <w:spacing w:after="0"/>
              <w:rPr>
                <w:sz w:val="20"/>
                <w:szCs w:val="20"/>
                <w:color w:val="auto"/>
              </w:rPr>
            </w:pPr>
            <w:r>
              <w:rPr>
                <w:rFonts w:ascii="Arial" w:cs="Arial" w:eastAsia="Arial" w:hAnsi="Arial"/>
                <w:sz w:val="14"/>
                <w:szCs w:val="14"/>
                <w:color w:val="auto"/>
              </w:rPr>
              <w:t>2025 Annual Meeting</w:t>
            </w:r>
          </w:p>
        </w:tc>
        <w:tc>
          <w:tcPr>
            <w:tcW w:w="3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107</w:t>
            </w:r>
          </w:p>
        </w:tc>
        <w:tc>
          <w:tcPr>
            <w:tcW w:w="140" w:type="dxa"/>
            <w:vAlign w:val="bottom"/>
            <w:shd w:val="clear" w:color="auto" w:fill="EAEAEA"/>
          </w:tcPr>
          <w:p>
            <w:pPr>
              <w:spacing w:after="0"/>
              <w:rPr>
                <w:sz w:val="17"/>
                <w:szCs w:val="17"/>
                <w:color w:val="auto"/>
              </w:rPr>
            </w:pPr>
          </w:p>
        </w:tc>
        <w:tc>
          <w:tcPr>
            <w:tcW w:w="5820" w:type="dxa"/>
            <w:vAlign w:val="bottom"/>
          </w:tcPr>
          <w:p>
            <w:pPr>
              <w:spacing w:after="0"/>
              <w:rPr>
                <w:sz w:val="17"/>
                <w:szCs w:val="17"/>
                <w:color w:val="auto"/>
              </w:rPr>
            </w:pPr>
          </w:p>
        </w:tc>
      </w:tr>
      <w:tr>
        <w:trPr>
          <w:trHeight w:val="230"/>
        </w:trPr>
        <w:tc>
          <w:tcPr>
            <w:tcW w:w="140" w:type="dxa"/>
            <w:vAlign w:val="bottom"/>
            <w:shd w:val="clear" w:color="auto" w:fill="EAEAEA"/>
          </w:tcPr>
          <w:p>
            <w:pPr>
              <w:spacing w:after="0"/>
              <w:rPr>
                <w:sz w:val="19"/>
                <w:szCs w:val="19"/>
                <w:color w:val="auto"/>
              </w:rPr>
            </w:pPr>
          </w:p>
        </w:tc>
        <w:tc>
          <w:tcPr>
            <w:tcW w:w="4760" w:type="dxa"/>
            <w:vAlign w:val="bottom"/>
            <w:shd w:val="clear" w:color="auto" w:fill="EAEAEA"/>
          </w:tcPr>
          <w:p>
            <w:pPr>
              <w:ind w:left="20"/>
              <w:spacing w:after="0"/>
              <w:rPr>
                <w:sz w:val="20"/>
                <w:szCs w:val="20"/>
                <w:color w:val="auto"/>
              </w:rPr>
            </w:pPr>
            <w:r>
              <w:rPr>
                <w:rFonts w:ascii="Arial" w:cs="Arial" w:eastAsia="Arial" w:hAnsi="Arial"/>
                <w:sz w:val="14"/>
                <w:szCs w:val="14"/>
                <w:color w:val="auto"/>
              </w:rPr>
              <w:t>Related Party Transactions</w:t>
            </w:r>
          </w:p>
        </w:tc>
        <w:tc>
          <w:tcPr>
            <w:tcW w:w="3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90</w:t>
            </w:r>
          </w:p>
        </w:tc>
        <w:tc>
          <w:tcPr>
            <w:tcW w:w="140" w:type="dxa"/>
            <w:vAlign w:val="bottom"/>
            <w:shd w:val="clear" w:color="auto" w:fill="EAEAEA"/>
          </w:tcPr>
          <w:p>
            <w:pPr>
              <w:spacing w:after="0"/>
              <w:rPr>
                <w:sz w:val="19"/>
                <w:szCs w:val="19"/>
                <w:color w:val="auto"/>
              </w:rPr>
            </w:pPr>
          </w:p>
        </w:tc>
        <w:tc>
          <w:tcPr>
            <w:tcW w:w="5820" w:type="dxa"/>
            <w:vAlign w:val="bottom"/>
          </w:tcPr>
          <w:p>
            <w:pPr>
              <w:spacing w:after="0"/>
              <w:rPr>
                <w:sz w:val="19"/>
                <w:szCs w:val="19"/>
                <w:color w:val="auto"/>
              </w:rPr>
            </w:pPr>
          </w:p>
        </w:tc>
      </w:tr>
      <w:tr>
        <w:trPr>
          <w:trHeight w:val="229"/>
        </w:trPr>
        <w:tc>
          <w:tcPr>
            <w:tcW w:w="140" w:type="dxa"/>
            <w:vAlign w:val="bottom"/>
            <w:shd w:val="clear" w:color="auto" w:fill="EAEAEA"/>
          </w:tcPr>
          <w:p>
            <w:pPr>
              <w:spacing w:after="0"/>
              <w:rPr>
                <w:sz w:val="19"/>
                <w:szCs w:val="19"/>
                <w:color w:val="auto"/>
              </w:rPr>
            </w:pPr>
          </w:p>
        </w:tc>
        <w:tc>
          <w:tcPr>
            <w:tcW w:w="4760" w:type="dxa"/>
            <w:vAlign w:val="bottom"/>
            <w:shd w:val="clear" w:color="auto" w:fill="EAEAEA"/>
          </w:tcPr>
          <w:p>
            <w:pPr>
              <w:ind w:left="20"/>
              <w:spacing w:after="0"/>
              <w:rPr>
                <w:sz w:val="20"/>
                <w:szCs w:val="20"/>
                <w:color w:val="auto"/>
              </w:rPr>
            </w:pPr>
            <w:r>
              <w:rPr>
                <w:rFonts w:ascii="Arial" w:cs="Arial" w:eastAsia="Arial" w:hAnsi="Arial"/>
                <w:sz w:val="14"/>
                <w:szCs w:val="14"/>
                <w:color w:val="auto"/>
              </w:rPr>
              <w:t>Risk Oversight</w:t>
            </w:r>
          </w:p>
        </w:tc>
        <w:tc>
          <w:tcPr>
            <w:tcW w:w="3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30</w:t>
            </w:r>
          </w:p>
        </w:tc>
        <w:tc>
          <w:tcPr>
            <w:tcW w:w="140" w:type="dxa"/>
            <w:vAlign w:val="bottom"/>
            <w:shd w:val="clear" w:color="auto" w:fill="EAEAEA"/>
          </w:tcPr>
          <w:p>
            <w:pPr>
              <w:spacing w:after="0"/>
              <w:rPr>
                <w:sz w:val="19"/>
                <w:szCs w:val="19"/>
                <w:color w:val="auto"/>
              </w:rPr>
            </w:pPr>
          </w:p>
        </w:tc>
        <w:tc>
          <w:tcPr>
            <w:tcW w:w="5820" w:type="dxa"/>
            <w:vAlign w:val="bottom"/>
          </w:tcPr>
          <w:p>
            <w:pPr>
              <w:spacing w:after="0"/>
              <w:rPr>
                <w:sz w:val="19"/>
                <w:szCs w:val="19"/>
                <w:color w:val="auto"/>
              </w:rPr>
            </w:pPr>
          </w:p>
        </w:tc>
      </w:tr>
      <w:tr>
        <w:trPr>
          <w:trHeight w:val="230"/>
        </w:trPr>
        <w:tc>
          <w:tcPr>
            <w:tcW w:w="140" w:type="dxa"/>
            <w:vAlign w:val="bottom"/>
            <w:shd w:val="clear" w:color="auto" w:fill="EAEAEA"/>
          </w:tcPr>
          <w:p>
            <w:pPr>
              <w:spacing w:after="0"/>
              <w:rPr>
                <w:sz w:val="19"/>
                <w:szCs w:val="19"/>
                <w:color w:val="auto"/>
              </w:rPr>
            </w:pPr>
          </w:p>
        </w:tc>
        <w:tc>
          <w:tcPr>
            <w:tcW w:w="4760" w:type="dxa"/>
            <w:vAlign w:val="bottom"/>
            <w:shd w:val="clear" w:color="auto" w:fill="EAEAEA"/>
          </w:tcPr>
          <w:p>
            <w:pPr>
              <w:ind w:left="20"/>
              <w:spacing w:after="0"/>
              <w:rPr>
                <w:sz w:val="20"/>
                <w:szCs w:val="20"/>
                <w:color w:val="auto"/>
              </w:rPr>
            </w:pPr>
            <w:r>
              <w:rPr>
                <w:rFonts w:ascii="Arial" w:cs="Arial" w:eastAsia="Arial" w:hAnsi="Arial"/>
                <w:sz w:val="14"/>
                <w:szCs w:val="14"/>
                <w:color w:val="auto"/>
              </w:rPr>
              <w:t>Severance Benefits</w:t>
            </w:r>
          </w:p>
        </w:tc>
        <w:tc>
          <w:tcPr>
            <w:tcW w:w="3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49</w:t>
            </w:r>
          </w:p>
        </w:tc>
        <w:tc>
          <w:tcPr>
            <w:tcW w:w="140" w:type="dxa"/>
            <w:vAlign w:val="bottom"/>
            <w:shd w:val="clear" w:color="auto" w:fill="EAEAEA"/>
          </w:tcPr>
          <w:p>
            <w:pPr>
              <w:spacing w:after="0"/>
              <w:rPr>
                <w:sz w:val="19"/>
                <w:szCs w:val="19"/>
                <w:color w:val="auto"/>
              </w:rPr>
            </w:pPr>
          </w:p>
        </w:tc>
        <w:tc>
          <w:tcPr>
            <w:tcW w:w="5820" w:type="dxa"/>
            <w:vAlign w:val="bottom"/>
          </w:tcPr>
          <w:p>
            <w:pPr>
              <w:spacing w:after="0"/>
              <w:rPr>
                <w:sz w:val="19"/>
                <w:szCs w:val="19"/>
                <w:color w:val="auto"/>
              </w:rPr>
            </w:pPr>
          </w:p>
        </w:tc>
      </w:tr>
      <w:tr>
        <w:trPr>
          <w:trHeight w:val="230"/>
        </w:trPr>
        <w:tc>
          <w:tcPr>
            <w:tcW w:w="140" w:type="dxa"/>
            <w:vAlign w:val="bottom"/>
            <w:shd w:val="clear" w:color="auto" w:fill="EAEAEA"/>
          </w:tcPr>
          <w:p>
            <w:pPr>
              <w:spacing w:after="0"/>
              <w:rPr>
                <w:sz w:val="19"/>
                <w:szCs w:val="19"/>
                <w:color w:val="auto"/>
              </w:rPr>
            </w:pPr>
          </w:p>
        </w:tc>
        <w:tc>
          <w:tcPr>
            <w:tcW w:w="4760" w:type="dxa"/>
            <w:vAlign w:val="bottom"/>
            <w:shd w:val="clear" w:color="auto" w:fill="EAEAEA"/>
          </w:tcPr>
          <w:p>
            <w:pPr>
              <w:ind w:left="20"/>
              <w:spacing w:after="0"/>
              <w:rPr>
                <w:sz w:val="20"/>
                <w:szCs w:val="20"/>
                <w:color w:val="auto"/>
              </w:rPr>
            </w:pPr>
            <w:r>
              <w:rPr>
                <w:rFonts w:ascii="Arial" w:cs="Arial" w:eastAsia="Arial" w:hAnsi="Arial"/>
                <w:sz w:val="14"/>
                <w:szCs w:val="14"/>
                <w:color w:val="auto"/>
              </w:rPr>
              <w:t>Share Ownership Guidelines for Directors</w:t>
            </w:r>
          </w:p>
        </w:tc>
        <w:tc>
          <w:tcPr>
            <w:tcW w:w="3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87</w:t>
            </w:r>
          </w:p>
        </w:tc>
        <w:tc>
          <w:tcPr>
            <w:tcW w:w="140" w:type="dxa"/>
            <w:vAlign w:val="bottom"/>
            <w:shd w:val="clear" w:color="auto" w:fill="EAEAEA"/>
          </w:tcPr>
          <w:p>
            <w:pPr>
              <w:spacing w:after="0"/>
              <w:rPr>
                <w:sz w:val="19"/>
                <w:szCs w:val="19"/>
                <w:color w:val="auto"/>
              </w:rPr>
            </w:pPr>
          </w:p>
        </w:tc>
        <w:tc>
          <w:tcPr>
            <w:tcW w:w="5820" w:type="dxa"/>
            <w:vAlign w:val="bottom"/>
          </w:tcPr>
          <w:p>
            <w:pPr>
              <w:spacing w:after="0"/>
              <w:rPr>
                <w:sz w:val="19"/>
                <w:szCs w:val="19"/>
                <w:color w:val="auto"/>
              </w:rPr>
            </w:pPr>
          </w:p>
        </w:tc>
      </w:tr>
      <w:tr>
        <w:trPr>
          <w:trHeight w:val="230"/>
        </w:trPr>
        <w:tc>
          <w:tcPr>
            <w:tcW w:w="140" w:type="dxa"/>
            <w:vAlign w:val="bottom"/>
            <w:shd w:val="clear" w:color="auto" w:fill="EAEAEA"/>
          </w:tcPr>
          <w:p>
            <w:pPr>
              <w:spacing w:after="0"/>
              <w:rPr>
                <w:sz w:val="19"/>
                <w:szCs w:val="19"/>
                <w:color w:val="auto"/>
              </w:rPr>
            </w:pPr>
          </w:p>
        </w:tc>
        <w:tc>
          <w:tcPr>
            <w:tcW w:w="4760" w:type="dxa"/>
            <w:vAlign w:val="bottom"/>
            <w:shd w:val="clear" w:color="auto" w:fill="EAEAEA"/>
          </w:tcPr>
          <w:p>
            <w:pPr>
              <w:ind w:left="20"/>
              <w:spacing w:after="0"/>
              <w:rPr>
                <w:sz w:val="20"/>
                <w:szCs w:val="20"/>
                <w:color w:val="auto"/>
              </w:rPr>
            </w:pPr>
            <w:r>
              <w:rPr>
                <w:rFonts w:ascii="Arial" w:cs="Arial" w:eastAsia="Arial" w:hAnsi="Arial"/>
                <w:sz w:val="14"/>
                <w:szCs w:val="14"/>
                <w:color w:val="auto"/>
              </w:rPr>
              <w:t>Share Ownership Guidelines for Executives</w:t>
            </w:r>
          </w:p>
        </w:tc>
        <w:tc>
          <w:tcPr>
            <w:tcW w:w="3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33</w:t>
            </w:r>
          </w:p>
        </w:tc>
        <w:tc>
          <w:tcPr>
            <w:tcW w:w="140" w:type="dxa"/>
            <w:vAlign w:val="bottom"/>
            <w:shd w:val="clear" w:color="auto" w:fill="EAEAEA"/>
          </w:tcPr>
          <w:p>
            <w:pPr>
              <w:spacing w:after="0"/>
              <w:rPr>
                <w:sz w:val="19"/>
                <w:szCs w:val="19"/>
                <w:color w:val="auto"/>
              </w:rPr>
            </w:pPr>
          </w:p>
        </w:tc>
        <w:tc>
          <w:tcPr>
            <w:tcW w:w="5820" w:type="dxa"/>
            <w:vAlign w:val="bottom"/>
          </w:tcPr>
          <w:p>
            <w:pPr>
              <w:spacing w:after="0"/>
              <w:rPr>
                <w:sz w:val="19"/>
                <w:szCs w:val="19"/>
                <w:color w:val="auto"/>
              </w:rPr>
            </w:pPr>
          </w:p>
        </w:tc>
      </w:tr>
      <w:tr>
        <w:trPr>
          <w:trHeight w:val="229"/>
        </w:trPr>
        <w:tc>
          <w:tcPr>
            <w:tcW w:w="140" w:type="dxa"/>
            <w:vAlign w:val="bottom"/>
            <w:shd w:val="clear" w:color="auto" w:fill="EAEAEA"/>
          </w:tcPr>
          <w:p>
            <w:pPr>
              <w:spacing w:after="0"/>
              <w:rPr>
                <w:sz w:val="19"/>
                <w:szCs w:val="19"/>
                <w:color w:val="auto"/>
              </w:rPr>
            </w:pPr>
          </w:p>
        </w:tc>
        <w:tc>
          <w:tcPr>
            <w:tcW w:w="4760" w:type="dxa"/>
            <w:vAlign w:val="bottom"/>
            <w:shd w:val="clear" w:color="auto" w:fill="EAEAEA"/>
          </w:tcPr>
          <w:p>
            <w:pPr>
              <w:ind w:left="20"/>
              <w:spacing w:after="0"/>
              <w:rPr>
                <w:sz w:val="20"/>
                <w:szCs w:val="20"/>
                <w:color w:val="auto"/>
              </w:rPr>
            </w:pPr>
            <w:r>
              <w:rPr>
                <w:rFonts w:ascii="Arial" w:cs="Arial" w:eastAsia="Arial" w:hAnsi="Arial"/>
                <w:sz w:val="14"/>
                <w:szCs w:val="14"/>
                <w:color w:val="auto"/>
              </w:rPr>
              <w:t>Shareholder and Other Stakeholder Engagement</w:t>
            </w:r>
          </w:p>
        </w:tc>
        <w:tc>
          <w:tcPr>
            <w:tcW w:w="3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EAEAEA"/>
          </w:tcPr>
          <w:p>
            <w:pPr>
              <w:spacing w:after="0"/>
              <w:rPr>
                <w:sz w:val="19"/>
                <w:szCs w:val="19"/>
                <w:color w:val="auto"/>
              </w:rPr>
            </w:pPr>
          </w:p>
        </w:tc>
        <w:tc>
          <w:tcPr>
            <w:tcW w:w="5820" w:type="dxa"/>
            <w:vAlign w:val="bottom"/>
          </w:tcPr>
          <w:p>
            <w:pPr>
              <w:spacing w:after="0"/>
              <w:rPr>
                <w:sz w:val="19"/>
                <w:szCs w:val="19"/>
                <w:color w:val="auto"/>
              </w:rPr>
            </w:pPr>
          </w:p>
        </w:tc>
      </w:tr>
      <w:tr>
        <w:trPr>
          <w:trHeight w:val="230"/>
        </w:trPr>
        <w:tc>
          <w:tcPr>
            <w:tcW w:w="140" w:type="dxa"/>
            <w:vAlign w:val="bottom"/>
            <w:shd w:val="clear" w:color="auto" w:fill="EAEAEA"/>
          </w:tcPr>
          <w:p>
            <w:pPr>
              <w:spacing w:after="0"/>
              <w:rPr>
                <w:sz w:val="19"/>
                <w:szCs w:val="19"/>
                <w:color w:val="auto"/>
              </w:rPr>
            </w:pPr>
          </w:p>
        </w:tc>
        <w:tc>
          <w:tcPr>
            <w:tcW w:w="4760" w:type="dxa"/>
            <w:vAlign w:val="bottom"/>
            <w:shd w:val="clear" w:color="auto" w:fill="EAEAEA"/>
          </w:tcPr>
          <w:p>
            <w:pPr>
              <w:ind w:left="20"/>
              <w:spacing w:after="0"/>
              <w:rPr>
                <w:sz w:val="20"/>
                <w:szCs w:val="20"/>
                <w:color w:val="auto"/>
              </w:rPr>
            </w:pPr>
            <w:r>
              <w:rPr>
                <w:rFonts w:ascii="Arial" w:cs="Arial" w:eastAsia="Arial" w:hAnsi="Arial"/>
                <w:sz w:val="14"/>
                <w:szCs w:val="14"/>
                <w:color w:val="auto"/>
              </w:rPr>
              <w:t>Shareholder Communications with our Board</w:t>
            </w:r>
          </w:p>
        </w:tc>
        <w:tc>
          <w:tcPr>
            <w:tcW w:w="3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33</w:t>
            </w:r>
          </w:p>
        </w:tc>
        <w:tc>
          <w:tcPr>
            <w:tcW w:w="140" w:type="dxa"/>
            <w:vAlign w:val="bottom"/>
            <w:shd w:val="clear" w:color="auto" w:fill="EAEAEA"/>
          </w:tcPr>
          <w:p>
            <w:pPr>
              <w:spacing w:after="0"/>
              <w:rPr>
                <w:sz w:val="19"/>
                <w:szCs w:val="19"/>
                <w:color w:val="auto"/>
              </w:rPr>
            </w:pPr>
          </w:p>
        </w:tc>
        <w:tc>
          <w:tcPr>
            <w:tcW w:w="5820" w:type="dxa"/>
            <w:vAlign w:val="bottom"/>
          </w:tcPr>
          <w:p>
            <w:pPr>
              <w:spacing w:after="0"/>
              <w:rPr>
                <w:sz w:val="19"/>
                <w:szCs w:val="19"/>
                <w:color w:val="auto"/>
              </w:rPr>
            </w:pPr>
          </w:p>
        </w:tc>
      </w:tr>
      <w:tr>
        <w:trPr>
          <w:trHeight w:val="62"/>
        </w:trPr>
        <w:tc>
          <w:tcPr>
            <w:tcW w:w="140" w:type="dxa"/>
            <w:vAlign w:val="bottom"/>
            <w:shd w:val="clear" w:color="auto" w:fill="EAEAEA"/>
          </w:tcPr>
          <w:p>
            <w:pPr>
              <w:spacing w:after="0"/>
              <w:rPr>
                <w:sz w:val="5"/>
                <w:szCs w:val="5"/>
                <w:color w:val="auto"/>
              </w:rPr>
            </w:pPr>
          </w:p>
        </w:tc>
        <w:tc>
          <w:tcPr>
            <w:tcW w:w="4760" w:type="dxa"/>
            <w:vAlign w:val="bottom"/>
            <w:shd w:val="clear" w:color="auto" w:fill="EAEAEA"/>
          </w:tcPr>
          <w:p>
            <w:pPr>
              <w:spacing w:after="0"/>
              <w:rPr>
                <w:sz w:val="5"/>
                <w:szCs w:val="5"/>
                <w:color w:val="auto"/>
              </w:rPr>
            </w:pPr>
          </w:p>
        </w:tc>
        <w:tc>
          <w:tcPr>
            <w:tcW w:w="380" w:type="dxa"/>
            <w:vAlign w:val="bottom"/>
            <w:shd w:val="clear" w:color="auto" w:fill="EAEAEA"/>
          </w:tcPr>
          <w:p>
            <w:pPr>
              <w:spacing w:after="0"/>
              <w:rPr>
                <w:sz w:val="5"/>
                <w:szCs w:val="5"/>
                <w:color w:val="auto"/>
              </w:rPr>
            </w:pPr>
          </w:p>
        </w:tc>
        <w:tc>
          <w:tcPr>
            <w:tcW w:w="140" w:type="dxa"/>
            <w:vAlign w:val="bottom"/>
            <w:shd w:val="clear" w:color="auto" w:fill="EAEAEA"/>
          </w:tcPr>
          <w:p>
            <w:pPr>
              <w:spacing w:after="0"/>
              <w:rPr>
                <w:sz w:val="5"/>
                <w:szCs w:val="5"/>
                <w:color w:val="auto"/>
              </w:rPr>
            </w:pPr>
          </w:p>
        </w:tc>
        <w:tc>
          <w:tcPr>
            <w:tcW w:w="5820" w:type="dxa"/>
            <w:vAlign w:val="bottom"/>
          </w:tcPr>
          <w:p>
            <w:pPr>
              <w:spacing w:after="0"/>
              <w:rPr>
                <w:sz w:val="5"/>
                <w:szCs w:val="5"/>
                <w:color w:val="auto"/>
              </w:rPr>
            </w:pPr>
          </w:p>
        </w:tc>
      </w:tr>
      <w:tr>
        <w:trPr>
          <w:trHeight w:val="1182"/>
        </w:trPr>
        <w:tc>
          <w:tcPr>
            <w:tcW w:w="14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40"/>
          <w:szCs w:val="40"/>
          <w:b w:val="1"/>
          <w:bCs w:val="1"/>
          <w:color w:val="852166"/>
        </w:rPr>
        <w:t>PROXY OVERVIEW</w:t>
      </w:r>
    </w:p>
    <w:p>
      <w:pPr>
        <w:spacing w:after="0" w:line="142" w:lineRule="exact"/>
        <w:rPr>
          <w:sz w:val="20"/>
          <w:szCs w:val="20"/>
          <w:color w:val="auto"/>
        </w:rPr>
      </w:pPr>
    </w:p>
    <w:p>
      <w:pPr>
        <w:ind w:right="40"/>
        <w:spacing w:after="0" w:line="305" w:lineRule="auto"/>
        <w:rPr>
          <w:sz w:val="20"/>
          <w:szCs w:val="20"/>
          <w:color w:val="auto"/>
        </w:rPr>
      </w:pPr>
      <w:r>
        <w:rPr>
          <w:rFonts w:ascii="Arial" w:cs="Arial" w:eastAsia="Arial" w:hAnsi="Arial"/>
          <w:sz w:val="16"/>
          <w:szCs w:val="16"/>
          <w:i w:val="1"/>
          <w:iCs w:val="1"/>
          <w:color w:val="auto"/>
        </w:rPr>
        <w:t>This overview highlights certain information contained elsewhere in this proxy statement and does not contain all of the information that you should consider. You should read the entire proxy statement carefully before voting. For more complete information regarding our business and 2023 performance, please review our Annual Report on Form 10-K for the year ended December 31, 2023 that we filed with the Securities and Exchange Commission, or SEC, on February 28, 2024, which we refer to throughout this proxy statement as the 2023 Annual Report on Form 10-K.</w:t>
      </w:r>
    </w:p>
    <w:p>
      <w:pPr>
        <w:spacing w:after="0" w:line="77" w:lineRule="exact"/>
        <w:rPr>
          <w:sz w:val="20"/>
          <w:szCs w:val="20"/>
          <w:color w:val="auto"/>
        </w:rPr>
      </w:pPr>
    </w:p>
    <w:p>
      <w:pPr>
        <w:spacing w:after="0" w:line="303" w:lineRule="auto"/>
        <w:rPr>
          <w:sz w:val="20"/>
          <w:szCs w:val="20"/>
          <w:color w:val="auto"/>
        </w:rPr>
      </w:pPr>
      <w:r>
        <w:rPr>
          <w:rFonts w:ascii="Arial" w:cs="Arial" w:eastAsia="Arial" w:hAnsi="Arial"/>
          <w:sz w:val="16"/>
          <w:szCs w:val="16"/>
          <w:i w:val="1"/>
          <w:iCs w:val="1"/>
          <w:color w:val="auto"/>
        </w:rPr>
        <w:t>In this proxy statement, unless otherwise indicated or the context otherwise requires, all references to “Jazz Pharmaceuticals,” “Jazz,” “our company,” “we,” “us” and “our” refer to Jazz Pharmaceuticals plc and its consolidated subsidiaries, except when the context makes clear that the time period being referenced is prior to January 18, 2012, in which case such terms are references to Jazz Pharmaceuticals, Inc. and its consolidated subsidiaries. On January 18, 2012, the businesses of Jazz Pharmaceuticals, Inc. and Azur Pharma Public Limited Company, or Azur Pharma, were combined in a merger transaction, or the Azur Merger, in connection with which Azur Pharma was renamed Jazz Pharmaceuticals plc, and we became the parent company of and successor to Jazz Pharmaceuticals, Inc., with Jazz Pharmaceuticals, Inc. becoming our wholly owned subsidiary.</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Meeting and Voting Information</w:t>
      </w:r>
    </w:p>
    <w:p>
      <w:pPr>
        <w:sectPr>
          <w:pgSz w:w="11900" w:h="16838" w:orient="portrait"/>
          <w:cols w:equalWidth="0" w:num="1">
            <w:col w:w="11240"/>
          </w:cols>
          <w:pgMar w:left="320" w:top="997" w:right="339" w:bottom="1440" w:gutter="0" w:footer="0" w:header="0"/>
        </w:sectPr>
      </w:pPr>
    </w:p>
    <w:p>
      <w:pPr>
        <w:spacing w:after="0" w:line="198"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Time and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wp:posOffset>
            </wp:positionV>
            <wp:extent cx="368300" cy="3689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8300" cy="3689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3810</wp:posOffset>
            </wp:positionV>
            <wp:extent cx="368300" cy="3689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8300" cy="368935"/>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5480" w:space="720"/>
            <w:col w:w="5040"/>
          </w:cols>
          <w:pgMar w:left="320" w:top="997" w:right="339" w:bottom="1440" w:gutter="0" w:footer="0" w:header="0"/>
          <w:type w:val="continuous"/>
        </w:sectPr>
      </w:pPr>
    </w:p>
    <w:p>
      <w:pPr>
        <w:ind w:left="1000"/>
        <w:spacing w:after="0"/>
        <w:rPr>
          <w:sz w:val="20"/>
          <w:szCs w:val="20"/>
          <w:color w:val="auto"/>
        </w:rPr>
      </w:pPr>
      <w:r>
        <w:rPr>
          <w:rFonts w:ascii="Arial" w:cs="Arial" w:eastAsia="Arial" w:hAnsi="Arial"/>
          <w:sz w:val="16"/>
          <w:szCs w:val="16"/>
          <w:color w:val="auto"/>
        </w:rPr>
        <w:t>9:45 a.m., local time on</w:t>
      </w:r>
    </w:p>
    <w:p>
      <w:pPr>
        <w:spacing w:after="0" w:line="4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Thursday, July 25, 2024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Our Corporate Headquarters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Fifth Floor, Waterloo Exchange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Waterloo Road Dublin 4, Ireland</w:t>
      </w:r>
    </w:p>
    <w:p>
      <w:pPr>
        <w:spacing w:after="0" w:line="200" w:lineRule="exact"/>
        <w:rPr>
          <w:sz w:val="20"/>
          <w:szCs w:val="20"/>
          <w:color w:val="auto"/>
        </w:rPr>
      </w:pPr>
    </w:p>
    <w:p>
      <w:pPr>
        <w:sectPr>
          <w:pgSz w:w="11900" w:h="16838" w:orient="portrait"/>
          <w:cols w:equalWidth="0" w:num="2">
            <w:col w:w="5480" w:space="720"/>
            <w:col w:w="5040"/>
          </w:cols>
          <w:pgMar w:left="320" w:top="997" w:right="339" w:bottom="1440" w:gutter="0" w:footer="0" w:header="0"/>
          <w:type w:val="continuous"/>
        </w:sectPr>
      </w:pPr>
    </w:p>
    <w:p>
      <w:pPr>
        <w:spacing w:after="0" w:line="172" w:lineRule="exact"/>
        <w:rPr>
          <w:sz w:val="20"/>
          <w:szCs w:val="20"/>
          <w:color w:val="auto"/>
        </w:rPr>
      </w:pPr>
    </w:p>
    <w:p>
      <w:pPr>
        <w:ind w:right="540"/>
        <w:spacing w:after="0" w:line="347" w:lineRule="auto"/>
        <w:rPr>
          <w:sz w:val="20"/>
          <w:szCs w:val="20"/>
          <w:color w:val="auto"/>
        </w:rPr>
      </w:pPr>
      <w:r>
        <w:rPr>
          <w:rFonts w:ascii="Arial" w:cs="Arial" w:eastAsia="Arial" w:hAnsi="Arial"/>
          <w:sz w:val="16"/>
          <w:szCs w:val="16"/>
          <w:b w:val="1"/>
          <w:bCs w:val="1"/>
          <w:i w:val="1"/>
          <w:iCs w:val="1"/>
          <w:color w:val="auto"/>
        </w:rPr>
        <w:t>Whether or not you expect to attend the meeting, please vote as soon as possible. Please see “Questions and Answers About These Proxy Materials and Voting—How do I vote?” beginning on page 102 below.</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Business Overview</w:t>
      </w:r>
    </w:p>
    <w:p>
      <w:pPr>
        <w:spacing w:after="0" w:line="13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are a global biopharmaceutical company whose purpose is to innovate to transform the lives of patients and their families. We are dedicated to developing life-changing medicines for people with serious diseases—often with limited or no therapeutic options. We have a diverse portfolio of marketed medicines, including leading therapies for sleep disorders and epilepsy, and a growing portfolio of cancer treatments. Our patient-focused and science-driven approach powers pioneering research and development advancements across our robust pipeline of innovative therapeutics in oncology and neuroscience.</w:t>
      </w:r>
    </w:p>
    <w:p>
      <w:pPr>
        <w:spacing w:after="0" w:line="69"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color w:val="auto"/>
        </w:rPr>
        <w:t>Our strategy for growth is rooted in executing commercial launches and ongoing commercialization initiatives; advancing robust research and development, or R&amp;D, programs and delivering impactful clinical results; effectively deploying capital to strengthen the prospects of achieving our short- and long-term goals through strategic corporate development; and delivering strong financial performance. We focus on patient populations with high unmet needs. We identify and develop differentiated therapies for these patients that we expect will be long-lived assets and that we can support with an efficient commercialization model. In addition, we leverage our efficient, scalable operating model and integrated capabilities across our global infrastructure to effectively reach patients around the world.</w:t>
      </w:r>
    </w:p>
    <w:p>
      <w:pPr>
        <w:spacing w:after="0" w:line="64" w:lineRule="exact"/>
        <w:rPr>
          <w:sz w:val="20"/>
          <w:szCs w:val="20"/>
          <w:color w:val="auto"/>
        </w:rPr>
      </w:pPr>
    </w:p>
    <w:p>
      <w:pPr>
        <w:jc w:val="both"/>
        <w:ind w:right="180"/>
        <w:spacing w:after="0" w:line="319" w:lineRule="auto"/>
        <w:rPr>
          <w:sz w:val="20"/>
          <w:szCs w:val="20"/>
          <w:color w:val="auto"/>
        </w:rPr>
      </w:pPr>
      <w:r>
        <w:rPr>
          <w:rFonts w:ascii="Arial" w:cs="Arial" w:eastAsia="Arial" w:hAnsi="Arial"/>
          <w:sz w:val="16"/>
          <w:szCs w:val="16"/>
          <w:color w:val="auto"/>
        </w:rPr>
        <w:t>In January 2022, we announced our Vision 2025, which aims to deliver sustainable growth and enhanced value, driving our continued transformation to an innovative, high-growth global pharmaceutical leader. The three core components of our Vision 2025 focus on commercial execution, pipeline productivity and operational excellence.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Our strategy to deliver sustainable growth and enhanced value is focused on:</w:t>
      </w:r>
    </w:p>
    <w:p>
      <w:pPr>
        <w:spacing w:after="0" w:line="154" w:lineRule="exact"/>
        <w:rPr>
          <w:sz w:val="20"/>
          <w:szCs w:val="20"/>
          <w:color w:val="auto"/>
        </w:rPr>
      </w:pPr>
    </w:p>
    <w:p>
      <w:pPr>
        <w:ind w:left="660" w:right="340" w:hanging="328"/>
        <w:spacing w:after="0" w:line="321"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Strong commercial execution to drive diversified revenue growth and address unmet medical needs of our patients across our product portfolio, which focuses on neuroscience and oncology medicines;</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Expanding and advancing our pipeline to achieve a valuable portfolio of durable, highly differentiated products;</w:t>
      </w:r>
    </w:p>
    <w:p>
      <w:pPr>
        <w:spacing w:after="0" w:line="153" w:lineRule="exact"/>
        <w:rPr>
          <w:rFonts w:ascii="Arial" w:cs="Arial" w:eastAsia="Arial" w:hAnsi="Arial"/>
          <w:sz w:val="16"/>
          <w:szCs w:val="16"/>
          <w:color w:val="auto"/>
        </w:rPr>
      </w:pPr>
    </w:p>
    <w:p>
      <w:pPr>
        <w:ind w:left="660" w:right="240" w:hanging="328"/>
        <w:spacing w:after="0" w:line="339"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Continuing to build a flexible, efficient and productive development engine for targeted therapeutic areas to identify and progress early-, mid- and late-stage assets;</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Identifying and acquiring novel product candidates and approved therapies to complement our existing pipeline and commercial portfolio;</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6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2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393"/>
        </w:trPr>
        <w:tc>
          <w:tcPr>
            <w:tcW w:w="10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type w:val="continuous"/>
        </w:sectPr>
      </w:pPr>
    </w:p>
    <w:bookmarkStart w:id="5" w:name="page6"/>
    <w:bookmarkEnd w:id="5"/>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Investing in an efficient, scalable operating model and differentiated capabilities to enable growth; and</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Unlocking further value through indication expansion and entry into global markets.</w:t>
      </w:r>
    </w:p>
    <w:p>
      <w:pPr>
        <w:spacing w:after="0" w:line="14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 key aspect of our growth strategy is our continued investment in evolving and expanding our R&amp;D capabilities and initiatives. If we are not successful in the clinical development of our product candidates, if we are unable to obtain 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Our lead marketed products, listed below, are approved in countries around the world to improve patient care.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Neuroscience</w:t>
      </w:r>
    </w:p>
    <w:p>
      <w:pPr>
        <w:spacing w:after="0" w:line="117" w:lineRule="exact"/>
        <w:rPr>
          <w:sz w:val="20"/>
          <w:szCs w:val="20"/>
          <w:color w:val="auto"/>
        </w:rPr>
      </w:pPr>
    </w:p>
    <w:p>
      <w:pPr>
        <w:ind w:left="660" w:hanging="328"/>
        <w:spacing w:after="0" w:line="257"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Xywav</w:t>
      </w:r>
      <w:r>
        <w:rPr>
          <w:rFonts w:ascii="Arial" w:cs="Arial" w:eastAsia="Arial" w:hAnsi="Arial"/>
          <w:sz w:val="23"/>
          <w:szCs w:val="23"/>
          <w:b w:val="1"/>
          <w:bCs w:val="1"/>
          <w:color w:val="auto"/>
          <w:vertAlign w:val="superscript"/>
        </w:rPr>
        <w:t>®</w:t>
      </w:r>
      <w:r>
        <w:rPr>
          <w:rFonts w:ascii="Arial" w:cs="Arial" w:eastAsia="Arial" w:hAnsi="Arial"/>
          <w:sz w:val="16"/>
          <w:szCs w:val="16"/>
          <w:b w:val="1"/>
          <w:bCs w:val="1"/>
          <w:color w:val="auto"/>
        </w:rPr>
        <w:t xml:space="preserve"> (calcium, magnesium, potassium, and sodium oxybates) oral solution</w:t>
      </w:r>
      <w:r>
        <w:rPr>
          <w:rFonts w:ascii="Arial" w:cs="Arial" w:eastAsia="Arial" w:hAnsi="Arial"/>
          <w:sz w:val="16"/>
          <w:szCs w:val="16"/>
          <w:color w:val="auto"/>
        </w:rPr>
        <w:t>, a product approved by the U.S. Food and Drug Administration,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or FDA, in July 2020 and launched in the U.S. in November 2020 for the treatment of cataplexy or excessive daytime sleepiness, or EDS, in patients seven years of age and older with narcolepsy, and also approved by FDA in August 2021 for the treatment of idiopathic hypersomnia, or IH, in adults and launched in the U.S. in November 2021. Xywav contains 92% less sodium than Xyrem</w:t>
      </w:r>
      <w:r>
        <w:rPr>
          <w:rFonts w:ascii="Arial" w:cs="Arial" w:eastAsia="Arial" w:hAnsi="Arial"/>
          <w:sz w:val="23"/>
          <w:szCs w:val="23"/>
          <w:color w:val="auto"/>
          <w:vertAlign w:val="superscript"/>
        </w:rPr>
        <w:t>®</w:t>
      </w:r>
      <w:r>
        <w:rPr>
          <w:rFonts w:ascii="Arial" w:cs="Arial" w:eastAsia="Arial" w:hAnsi="Arial"/>
          <w:sz w:val="16"/>
          <w:szCs w:val="16"/>
          <w:color w:val="auto"/>
        </w:rPr>
        <w:t>. Xywav is also approved in Canada for the treatment of cataplexy in patients with narcolepsy;</w:t>
      </w:r>
    </w:p>
    <w:p>
      <w:pPr>
        <w:spacing w:after="0" w:line="107" w:lineRule="exact"/>
        <w:rPr>
          <w:rFonts w:ascii="Arial" w:cs="Arial" w:eastAsia="Arial" w:hAnsi="Arial"/>
          <w:sz w:val="16"/>
          <w:szCs w:val="16"/>
          <w:color w:val="auto"/>
        </w:rPr>
      </w:pPr>
    </w:p>
    <w:p>
      <w:pPr>
        <w:ind w:left="660" w:right="20" w:hanging="328"/>
        <w:spacing w:after="0" w:line="30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Xyrem (sodium oxybate) oral solution</w:t>
      </w:r>
      <w:r>
        <w:rPr>
          <w:rFonts w:ascii="Arial" w:cs="Arial" w:eastAsia="Arial" w:hAnsi="Arial"/>
          <w:sz w:val="16"/>
          <w:szCs w:val="16"/>
          <w:color w:val="auto"/>
        </w:rPr>
        <w:t>, a product approved by FDA and distributed in the U.S. for the treatment of cataplexy or EDS in patients</w:t>
      </w:r>
      <w:r>
        <w:rPr>
          <w:rFonts w:ascii="Arial" w:cs="Arial" w:eastAsia="Arial" w:hAnsi="Arial"/>
          <w:sz w:val="16"/>
          <w:szCs w:val="16"/>
          <w:b w:val="1"/>
          <w:bCs w:val="1"/>
          <w:color w:val="auto"/>
        </w:rPr>
        <w:t xml:space="preserve"> </w:t>
      </w:r>
      <w:r>
        <w:rPr>
          <w:rFonts w:ascii="Arial" w:cs="Arial" w:eastAsia="Arial" w:hAnsi="Arial"/>
          <w:sz w:val="16"/>
          <w:szCs w:val="16"/>
          <w:color w:val="auto"/>
        </w:rPr>
        <w:t>seven years of age or older with narcolepsy; Jazz also markets Xyrem in Canada for the treatment of cataplexy in patients with narcolepsy. Xyrem is also approved and distributed in the European Union, or EU (EU market authorizations include Northern Ireland), Great Britain and other markets through a licensing agreement; and</w:t>
      </w:r>
    </w:p>
    <w:p>
      <w:pPr>
        <w:spacing w:after="0" w:line="74" w:lineRule="exact"/>
        <w:rPr>
          <w:rFonts w:ascii="Arial" w:cs="Arial" w:eastAsia="Arial" w:hAnsi="Arial"/>
          <w:sz w:val="16"/>
          <w:szCs w:val="16"/>
          <w:color w:val="auto"/>
        </w:rPr>
      </w:pPr>
    </w:p>
    <w:p>
      <w:pPr>
        <w:ind w:left="660" w:right="60" w:hanging="328"/>
        <w:spacing w:after="0" w:line="304"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Epidiolex® (cannabidiol) oral solution</w:t>
      </w:r>
      <w:r>
        <w:rPr>
          <w:rFonts w:ascii="Arial" w:cs="Arial" w:eastAsia="Arial" w:hAnsi="Arial"/>
          <w:sz w:val="16"/>
          <w:szCs w:val="16"/>
          <w:color w:val="auto"/>
        </w:rPr>
        <w:t>, a product approved by FDA and launched in the U.S. in 2018 by GW Pharmaceuticals plc, or GW, and</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indicated for the treatment of seizures associated with Lennox-Gastaut syndrome, or LGS, Dravet syndrome, or DS, or tuberous sclerosis complex, or TSC, in patients one year of age or older; in the EU and Great Britain (where it is marketed as Epidyolex®) and other markets, it is approved for adjunctive treatment of seizures associated with LGS or DS, in conjunction with clobazam (EU and Great Britain only), in patients 2 years of age and older and for adjunctive treatment of seizures associated with TSC in patients 2 years of age and older.</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Oncology</w:t>
      </w:r>
    </w:p>
    <w:p>
      <w:pPr>
        <w:spacing w:after="0" w:line="127" w:lineRule="exact"/>
        <w:rPr>
          <w:sz w:val="20"/>
          <w:szCs w:val="20"/>
          <w:color w:val="auto"/>
        </w:rPr>
      </w:pPr>
    </w:p>
    <w:p>
      <w:pPr>
        <w:ind w:left="660" w:right="60" w:hanging="328"/>
        <w:spacing w:after="0" w:line="312"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Rylaze® (asparaginase erwinia chrysanthemi (recombinant)-rywn)</w:t>
      </w:r>
      <w:r>
        <w:rPr>
          <w:rFonts w:ascii="Arial" w:cs="Arial" w:eastAsia="Arial" w:hAnsi="Arial"/>
          <w:sz w:val="16"/>
          <w:szCs w:val="16"/>
          <w:color w:val="auto"/>
        </w:rPr>
        <w:t>, a product approved by FDA in June 2021 and launched in the U.S. in July</w:t>
      </w:r>
      <w:r>
        <w:rPr>
          <w:rFonts w:ascii="Arial" w:cs="Arial" w:eastAsia="Arial" w:hAnsi="Arial"/>
          <w:sz w:val="16"/>
          <w:szCs w:val="16"/>
          <w:b w:val="1"/>
          <w:bCs w:val="1"/>
          <w:color w:val="auto"/>
        </w:rPr>
        <w:t xml:space="preserve"> </w:t>
      </w:r>
      <w:r>
        <w:rPr>
          <w:rFonts w:ascii="Arial" w:cs="Arial" w:eastAsia="Arial" w:hAnsi="Arial"/>
          <w:sz w:val="16"/>
          <w:szCs w:val="16"/>
          <w:color w:val="auto"/>
        </w:rPr>
        <w:t>2021 for use as a component of a multi-agent chemotherapeutic regimen for the treatment of acute lymphoblastic leukemia, or ALL, or lymphoblastic lymphoma, or LBL, in adults and pediatric patients aged one month or older who have developed hypersensitivity to E. coli-derived asparaginase. In September 2023, the European Commission granted marketing authorization for this therapy under the trade name Enrylaze; and</w:t>
      </w:r>
    </w:p>
    <w:p>
      <w:pPr>
        <w:spacing w:after="0" w:line="69" w:lineRule="exact"/>
        <w:rPr>
          <w:rFonts w:ascii="Arial" w:cs="Arial" w:eastAsia="Arial" w:hAnsi="Arial"/>
          <w:sz w:val="16"/>
          <w:szCs w:val="16"/>
          <w:color w:val="auto"/>
        </w:rPr>
      </w:pPr>
    </w:p>
    <w:p>
      <w:pPr>
        <w:ind w:left="660" w:right="40" w:hanging="328"/>
        <w:spacing w:after="0" w:line="306"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Zepzelca® (lurbinectedin)</w:t>
      </w:r>
      <w:r>
        <w:rPr>
          <w:rFonts w:ascii="Arial" w:cs="Arial" w:eastAsia="Arial" w:hAnsi="Arial"/>
          <w:sz w:val="16"/>
          <w:szCs w:val="16"/>
          <w:color w:val="auto"/>
        </w:rPr>
        <w:t>, a product approved by FDA in June 2020 under FDA’s accelerated approval pathway and launched in the U.S. in July</w:t>
      </w:r>
      <w:r>
        <w:rPr>
          <w:rFonts w:ascii="Arial" w:cs="Arial" w:eastAsia="Arial" w:hAnsi="Arial"/>
          <w:sz w:val="16"/>
          <w:szCs w:val="16"/>
          <w:b w:val="1"/>
          <w:bCs w:val="1"/>
          <w:color w:val="auto"/>
        </w:rPr>
        <w:t xml:space="preserve"> </w:t>
      </w:r>
      <w:r>
        <w:rPr>
          <w:rFonts w:ascii="Arial" w:cs="Arial" w:eastAsia="Arial" w:hAnsi="Arial"/>
          <w:sz w:val="16"/>
          <w:szCs w:val="16"/>
          <w:color w:val="auto"/>
        </w:rPr>
        <w:t>2020 for the treatment of adult patients with metastatic small cell lung cancer, or SCLC, with disease progression on or after platinum-based chemotherapy; in Canada, Zepzelca received conditional approval in September 2021 for the treatment of adults with Stage III or metastatic SCLC, who have progressed on or after platinum-containing therapy.</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Information About Our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Nominees and Continuing Directors</w:t>
      </w:r>
    </w:p>
    <w:p>
      <w:pPr>
        <w:spacing w:after="0" w:line="140" w:lineRule="exact"/>
        <w:rPr>
          <w:sz w:val="20"/>
          <w:szCs w:val="20"/>
          <w:color w:val="auto"/>
        </w:rPr>
      </w:pPr>
    </w:p>
    <w:p>
      <w:pPr>
        <w:ind w:right="360"/>
        <w:spacing w:after="0" w:line="321" w:lineRule="auto"/>
        <w:rPr>
          <w:sz w:val="20"/>
          <w:szCs w:val="20"/>
          <w:color w:val="auto"/>
        </w:rPr>
      </w:pPr>
      <w:r>
        <w:rPr>
          <w:rFonts w:ascii="Arial" w:cs="Arial" w:eastAsia="Arial" w:hAnsi="Arial"/>
          <w:sz w:val="16"/>
          <w:szCs w:val="16"/>
          <w:color w:val="auto"/>
        </w:rPr>
        <w:t>Summary information about our director nominees and continuing directors, including their key skills and experiences that are relevant to serving on our board of directors, or our board, is provided in the charts below. See pages 14 to 25 for more information.</w:t>
      </w:r>
    </w:p>
    <w:p>
      <w:pPr>
        <w:spacing w:after="0" w:line="61"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Our nominating and corporate governance committee, or nominating committee, examines the experience and expertise of our board, to ensure alignment between the abilities and contributions of our board and our long-term strategic priorities by primarily emphasizing expertise in global and U.S. commercialization, in scientific development, in financial management and in corporate development transactions among other skill sets. Our directors exhibit high commitment, integrity, collegiality, innovative thinking, sound business judgment and a knowledge of corporate governance requirements and practices.</w:t>
      </w:r>
    </w:p>
    <w:p>
      <w:pPr>
        <w:spacing w:after="0" w:line="200" w:lineRule="exact"/>
        <w:rPr>
          <w:sz w:val="20"/>
          <w:szCs w:val="20"/>
          <w:color w:val="auto"/>
        </w:rPr>
      </w:pPr>
    </w:p>
    <w:p>
      <w:pPr>
        <w:spacing w:after="0" w:line="381" w:lineRule="exact"/>
        <w:rPr>
          <w:sz w:val="20"/>
          <w:szCs w:val="20"/>
          <w:color w:val="auto"/>
        </w:rPr>
      </w:pPr>
    </w:p>
    <w:p>
      <w:pPr>
        <w:ind w:left="460" w:hanging="434"/>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3"/>
        </w:trPr>
        <w:tc>
          <w:tcPr>
            <w:tcW w:w="80" w:type="dxa"/>
            <w:vAlign w:val="bottom"/>
            <w:shd w:val="clear" w:color="auto" w:fill="852166"/>
          </w:tcPr>
          <w:p>
            <w:pPr>
              <w:spacing w:after="0"/>
              <w:rPr>
                <w:sz w:val="16"/>
                <w:szCs w:val="16"/>
                <w:color w:val="auto"/>
              </w:rPr>
            </w:pPr>
          </w:p>
        </w:tc>
        <w:tc>
          <w:tcPr>
            <w:tcW w:w="1900" w:type="dxa"/>
            <w:vAlign w:val="bottom"/>
            <w:shd w:val="clear" w:color="auto" w:fill="852166"/>
          </w:tcPr>
          <w:p>
            <w:pPr>
              <w:spacing w:after="0"/>
              <w:rPr>
                <w:sz w:val="16"/>
                <w:szCs w:val="16"/>
                <w:color w:val="auto"/>
              </w:rPr>
            </w:pPr>
          </w:p>
        </w:tc>
        <w:tc>
          <w:tcPr>
            <w:tcW w:w="600" w:type="dxa"/>
            <w:vAlign w:val="bottom"/>
            <w:shd w:val="clear" w:color="auto" w:fill="852166"/>
          </w:tcPr>
          <w:p>
            <w:pPr>
              <w:spacing w:after="0"/>
              <w:rPr>
                <w:sz w:val="16"/>
                <w:szCs w:val="16"/>
                <w:color w:val="auto"/>
              </w:rPr>
            </w:pPr>
          </w:p>
        </w:tc>
        <w:tc>
          <w:tcPr>
            <w:tcW w:w="1220" w:type="dxa"/>
            <w:vAlign w:val="bottom"/>
            <w:shd w:val="clear" w:color="auto" w:fill="852166"/>
          </w:tcPr>
          <w:p>
            <w:pPr>
              <w:spacing w:after="0"/>
              <w:rPr>
                <w:sz w:val="16"/>
                <w:szCs w:val="16"/>
                <w:color w:val="auto"/>
              </w:rPr>
            </w:pPr>
          </w:p>
        </w:tc>
        <w:tc>
          <w:tcPr>
            <w:tcW w:w="4840" w:type="dxa"/>
            <w:vAlign w:val="bottom"/>
            <w:shd w:val="clear" w:color="auto" w:fill="852166"/>
          </w:tcPr>
          <w:p>
            <w:pPr>
              <w:spacing w:after="0"/>
              <w:rPr>
                <w:sz w:val="16"/>
                <w:szCs w:val="16"/>
                <w:color w:val="auto"/>
              </w:rPr>
            </w:pPr>
          </w:p>
        </w:tc>
        <w:tc>
          <w:tcPr>
            <w:tcW w:w="1300" w:type="dxa"/>
            <w:vAlign w:val="bottom"/>
            <w:shd w:val="clear" w:color="auto" w:fill="852166"/>
          </w:tcPr>
          <w:p>
            <w:pPr>
              <w:spacing w:after="0"/>
              <w:rPr>
                <w:sz w:val="16"/>
                <w:szCs w:val="16"/>
                <w:color w:val="auto"/>
              </w:rPr>
            </w:pPr>
          </w:p>
        </w:tc>
        <w:tc>
          <w:tcPr>
            <w:tcW w:w="1300" w:type="dxa"/>
            <w:vAlign w:val="bottom"/>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Other Current</w:t>
            </w:r>
          </w:p>
        </w:tc>
        <w:tc>
          <w:tcPr>
            <w:tcW w:w="0" w:type="dxa"/>
            <w:vAlign w:val="bottom"/>
          </w:tcPr>
          <w:p>
            <w:pPr>
              <w:spacing w:after="0"/>
              <w:rPr>
                <w:sz w:val="1"/>
                <w:szCs w:val="1"/>
                <w:color w:val="auto"/>
              </w:rPr>
            </w:pPr>
          </w:p>
        </w:tc>
      </w:tr>
      <w:tr>
        <w:trPr>
          <w:trHeight w:val="196"/>
        </w:trPr>
        <w:tc>
          <w:tcPr>
            <w:tcW w:w="80" w:type="dxa"/>
            <w:vAlign w:val="bottom"/>
            <w:shd w:val="clear" w:color="auto" w:fill="852166"/>
          </w:tcPr>
          <w:p>
            <w:pPr>
              <w:spacing w:after="0"/>
              <w:rPr>
                <w:sz w:val="17"/>
                <w:szCs w:val="17"/>
                <w:color w:val="auto"/>
              </w:rPr>
            </w:pPr>
          </w:p>
        </w:tc>
        <w:tc>
          <w:tcPr>
            <w:tcW w:w="1900" w:type="dxa"/>
            <w:vAlign w:val="bottom"/>
            <w:shd w:val="clear" w:color="auto" w:fill="852166"/>
          </w:tcPr>
          <w:p>
            <w:pPr>
              <w:ind w:left="20"/>
              <w:spacing w:after="0"/>
              <w:rPr>
                <w:sz w:val="20"/>
                <w:szCs w:val="20"/>
                <w:color w:val="auto"/>
              </w:rPr>
            </w:pPr>
            <w:r>
              <w:rPr>
                <w:rFonts w:ascii="Arial" w:cs="Arial" w:eastAsia="Arial" w:hAnsi="Arial"/>
                <w:sz w:val="14"/>
                <w:szCs w:val="14"/>
                <w:b w:val="1"/>
                <w:bCs w:val="1"/>
                <w:color w:val="FFFFFF"/>
              </w:rPr>
              <w:t>Name</w:t>
            </w:r>
          </w:p>
        </w:tc>
        <w:tc>
          <w:tcPr>
            <w:tcW w:w="600" w:type="dxa"/>
            <w:vAlign w:val="bottom"/>
            <w:shd w:val="clear" w:color="auto" w:fill="852166"/>
          </w:tcPr>
          <w:p>
            <w:pPr>
              <w:jc w:val="center"/>
              <w:ind w:left="28"/>
              <w:spacing w:after="0"/>
              <w:rPr>
                <w:sz w:val="20"/>
                <w:szCs w:val="20"/>
                <w:color w:val="auto"/>
              </w:rPr>
            </w:pPr>
            <w:r>
              <w:rPr>
                <w:rFonts w:ascii="Arial" w:cs="Arial" w:eastAsia="Arial" w:hAnsi="Arial"/>
                <w:sz w:val="14"/>
                <w:szCs w:val="14"/>
                <w:b w:val="1"/>
                <w:bCs w:val="1"/>
                <w:color w:val="FFFFFF"/>
                <w:w w:val="98"/>
              </w:rPr>
              <w:t>Age</w:t>
            </w:r>
          </w:p>
        </w:tc>
        <w:tc>
          <w:tcPr>
            <w:tcW w:w="1220" w:type="dxa"/>
            <w:vAlign w:val="bottom"/>
            <w:shd w:val="clear" w:color="auto" w:fill="852166"/>
          </w:tcPr>
          <w:p>
            <w:pPr>
              <w:ind w:left="120"/>
              <w:spacing w:after="0"/>
              <w:rPr>
                <w:sz w:val="20"/>
                <w:szCs w:val="20"/>
                <w:color w:val="auto"/>
              </w:rPr>
            </w:pPr>
            <w:r>
              <w:rPr>
                <w:rFonts w:ascii="Arial" w:cs="Arial" w:eastAsia="Arial" w:hAnsi="Arial"/>
                <w:sz w:val="14"/>
                <w:szCs w:val="14"/>
                <w:b w:val="1"/>
                <w:bCs w:val="1"/>
                <w:color w:val="FFFFFF"/>
              </w:rPr>
              <w:t>Director Since</w:t>
            </w:r>
          </w:p>
        </w:tc>
        <w:tc>
          <w:tcPr>
            <w:tcW w:w="4840" w:type="dxa"/>
            <w:vAlign w:val="bottom"/>
            <w:shd w:val="clear" w:color="auto" w:fill="852166"/>
          </w:tcPr>
          <w:p>
            <w:pPr>
              <w:ind w:left="120"/>
              <w:spacing w:after="0"/>
              <w:rPr>
                <w:sz w:val="20"/>
                <w:szCs w:val="20"/>
                <w:color w:val="auto"/>
              </w:rPr>
            </w:pPr>
            <w:r>
              <w:rPr>
                <w:rFonts w:ascii="Arial" w:cs="Arial" w:eastAsia="Arial" w:hAnsi="Arial"/>
                <w:sz w:val="14"/>
                <w:szCs w:val="14"/>
                <w:b w:val="1"/>
                <w:bCs w:val="1"/>
                <w:color w:val="FFFFFF"/>
              </w:rPr>
              <w:t>Principal Position</w:t>
            </w:r>
          </w:p>
        </w:tc>
        <w:tc>
          <w:tcPr>
            <w:tcW w:w="1300" w:type="dxa"/>
            <w:vAlign w:val="bottom"/>
            <w:shd w:val="clear" w:color="auto" w:fill="852166"/>
          </w:tcPr>
          <w:p>
            <w:pPr>
              <w:jc w:val="center"/>
              <w:spacing w:after="0"/>
              <w:rPr>
                <w:sz w:val="20"/>
                <w:szCs w:val="20"/>
                <w:color w:val="auto"/>
              </w:rPr>
            </w:pPr>
            <w:r>
              <w:rPr>
                <w:rFonts w:ascii="Arial" w:cs="Arial" w:eastAsia="Arial" w:hAnsi="Arial"/>
                <w:sz w:val="14"/>
                <w:szCs w:val="14"/>
                <w:b w:val="1"/>
                <w:bCs w:val="1"/>
                <w:color w:val="FFFFFF"/>
              </w:rPr>
              <w:t>Independent</w:t>
            </w:r>
          </w:p>
        </w:tc>
        <w:tc>
          <w:tcPr>
            <w:tcW w:w="1300" w:type="dxa"/>
            <w:vAlign w:val="bottom"/>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Public Boards</w:t>
            </w:r>
          </w:p>
        </w:tc>
        <w:tc>
          <w:tcPr>
            <w:tcW w:w="0" w:type="dxa"/>
            <w:vAlign w:val="bottom"/>
          </w:tcPr>
          <w:p>
            <w:pPr>
              <w:spacing w:after="0"/>
              <w:rPr>
                <w:sz w:val="1"/>
                <w:szCs w:val="1"/>
                <w:color w:val="auto"/>
              </w:rPr>
            </w:pPr>
          </w:p>
        </w:tc>
      </w:tr>
      <w:tr>
        <w:trPr>
          <w:trHeight w:val="70"/>
        </w:trPr>
        <w:tc>
          <w:tcPr>
            <w:tcW w:w="80" w:type="dxa"/>
            <w:vAlign w:val="bottom"/>
            <w:shd w:val="clear" w:color="auto" w:fill="852166"/>
          </w:tcPr>
          <w:p>
            <w:pPr>
              <w:spacing w:after="0"/>
              <w:rPr>
                <w:sz w:val="6"/>
                <w:szCs w:val="6"/>
                <w:color w:val="auto"/>
              </w:rPr>
            </w:pPr>
          </w:p>
        </w:tc>
        <w:tc>
          <w:tcPr>
            <w:tcW w:w="1900" w:type="dxa"/>
            <w:vAlign w:val="bottom"/>
            <w:shd w:val="clear" w:color="auto" w:fill="852166"/>
          </w:tcPr>
          <w:p>
            <w:pPr>
              <w:spacing w:after="0"/>
              <w:rPr>
                <w:sz w:val="6"/>
                <w:szCs w:val="6"/>
                <w:color w:val="auto"/>
              </w:rPr>
            </w:pPr>
          </w:p>
        </w:tc>
        <w:tc>
          <w:tcPr>
            <w:tcW w:w="600" w:type="dxa"/>
            <w:vAlign w:val="bottom"/>
            <w:shd w:val="clear" w:color="auto" w:fill="852166"/>
          </w:tcPr>
          <w:p>
            <w:pPr>
              <w:spacing w:after="0"/>
              <w:rPr>
                <w:sz w:val="6"/>
                <w:szCs w:val="6"/>
                <w:color w:val="auto"/>
              </w:rPr>
            </w:pPr>
          </w:p>
        </w:tc>
        <w:tc>
          <w:tcPr>
            <w:tcW w:w="1220" w:type="dxa"/>
            <w:vAlign w:val="bottom"/>
            <w:shd w:val="clear" w:color="auto" w:fill="852166"/>
          </w:tcPr>
          <w:p>
            <w:pPr>
              <w:spacing w:after="0"/>
              <w:rPr>
                <w:sz w:val="6"/>
                <w:szCs w:val="6"/>
                <w:color w:val="auto"/>
              </w:rPr>
            </w:pPr>
          </w:p>
        </w:tc>
        <w:tc>
          <w:tcPr>
            <w:tcW w:w="4840" w:type="dxa"/>
            <w:vAlign w:val="bottom"/>
            <w:shd w:val="clear" w:color="auto" w:fill="852166"/>
          </w:tcPr>
          <w:p>
            <w:pPr>
              <w:spacing w:after="0"/>
              <w:rPr>
                <w:sz w:val="6"/>
                <w:szCs w:val="6"/>
                <w:color w:val="auto"/>
              </w:rPr>
            </w:pPr>
          </w:p>
        </w:tc>
        <w:tc>
          <w:tcPr>
            <w:tcW w:w="1300" w:type="dxa"/>
            <w:vAlign w:val="bottom"/>
            <w:shd w:val="clear" w:color="auto" w:fill="852166"/>
          </w:tcPr>
          <w:p>
            <w:pPr>
              <w:spacing w:after="0"/>
              <w:rPr>
                <w:sz w:val="6"/>
                <w:szCs w:val="6"/>
                <w:color w:val="auto"/>
              </w:rPr>
            </w:pPr>
          </w:p>
        </w:tc>
        <w:tc>
          <w:tcPr>
            <w:tcW w:w="1300" w:type="dxa"/>
            <w:vAlign w:val="bottom"/>
            <w:shd w:val="clear" w:color="auto" w:fill="852166"/>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80" w:type="dxa"/>
            <w:vAlign w:val="bottom"/>
            <w:shd w:val="clear" w:color="auto" w:fill="EAEAEA"/>
          </w:tcPr>
          <w:p>
            <w:pPr>
              <w:spacing w:after="0"/>
              <w:rPr>
                <w:sz w:val="18"/>
                <w:szCs w:val="18"/>
                <w:color w:val="auto"/>
              </w:rPr>
            </w:pPr>
          </w:p>
        </w:tc>
        <w:tc>
          <w:tcPr>
            <w:tcW w:w="1900" w:type="dxa"/>
            <w:vAlign w:val="bottom"/>
            <w:shd w:val="clear" w:color="auto" w:fill="EAEAEA"/>
          </w:tcPr>
          <w:p>
            <w:pPr>
              <w:ind w:left="20"/>
              <w:spacing w:after="0"/>
              <w:rPr>
                <w:sz w:val="20"/>
                <w:szCs w:val="20"/>
                <w:color w:val="auto"/>
              </w:rPr>
            </w:pPr>
            <w:r>
              <w:rPr>
                <w:rFonts w:ascii="Arial" w:cs="Arial" w:eastAsia="Arial" w:hAnsi="Arial"/>
                <w:sz w:val="14"/>
                <w:szCs w:val="14"/>
                <w:b w:val="1"/>
                <w:bCs w:val="1"/>
                <w:color w:val="852166"/>
              </w:rPr>
              <w:t>2024 Director Nominees</w:t>
            </w:r>
          </w:p>
        </w:tc>
        <w:tc>
          <w:tcPr>
            <w:tcW w:w="600" w:type="dxa"/>
            <w:vAlign w:val="bottom"/>
            <w:shd w:val="clear" w:color="auto" w:fill="EAEAEA"/>
          </w:tcPr>
          <w:p>
            <w:pPr>
              <w:spacing w:after="0"/>
              <w:rPr>
                <w:sz w:val="18"/>
                <w:szCs w:val="18"/>
                <w:color w:val="auto"/>
              </w:rPr>
            </w:pPr>
          </w:p>
        </w:tc>
        <w:tc>
          <w:tcPr>
            <w:tcW w:w="1220" w:type="dxa"/>
            <w:vAlign w:val="bottom"/>
            <w:shd w:val="clear" w:color="auto" w:fill="EAEAEA"/>
          </w:tcPr>
          <w:p>
            <w:pPr>
              <w:spacing w:after="0"/>
              <w:rPr>
                <w:sz w:val="18"/>
                <w:szCs w:val="18"/>
                <w:color w:val="auto"/>
              </w:rPr>
            </w:pPr>
          </w:p>
        </w:tc>
        <w:tc>
          <w:tcPr>
            <w:tcW w:w="4840" w:type="dxa"/>
            <w:vAlign w:val="bottom"/>
            <w:shd w:val="clear" w:color="auto" w:fill="EAEAEA"/>
          </w:tcPr>
          <w:p>
            <w:pPr>
              <w:spacing w:after="0"/>
              <w:rPr>
                <w:sz w:val="18"/>
                <w:szCs w:val="18"/>
                <w:color w:val="auto"/>
              </w:rPr>
            </w:pPr>
          </w:p>
        </w:tc>
        <w:tc>
          <w:tcPr>
            <w:tcW w:w="1300" w:type="dxa"/>
            <w:vAlign w:val="bottom"/>
            <w:shd w:val="clear" w:color="auto" w:fill="EAEAEA"/>
          </w:tcPr>
          <w:p>
            <w:pPr>
              <w:spacing w:after="0"/>
              <w:rPr>
                <w:sz w:val="18"/>
                <w:szCs w:val="18"/>
                <w:color w:val="auto"/>
              </w:rPr>
            </w:pPr>
          </w:p>
        </w:tc>
        <w:tc>
          <w:tcPr>
            <w:tcW w:w="13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80" w:type="dxa"/>
            <w:vAlign w:val="bottom"/>
            <w:shd w:val="clear" w:color="auto" w:fill="EAEAEA"/>
          </w:tcPr>
          <w:p>
            <w:pPr>
              <w:spacing w:after="0"/>
              <w:rPr>
                <w:sz w:val="6"/>
                <w:szCs w:val="6"/>
                <w:color w:val="auto"/>
              </w:rPr>
            </w:pPr>
          </w:p>
        </w:tc>
        <w:tc>
          <w:tcPr>
            <w:tcW w:w="1900" w:type="dxa"/>
            <w:vAlign w:val="bottom"/>
            <w:shd w:val="clear" w:color="auto" w:fill="EAEAEA"/>
          </w:tcPr>
          <w:p>
            <w:pPr>
              <w:spacing w:after="0"/>
              <w:rPr>
                <w:sz w:val="6"/>
                <w:szCs w:val="6"/>
                <w:color w:val="auto"/>
              </w:rPr>
            </w:pPr>
          </w:p>
        </w:tc>
        <w:tc>
          <w:tcPr>
            <w:tcW w:w="600" w:type="dxa"/>
            <w:vAlign w:val="bottom"/>
            <w:shd w:val="clear" w:color="auto" w:fill="EAEAEA"/>
          </w:tcPr>
          <w:p>
            <w:pPr>
              <w:spacing w:after="0"/>
              <w:rPr>
                <w:sz w:val="6"/>
                <w:szCs w:val="6"/>
                <w:color w:val="auto"/>
              </w:rPr>
            </w:pPr>
          </w:p>
        </w:tc>
        <w:tc>
          <w:tcPr>
            <w:tcW w:w="1220" w:type="dxa"/>
            <w:vAlign w:val="bottom"/>
            <w:shd w:val="clear" w:color="auto" w:fill="EAEAEA"/>
          </w:tcPr>
          <w:p>
            <w:pPr>
              <w:spacing w:after="0"/>
              <w:rPr>
                <w:sz w:val="6"/>
                <w:szCs w:val="6"/>
                <w:color w:val="auto"/>
              </w:rPr>
            </w:pPr>
          </w:p>
        </w:tc>
        <w:tc>
          <w:tcPr>
            <w:tcW w:w="4840" w:type="dxa"/>
            <w:vAlign w:val="bottom"/>
            <w:shd w:val="clear" w:color="auto" w:fill="EAEAEA"/>
          </w:tcPr>
          <w:p>
            <w:pPr>
              <w:spacing w:after="0"/>
              <w:rPr>
                <w:sz w:val="6"/>
                <w:szCs w:val="6"/>
                <w:color w:val="auto"/>
              </w:rPr>
            </w:pPr>
          </w:p>
        </w:tc>
        <w:tc>
          <w:tcPr>
            <w:tcW w:w="1300" w:type="dxa"/>
            <w:vAlign w:val="bottom"/>
            <w:shd w:val="clear" w:color="auto" w:fill="EAEAEA"/>
          </w:tcPr>
          <w:p>
            <w:pPr>
              <w:spacing w:after="0"/>
              <w:rPr>
                <w:sz w:val="6"/>
                <w:szCs w:val="6"/>
                <w:color w:val="auto"/>
              </w:rPr>
            </w:pPr>
          </w:p>
        </w:tc>
        <w:tc>
          <w:tcPr>
            <w:tcW w:w="1300" w:type="dxa"/>
            <w:vAlign w:val="bottom"/>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Laura J. Hamill</w:t>
            </w:r>
          </w:p>
        </w:tc>
        <w:tc>
          <w:tcPr>
            <w:tcW w:w="60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59</w:t>
            </w:r>
          </w:p>
        </w:tc>
        <w:tc>
          <w:tcPr>
            <w:tcW w:w="12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48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Director, BB Biotech AG and Y-mAbs Therapeutics, Inc.</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Yes</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Patrick Kennedy</w:t>
            </w:r>
          </w:p>
        </w:tc>
        <w:tc>
          <w:tcPr>
            <w:tcW w:w="600" w:type="dxa"/>
            <w:vAlign w:val="bottom"/>
          </w:tcPr>
          <w:p>
            <w:pPr>
              <w:jc w:val="center"/>
              <w:ind w:left="48"/>
              <w:spacing w:after="0"/>
              <w:rPr>
                <w:sz w:val="20"/>
                <w:szCs w:val="20"/>
                <w:color w:val="auto"/>
              </w:rPr>
            </w:pPr>
            <w:r>
              <w:rPr>
                <w:rFonts w:ascii="Arial" w:cs="Arial" w:eastAsia="Arial" w:hAnsi="Arial"/>
                <w:sz w:val="14"/>
                <w:szCs w:val="14"/>
                <w:color w:val="auto"/>
              </w:rPr>
              <w:t>55</w:t>
            </w:r>
          </w:p>
        </w:tc>
        <w:tc>
          <w:tcPr>
            <w:tcW w:w="1220" w:type="dxa"/>
            <w:vAlign w:val="bottom"/>
          </w:tcPr>
          <w:p>
            <w:pPr>
              <w:ind w:left="380"/>
              <w:spacing w:after="0"/>
              <w:rPr>
                <w:sz w:val="20"/>
                <w:szCs w:val="20"/>
                <w:color w:val="auto"/>
              </w:rPr>
            </w:pPr>
            <w:r>
              <w:rPr>
                <w:rFonts w:ascii="Arial" w:cs="Arial" w:eastAsia="Arial" w:hAnsi="Arial"/>
                <w:sz w:val="14"/>
                <w:szCs w:val="14"/>
                <w:color w:val="auto"/>
              </w:rPr>
              <w:t>2024</w:t>
            </w:r>
          </w:p>
        </w:tc>
        <w:tc>
          <w:tcPr>
            <w:tcW w:w="4840" w:type="dxa"/>
            <w:vAlign w:val="bottom"/>
          </w:tcPr>
          <w:p>
            <w:pPr>
              <w:ind w:left="120"/>
              <w:spacing w:after="0"/>
              <w:rPr>
                <w:sz w:val="20"/>
                <w:szCs w:val="20"/>
                <w:color w:val="auto"/>
              </w:rPr>
            </w:pPr>
            <w:r>
              <w:rPr>
                <w:rFonts w:ascii="Arial" w:cs="Arial" w:eastAsia="Arial" w:hAnsi="Arial"/>
                <w:sz w:val="14"/>
                <w:szCs w:val="14"/>
                <w:color w:val="auto"/>
              </w:rPr>
              <w:t>Chairperson and Governor, Bank of Ireland Group plc</w:t>
            </w:r>
          </w:p>
        </w:tc>
        <w:tc>
          <w:tcPr>
            <w:tcW w:w="1300" w:type="dxa"/>
            <w:vAlign w:val="bottom"/>
          </w:tcPr>
          <w:p>
            <w:pPr>
              <w:jc w:val="center"/>
              <w:spacing w:after="0"/>
              <w:rPr>
                <w:sz w:val="20"/>
                <w:szCs w:val="20"/>
                <w:color w:val="auto"/>
              </w:rPr>
            </w:pPr>
            <w:r>
              <w:rPr>
                <w:rFonts w:ascii="Arial" w:cs="Arial" w:eastAsia="Arial" w:hAnsi="Arial"/>
                <w:sz w:val="14"/>
                <w:szCs w:val="14"/>
                <w:color w:val="auto"/>
                <w:w w:val="90"/>
              </w:rPr>
              <w:t>Yes</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
        </w:trPr>
        <w:tc>
          <w:tcPr>
            <w:tcW w:w="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8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Kenneth W. O’Keefe</w:t>
            </w:r>
          </w:p>
        </w:tc>
        <w:tc>
          <w:tcPr>
            <w:tcW w:w="60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57</w:t>
            </w:r>
          </w:p>
        </w:tc>
        <w:tc>
          <w:tcPr>
            <w:tcW w:w="12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 xml:space="preserve">2004 </w:t>
            </w:r>
            <w:r>
              <w:rPr>
                <w:rFonts w:ascii="Arial" w:cs="Arial" w:eastAsia="Arial" w:hAnsi="Arial"/>
                <w:sz w:val="18"/>
                <w:szCs w:val="18"/>
                <w:color w:val="auto"/>
                <w:vertAlign w:val="superscript"/>
              </w:rPr>
              <w:t>(1)</w:t>
            </w:r>
          </w:p>
        </w:tc>
        <w:tc>
          <w:tcPr>
            <w:tcW w:w="48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Founder, BPOC, LLC</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Yes</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1900" w:type="dxa"/>
            <w:vAlign w:val="bottom"/>
            <w:vMerge w:val="restart"/>
          </w:tcPr>
          <w:p>
            <w:pPr>
              <w:ind w:left="20"/>
              <w:spacing w:after="0"/>
              <w:rPr>
                <w:sz w:val="20"/>
                <w:szCs w:val="20"/>
                <w:color w:val="auto"/>
              </w:rPr>
            </w:pPr>
            <w:r>
              <w:rPr>
                <w:rFonts w:ascii="Arial" w:cs="Arial" w:eastAsia="Arial" w:hAnsi="Arial"/>
                <w:sz w:val="14"/>
                <w:szCs w:val="14"/>
                <w:color w:val="auto"/>
              </w:rPr>
              <w:t>Mark D. Smith, M.D.</w:t>
            </w:r>
          </w:p>
        </w:tc>
        <w:tc>
          <w:tcPr>
            <w:tcW w:w="600" w:type="dxa"/>
            <w:vAlign w:val="bottom"/>
            <w:vMerge w:val="restart"/>
          </w:tcPr>
          <w:p>
            <w:pPr>
              <w:jc w:val="center"/>
              <w:ind w:left="48"/>
              <w:spacing w:after="0"/>
              <w:rPr>
                <w:sz w:val="20"/>
                <w:szCs w:val="20"/>
                <w:color w:val="auto"/>
              </w:rPr>
            </w:pPr>
            <w:r>
              <w:rPr>
                <w:rFonts w:ascii="Arial" w:cs="Arial" w:eastAsia="Arial" w:hAnsi="Arial"/>
                <w:sz w:val="14"/>
                <w:szCs w:val="14"/>
                <w:color w:val="auto"/>
              </w:rPr>
              <w:t>72</w:t>
            </w:r>
          </w:p>
        </w:tc>
        <w:tc>
          <w:tcPr>
            <w:tcW w:w="1220" w:type="dxa"/>
            <w:vAlign w:val="bottom"/>
            <w:vMerge w:val="restart"/>
          </w:tcPr>
          <w:p>
            <w:pPr>
              <w:ind w:left="380"/>
              <w:spacing w:after="0"/>
              <w:rPr>
                <w:sz w:val="20"/>
                <w:szCs w:val="20"/>
                <w:color w:val="auto"/>
              </w:rPr>
            </w:pPr>
            <w:r>
              <w:rPr>
                <w:rFonts w:ascii="Arial" w:cs="Arial" w:eastAsia="Arial" w:hAnsi="Arial"/>
                <w:sz w:val="14"/>
                <w:szCs w:val="14"/>
                <w:color w:val="auto"/>
              </w:rPr>
              <w:t>2020</w:t>
            </w:r>
          </w:p>
        </w:tc>
        <w:tc>
          <w:tcPr>
            <w:tcW w:w="4840" w:type="dxa"/>
            <w:vAlign w:val="bottom"/>
          </w:tcPr>
          <w:p>
            <w:pPr>
              <w:ind w:left="120"/>
              <w:spacing w:after="0"/>
              <w:rPr>
                <w:sz w:val="20"/>
                <w:szCs w:val="20"/>
                <w:color w:val="auto"/>
              </w:rPr>
            </w:pPr>
            <w:r>
              <w:rPr>
                <w:rFonts w:ascii="Arial" w:cs="Arial" w:eastAsia="Arial" w:hAnsi="Arial"/>
                <w:sz w:val="14"/>
                <w:szCs w:val="14"/>
                <w:color w:val="auto"/>
              </w:rPr>
              <w:t>Clinical Professor, University of California, San Francisco and Director,</w:t>
            </w:r>
          </w:p>
        </w:tc>
        <w:tc>
          <w:tcPr>
            <w:tcW w:w="1300" w:type="dxa"/>
            <w:vAlign w:val="bottom"/>
            <w:vMerge w:val="restart"/>
          </w:tcPr>
          <w:p>
            <w:pPr>
              <w:jc w:val="center"/>
              <w:spacing w:after="0"/>
              <w:rPr>
                <w:sz w:val="20"/>
                <w:szCs w:val="20"/>
                <w:color w:val="auto"/>
              </w:rPr>
            </w:pPr>
            <w:r>
              <w:rPr>
                <w:rFonts w:ascii="Arial" w:cs="Arial" w:eastAsia="Arial" w:hAnsi="Arial"/>
                <w:sz w:val="14"/>
                <w:szCs w:val="14"/>
                <w:color w:val="auto"/>
                <w:w w:val="90"/>
              </w:rPr>
              <w:t>Yes</w:t>
            </w: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96"/>
        </w:trPr>
        <w:tc>
          <w:tcPr>
            <w:tcW w:w="8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4840" w:type="dxa"/>
            <w:vAlign w:val="bottom"/>
            <w:vMerge w:val="restart"/>
          </w:tcPr>
          <w:p>
            <w:pPr>
              <w:ind w:left="120"/>
              <w:spacing w:after="0"/>
              <w:rPr>
                <w:sz w:val="20"/>
                <w:szCs w:val="20"/>
                <w:color w:val="auto"/>
              </w:rPr>
            </w:pPr>
            <w:r>
              <w:rPr>
                <w:rFonts w:ascii="Arial" w:cs="Arial" w:eastAsia="Arial" w:hAnsi="Arial"/>
                <w:sz w:val="14"/>
                <w:szCs w:val="14"/>
                <w:color w:val="auto"/>
              </w:rPr>
              <w:t>Phreesia, Inc. and Teladoc Health, Inc.</w:t>
            </w:r>
          </w:p>
        </w:tc>
        <w:tc>
          <w:tcPr>
            <w:tcW w:w="130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84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 w:type="dxa"/>
            <w:vAlign w:val="bottom"/>
            <w:tcBorders>
              <w:bottom w:val="single" w:sz="8" w:color="EAEAEA"/>
            </w:tcBorders>
            <w:shd w:val="clear" w:color="auto" w:fill="EAEAEA"/>
          </w:tcPr>
          <w:p>
            <w:pPr>
              <w:spacing w:after="0"/>
              <w:rPr>
                <w:sz w:val="22"/>
                <w:szCs w:val="22"/>
                <w:color w:val="auto"/>
              </w:rPr>
            </w:pPr>
          </w:p>
        </w:tc>
        <w:tc>
          <w:tcPr>
            <w:tcW w:w="190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4"/>
                <w:szCs w:val="14"/>
                <w:b w:val="1"/>
                <w:bCs w:val="1"/>
                <w:color w:val="852166"/>
              </w:rPr>
              <w:t>Continuing Directors</w:t>
            </w:r>
            <w:r>
              <w:rPr>
                <w:rFonts w:ascii="Arial" w:cs="Arial" w:eastAsia="Arial" w:hAnsi="Arial"/>
                <w:sz w:val="18"/>
                <w:szCs w:val="18"/>
                <w:b w:val="1"/>
                <w:bCs w:val="1"/>
                <w:color w:val="852166"/>
                <w:vertAlign w:val="superscript"/>
              </w:rPr>
              <w:t>(2)</w:t>
            </w:r>
          </w:p>
        </w:tc>
        <w:tc>
          <w:tcPr>
            <w:tcW w:w="600" w:type="dxa"/>
            <w:vAlign w:val="bottom"/>
            <w:tcBorders>
              <w:bottom w:val="single" w:sz="8" w:color="EAEAEA"/>
            </w:tcBorders>
            <w:shd w:val="clear" w:color="auto" w:fill="EAEAEA"/>
          </w:tcPr>
          <w:p>
            <w:pPr>
              <w:spacing w:after="0"/>
              <w:rPr>
                <w:sz w:val="22"/>
                <w:szCs w:val="22"/>
                <w:color w:val="auto"/>
              </w:rPr>
            </w:pPr>
          </w:p>
        </w:tc>
        <w:tc>
          <w:tcPr>
            <w:tcW w:w="1220" w:type="dxa"/>
            <w:vAlign w:val="bottom"/>
            <w:tcBorders>
              <w:bottom w:val="single" w:sz="8" w:color="EAEAEA"/>
            </w:tcBorders>
            <w:shd w:val="clear" w:color="auto" w:fill="EAEAEA"/>
          </w:tcPr>
          <w:p>
            <w:pPr>
              <w:spacing w:after="0"/>
              <w:rPr>
                <w:sz w:val="22"/>
                <w:szCs w:val="22"/>
                <w:color w:val="auto"/>
              </w:rPr>
            </w:pPr>
          </w:p>
        </w:tc>
        <w:tc>
          <w:tcPr>
            <w:tcW w:w="4840" w:type="dxa"/>
            <w:vAlign w:val="bottom"/>
            <w:tcBorders>
              <w:bottom w:val="single" w:sz="8" w:color="EAEAEA"/>
            </w:tcBorders>
            <w:shd w:val="clear" w:color="auto" w:fill="EAEAEA"/>
          </w:tcPr>
          <w:p>
            <w:pPr>
              <w:spacing w:after="0"/>
              <w:rPr>
                <w:sz w:val="22"/>
                <w:szCs w:val="22"/>
                <w:color w:val="auto"/>
              </w:rPr>
            </w:pPr>
          </w:p>
        </w:tc>
        <w:tc>
          <w:tcPr>
            <w:tcW w:w="1300" w:type="dxa"/>
            <w:vAlign w:val="bottom"/>
            <w:tcBorders>
              <w:bottom w:val="single" w:sz="8" w:color="EAEAEA"/>
            </w:tcBorders>
            <w:shd w:val="clear" w:color="auto" w:fill="EAEAEA"/>
          </w:tcPr>
          <w:p>
            <w:pPr>
              <w:spacing w:after="0"/>
              <w:rPr>
                <w:sz w:val="22"/>
                <w:szCs w:val="22"/>
                <w:color w:val="auto"/>
              </w:rPr>
            </w:pPr>
          </w:p>
        </w:tc>
        <w:tc>
          <w:tcPr>
            <w:tcW w:w="1300" w:type="dxa"/>
            <w:vAlign w:val="bottom"/>
            <w:tcBorders>
              <w:bottom w:val="single" w:sz="8" w:color="EAEAEA"/>
            </w:tcBorders>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Bruce C. Cozadd</w:t>
            </w:r>
          </w:p>
        </w:tc>
        <w:tc>
          <w:tcPr>
            <w:tcW w:w="60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60</w:t>
            </w:r>
          </w:p>
        </w:tc>
        <w:tc>
          <w:tcPr>
            <w:tcW w:w="12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 xml:space="preserve">2003 </w:t>
            </w:r>
            <w:r>
              <w:rPr>
                <w:rFonts w:ascii="Arial" w:cs="Arial" w:eastAsia="Arial" w:hAnsi="Arial"/>
                <w:sz w:val="18"/>
                <w:szCs w:val="18"/>
                <w:color w:val="auto"/>
                <w:vertAlign w:val="superscript"/>
              </w:rPr>
              <w:t>(1)</w:t>
            </w:r>
          </w:p>
        </w:tc>
        <w:tc>
          <w:tcPr>
            <w:tcW w:w="48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Chairperson and Chief Executive Officer, Jazz Pharmaceuticals plc</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Jennifer E. Cook</w:t>
            </w:r>
          </w:p>
        </w:tc>
        <w:tc>
          <w:tcPr>
            <w:tcW w:w="600" w:type="dxa"/>
            <w:vAlign w:val="bottom"/>
          </w:tcPr>
          <w:p>
            <w:pPr>
              <w:jc w:val="center"/>
              <w:ind w:left="48"/>
              <w:spacing w:after="0"/>
              <w:rPr>
                <w:sz w:val="20"/>
                <w:szCs w:val="20"/>
                <w:color w:val="auto"/>
              </w:rPr>
            </w:pPr>
            <w:r>
              <w:rPr>
                <w:rFonts w:ascii="Arial" w:cs="Arial" w:eastAsia="Arial" w:hAnsi="Arial"/>
                <w:sz w:val="14"/>
                <w:szCs w:val="14"/>
                <w:color w:val="auto"/>
              </w:rPr>
              <w:t>58</w:t>
            </w:r>
          </w:p>
        </w:tc>
        <w:tc>
          <w:tcPr>
            <w:tcW w:w="1220" w:type="dxa"/>
            <w:vAlign w:val="bottom"/>
          </w:tcPr>
          <w:p>
            <w:pPr>
              <w:ind w:left="380"/>
              <w:spacing w:after="0"/>
              <w:rPr>
                <w:sz w:val="20"/>
                <w:szCs w:val="20"/>
                <w:color w:val="auto"/>
              </w:rPr>
            </w:pPr>
            <w:r>
              <w:rPr>
                <w:rFonts w:ascii="Arial" w:cs="Arial" w:eastAsia="Arial" w:hAnsi="Arial"/>
                <w:sz w:val="14"/>
                <w:szCs w:val="14"/>
                <w:color w:val="auto"/>
              </w:rPr>
              <w:t>2020</w:t>
            </w:r>
          </w:p>
        </w:tc>
        <w:tc>
          <w:tcPr>
            <w:tcW w:w="4840" w:type="dxa"/>
            <w:vAlign w:val="bottom"/>
          </w:tcPr>
          <w:p>
            <w:pPr>
              <w:ind w:left="120"/>
              <w:spacing w:after="0"/>
              <w:rPr>
                <w:sz w:val="20"/>
                <w:szCs w:val="20"/>
                <w:color w:val="auto"/>
              </w:rPr>
            </w:pPr>
            <w:r>
              <w:rPr>
                <w:rFonts w:ascii="Arial" w:cs="Arial" w:eastAsia="Arial" w:hAnsi="Arial"/>
                <w:sz w:val="14"/>
                <w:szCs w:val="14"/>
                <w:color w:val="auto"/>
              </w:rPr>
              <w:t>Director, BridgeBio Pharma, Inc. and Denali Therapeutics Inc.</w:t>
            </w:r>
          </w:p>
        </w:tc>
        <w:tc>
          <w:tcPr>
            <w:tcW w:w="1300" w:type="dxa"/>
            <w:vAlign w:val="bottom"/>
          </w:tcPr>
          <w:p>
            <w:pPr>
              <w:jc w:val="center"/>
              <w:spacing w:after="0"/>
              <w:rPr>
                <w:sz w:val="20"/>
                <w:szCs w:val="20"/>
                <w:color w:val="auto"/>
              </w:rPr>
            </w:pPr>
            <w:r>
              <w:rPr>
                <w:rFonts w:ascii="Arial" w:cs="Arial" w:eastAsia="Arial" w:hAnsi="Arial"/>
                <w:sz w:val="14"/>
                <w:szCs w:val="14"/>
                <w:color w:val="auto"/>
                <w:w w:val="90"/>
              </w:rPr>
              <w:t>Yes</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
        </w:trPr>
        <w:tc>
          <w:tcPr>
            <w:tcW w:w="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8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Patrick G. Enright</w:t>
            </w:r>
          </w:p>
        </w:tc>
        <w:tc>
          <w:tcPr>
            <w:tcW w:w="60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62</w:t>
            </w:r>
          </w:p>
        </w:tc>
        <w:tc>
          <w:tcPr>
            <w:tcW w:w="12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 xml:space="preserve">2009 </w:t>
            </w:r>
            <w:r>
              <w:rPr>
                <w:rFonts w:ascii="Arial" w:cs="Arial" w:eastAsia="Arial" w:hAnsi="Arial"/>
                <w:sz w:val="18"/>
                <w:szCs w:val="18"/>
                <w:color w:val="auto"/>
                <w:vertAlign w:val="superscript"/>
              </w:rPr>
              <w:t>(1)</w:t>
            </w:r>
          </w:p>
        </w:tc>
        <w:tc>
          <w:tcPr>
            <w:tcW w:w="48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Managing Director, Longitude Capital</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Yes</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Heather Ann McSharry</w:t>
            </w:r>
          </w:p>
        </w:tc>
        <w:tc>
          <w:tcPr>
            <w:tcW w:w="600" w:type="dxa"/>
            <w:vAlign w:val="bottom"/>
          </w:tcPr>
          <w:p>
            <w:pPr>
              <w:jc w:val="center"/>
              <w:ind w:left="48"/>
              <w:spacing w:after="0"/>
              <w:rPr>
                <w:sz w:val="20"/>
                <w:szCs w:val="20"/>
                <w:color w:val="auto"/>
              </w:rPr>
            </w:pPr>
            <w:r>
              <w:rPr>
                <w:rFonts w:ascii="Arial" w:cs="Arial" w:eastAsia="Arial" w:hAnsi="Arial"/>
                <w:sz w:val="14"/>
                <w:szCs w:val="14"/>
                <w:color w:val="auto"/>
              </w:rPr>
              <w:t>62</w:t>
            </w:r>
          </w:p>
        </w:tc>
        <w:tc>
          <w:tcPr>
            <w:tcW w:w="1220" w:type="dxa"/>
            <w:vAlign w:val="bottom"/>
          </w:tcPr>
          <w:p>
            <w:pPr>
              <w:ind w:left="380"/>
              <w:spacing w:after="0"/>
              <w:rPr>
                <w:sz w:val="20"/>
                <w:szCs w:val="20"/>
                <w:color w:val="auto"/>
              </w:rPr>
            </w:pPr>
            <w:r>
              <w:rPr>
                <w:rFonts w:ascii="Arial" w:cs="Arial" w:eastAsia="Arial" w:hAnsi="Arial"/>
                <w:sz w:val="14"/>
                <w:szCs w:val="14"/>
                <w:color w:val="auto"/>
              </w:rPr>
              <w:t>2013</w:t>
            </w:r>
          </w:p>
        </w:tc>
        <w:tc>
          <w:tcPr>
            <w:tcW w:w="4840" w:type="dxa"/>
            <w:vAlign w:val="bottom"/>
          </w:tcPr>
          <w:p>
            <w:pPr>
              <w:ind w:left="120"/>
              <w:spacing w:after="0"/>
              <w:rPr>
                <w:sz w:val="20"/>
                <w:szCs w:val="20"/>
                <w:color w:val="auto"/>
              </w:rPr>
            </w:pPr>
            <w:r>
              <w:rPr>
                <w:rFonts w:ascii="Arial" w:cs="Arial" w:eastAsia="Arial" w:hAnsi="Arial"/>
                <w:sz w:val="14"/>
                <w:szCs w:val="14"/>
                <w:color w:val="auto"/>
              </w:rPr>
              <w:t>Director, International Consolidated Airlines Group, S.A.</w:t>
            </w:r>
          </w:p>
        </w:tc>
        <w:tc>
          <w:tcPr>
            <w:tcW w:w="1300" w:type="dxa"/>
            <w:vAlign w:val="bottom"/>
          </w:tcPr>
          <w:p>
            <w:pPr>
              <w:jc w:val="center"/>
              <w:spacing w:after="0"/>
              <w:rPr>
                <w:sz w:val="20"/>
                <w:szCs w:val="20"/>
                <w:color w:val="auto"/>
              </w:rPr>
            </w:pPr>
            <w:r>
              <w:rPr>
                <w:rFonts w:ascii="Arial" w:cs="Arial" w:eastAsia="Arial" w:hAnsi="Arial"/>
                <w:sz w:val="14"/>
                <w:szCs w:val="14"/>
                <w:color w:val="auto"/>
                <w:w w:val="90"/>
              </w:rPr>
              <w:t>Yes</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
        </w:trPr>
        <w:tc>
          <w:tcPr>
            <w:tcW w:w="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Seamus Mulligan</w:t>
            </w:r>
          </w:p>
        </w:tc>
        <w:tc>
          <w:tcPr>
            <w:tcW w:w="600" w:type="dxa"/>
            <w:vAlign w:val="bottom"/>
          </w:tcPr>
          <w:p>
            <w:pPr>
              <w:jc w:val="center"/>
              <w:ind w:left="48"/>
              <w:spacing w:after="0"/>
              <w:rPr>
                <w:sz w:val="20"/>
                <w:szCs w:val="20"/>
                <w:color w:val="auto"/>
              </w:rPr>
            </w:pPr>
            <w:r>
              <w:rPr>
                <w:rFonts w:ascii="Arial" w:cs="Arial" w:eastAsia="Arial" w:hAnsi="Arial"/>
                <w:sz w:val="14"/>
                <w:szCs w:val="14"/>
                <w:color w:val="auto"/>
              </w:rPr>
              <w:t>63</w:t>
            </w:r>
          </w:p>
        </w:tc>
        <w:tc>
          <w:tcPr>
            <w:tcW w:w="1220" w:type="dxa"/>
            <w:vAlign w:val="bottom"/>
          </w:tcPr>
          <w:p>
            <w:pPr>
              <w:ind w:left="380"/>
              <w:spacing w:after="0"/>
              <w:rPr>
                <w:sz w:val="20"/>
                <w:szCs w:val="20"/>
                <w:color w:val="auto"/>
              </w:rPr>
            </w:pPr>
            <w:r>
              <w:rPr>
                <w:rFonts w:ascii="Arial" w:cs="Arial" w:eastAsia="Arial" w:hAnsi="Arial"/>
                <w:sz w:val="14"/>
                <w:szCs w:val="14"/>
                <w:color w:val="auto"/>
              </w:rPr>
              <w:t>2012</w:t>
            </w:r>
          </w:p>
        </w:tc>
        <w:tc>
          <w:tcPr>
            <w:tcW w:w="4840" w:type="dxa"/>
            <w:vAlign w:val="bottom"/>
          </w:tcPr>
          <w:p>
            <w:pPr>
              <w:ind w:left="120"/>
              <w:spacing w:after="0"/>
              <w:rPr>
                <w:sz w:val="20"/>
                <w:szCs w:val="20"/>
                <w:color w:val="auto"/>
              </w:rPr>
            </w:pPr>
            <w:r>
              <w:rPr>
                <w:rFonts w:ascii="Arial" w:cs="Arial" w:eastAsia="Arial" w:hAnsi="Arial"/>
                <w:sz w:val="14"/>
                <w:szCs w:val="14"/>
                <w:color w:val="auto"/>
              </w:rPr>
              <w:t>Director, Jazz Pharmaceuticals plc</w:t>
            </w:r>
          </w:p>
        </w:tc>
        <w:tc>
          <w:tcPr>
            <w:tcW w:w="1300" w:type="dxa"/>
            <w:vAlign w:val="bottom"/>
          </w:tcPr>
          <w:p>
            <w:pPr>
              <w:jc w:val="center"/>
              <w:spacing w:after="0"/>
              <w:rPr>
                <w:sz w:val="20"/>
                <w:szCs w:val="20"/>
                <w:color w:val="auto"/>
              </w:rPr>
            </w:pPr>
            <w:r>
              <w:rPr>
                <w:rFonts w:ascii="Arial" w:cs="Arial" w:eastAsia="Arial" w:hAnsi="Arial"/>
                <w:sz w:val="14"/>
                <w:szCs w:val="14"/>
                <w:color w:val="auto"/>
                <w:w w:val="90"/>
              </w:rPr>
              <w:t>Yes</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2"/>
        </w:trPr>
        <w:tc>
          <w:tcPr>
            <w:tcW w:w="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Anne O’Riordan</w:t>
            </w:r>
          </w:p>
        </w:tc>
        <w:tc>
          <w:tcPr>
            <w:tcW w:w="600" w:type="dxa"/>
            <w:vAlign w:val="bottom"/>
          </w:tcPr>
          <w:p>
            <w:pPr>
              <w:jc w:val="center"/>
              <w:ind w:left="48"/>
              <w:spacing w:after="0"/>
              <w:rPr>
                <w:sz w:val="20"/>
                <w:szCs w:val="20"/>
                <w:color w:val="auto"/>
              </w:rPr>
            </w:pPr>
            <w:r>
              <w:rPr>
                <w:rFonts w:ascii="Arial" w:cs="Arial" w:eastAsia="Arial" w:hAnsi="Arial"/>
                <w:sz w:val="14"/>
                <w:szCs w:val="14"/>
                <w:color w:val="auto"/>
              </w:rPr>
              <w:t>56</w:t>
            </w:r>
          </w:p>
        </w:tc>
        <w:tc>
          <w:tcPr>
            <w:tcW w:w="1220" w:type="dxa"/>
            <w:vAlign w:val="bottom"/>
          </w:tcPr>
          <w:p>
            <w:pPr>
              <w:ind w:left="380"/>
              <w:spacing w:after="0"/>
              <w:rPr>
                <w:sz w:val="20"/>
                <w:szCs w:val="20"/>
                <w:color w:val="auto"/>
              </w:rPr>
            </w:pPr>
            <w:r>
              <w:rPr>
                <w:rFonts w:ascii="Arial" w:cs="Arial" w:eastAsia="Arial" w:hAnsi="Arial"/>
                <w:sz w:val="14"/>
                <w:szCs w:val="14"/>
                <w:color w:val="auto"/>
              </w:rPr>
              <w:t>2019</w:t>
            </w:r>
          </w:p>
        </w:tc>
        <w:tc>
          <w:tcPr>
            <w:tcW w:w="4840" w:type="dxa"/>
            <w:vAlign w:val="bottom"/>
          </w:tcPr>
          <w:p>
            <w:pPr>
              <w:ind w:left="120"/>
              <w:spacing w:after="0"/>
              <w:rPr>
                <w:sz w:val="20"/>
                <w:szCs w:val="20"/>
                <w:color w:val="auto"/>
              </w:rPr>
            </w:pPr>
            <w:r>
              <w:rPr>
                <w:rFonts w:ascii="Arial" w:cs="Arial" w:eastAsia="Arial" w:hAnsi="Arial"/>
                <w:sz w:val="14"/>
                <w:szCs w:val="14"/>
                <w:color w:val="auto"/>
              </w:rPr>
              <w:t>Group Director of Digital, Jardine Matheson Limited</w:t>
            </w:r>
          </w:p>
        </w:tc>
        <w:tc>
          <w:tcPr>
            <w:tcW w:w="1300" w:type="dxa"/>
            <w:vAlign w:val="bottom"/>
          </w:tcPr>
          <w:p>
            <w:pPr>
              <w:jc w:val="center"/>
              <w:spacing w:after="0"/>
              <w:rPr>
                <w:sz w:val="20"/>
                <w:szCs w:val="20"/>
                <w:color w:val="auto"/>
              </w:rPr>
            </w:pPr>
            <w:r>
              <w:rPr>
                <w:rFonts w:ascii="Arial" w:cs="Arial" w:eastAsia="Arial" w:hAnsi="Arial"/>
                <w:sz w:val="14"/>
                <w:szCs w:val="14"/>
                <w:color w:val="auto"/>
                <w:w w:val="90"/>
              </w:rPr>
              <w:t>Yes</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2"/>
        </w:trPr>
        <w:tc>
          <w:tcPr>
            <w:tcW w:w="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1900" w:type="dxa"/>
            <w:vAlign w:val="bottom"/>
            <w:vMerge w:val="restart"/>
          </w:tcPr>
          <w:p>
            <w:pPr>
              <w:ind w:left="20"/>
              <w:spacing w:after="0"/>
              <w:rPr>
                <w:sz w:val="20"/>
                <w:szCs w:val="20"/>
                <w:color w:val="auto"/>
              </w:rPr>
            </w:pPr>
            <w:r>
              <w:rPr>
                <w:rFonts w:ascii="Arial" w:cs="Arial" w:eastAsia="Arial" w:hAnsi="Arial"/>
                <w:sz w:val="14"/>
                <w:szCs w:val="14"/>
                <w:color w:val="auto"/>
              </w:rPr>
              <w:t>Norbert G. Riedel, Ph.D.</w:t>
            </w:r>
          </w:p>
        </w:tc>
        <w:tc>
          <w:tcPr>
            <w:tcW w:w="600" w:type="dxa"/>
            <w:vAlign w:val="bottom"/>
            <w:vMerge w:val="restart"/>
          </w:tcPr>
          <w:p>
            <w:pPr>
              <w:jc w:val="center"/>
              <w:ind w:left="48"/>
              <w:spacing w:after="0"/>
              <w:rPr>
                <w:sz w:val="20"/>
                <w:szCs w:val="20"/>
                <w:color w:val="auto"/>
              </w:rPr>
            </w:pPr>
            <w:r>
              <w:rPr>
                <w:rFonts w:ascii="Arial" w:cs="Arial" w:eastAsia="Arial" w:hAnsi="Arial"/>
                <w:sz w:val="14"/>
                <w:szCs w:val="14"/>
                <w:color w:val="auto"/>
              </w:rPr>
              <w:t>66</w:t>
            </w:r>
          </w:p>
        </w:tc>
        <w:tc>
          <w:tcPr>
            <w:tcW w:w="1220" w:type="dxa"/>
            <w:vAlign w:val="bottom"/>
            <w:vMerge w:val="restart"/>
          </w:tcPr>
          <w:p>
            <w:pPr>
              <w:ind w:left="380"/>
              <w:spacing w:after="0"/>
              <w:rPr>
                <w:sz w:val="20"/>
                <w:szCs w:val="20"/>
                <w:color w:val="auto"/>
              </w:rPr>
            </w:pPr>
            <w:r>
              <w:rPr>
                <w:rFonts w:ascii="Arial" w:cs="Arial" w:eastAsia="Arial" w:hAnsi="Arial"/>
                <w:sz w:val="14"/>
                <w:szCs w:val="14"/>
                <w:color w:val="auto"/>
              </w:rPr>
              <w:t>2013</w:t>
            </w:r>
          </w:p>
        </w:tc>
        <w:tc>
          <w:tcPr>
            <w:tcW w:w="4840" w:type="dxa"/>
            <w:vAlign w:val="bottom"/>
          </w:tcPr>
          <w:p>
            <w:pPr>
              <w:ind w:left="120"/>
              <w:spacing w:after="0"/>
              <w:rPr>
                <w:sz w:val="20"/>
                <w:szCs w:val="20"/>
                <w:color w:val="auto"/>
              </w:rPr>
            </w:pPr>
            <w:r>
              <w:rPr>
                <w:rFonts w:ascii="Arial" w:cs="Arial" w:eastAsia="Arial" w:hAnsi="Arial"/>
                <w:sz w:val="14"/>
                <w:szCs w:val="14"/>
                <w:color w:val="auto"/>
              </w:rPr>
              <w:t>Chairperson, Eton Pharmaceuticals, Inc. and Director, Cerevel</w:t>
            </w:r>
          </w:p>
        </w:tc>
        <w:tc>
          <w:tcPr>
            <w:tcW w:w="1300" w:type="dxa"/>
            <w:vAlign w:val="bottom"/>
            <w:vMerge w:val="restart"/>
          </w:tcPr>
          <w:p>
            <w:pPr>
              <w:jc w:val="center"/>
              <w:spacing w:after="0"/>
              <w:rPr>
                <w:sz w:val="20"/>
                <w:szCs w:val="20"/>
                <w:color w:val="auto"/>
              </w:rPr>
            </w:pPr>
            <w:r>
              <w:rPr>
                <w:rFonts w:ascii="Arial" w:cs="Arial" w:eastAsia="Arial" w:hAnsi="Arial"/>
                <w:sz w:val="14"/>
                <w:szCs w:val="14"/>
                <w:color w:val="auto"/>
                <w:w w:val="90"/>
              </w:rPr>
              <w:t>Yes</w:t>
            </w: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96"/>
        </w:trPr>
        <w:tc>
          <w:tcPr>
            <w:tcW w:w="8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4840" w:type="dxa"/>
            <w:vAlign w:val="bottom"/>
            <w:vMerge w:val="restart"/>
          </w:tcPr>
          <w:p>
            <w:pPr>
              <w:ind w:left="120"/>
              <w:spacing w:after="0"/>
              <w:rPr>
                <w:sz w:val="20"/>
                <w:szCs w:val="20"/>
                <w:color w:val="auto"/>
              </w:rPr>
            </w:pPr>
            <w:r>
              <w:rPr>
                <w:rFonts w:ascii="Arial" w:cs="Arial" w:eastAsia="Arial" w:hAnsi="Arial"/>
                <w:sz w:val="14"/>
                <w:szCs w:val="14"/>
                <w:color w:val="auto"/>
              </w:rPr>
              <w:t>Therapeutics Holdings, Inc.</w:t>
            </w:r>
          </w:p>
        </w:tc>
        <w:tc>
          <w:tcPr>
            <w:tcW w:w="130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84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80" w:type="dxa"/>
            <w:vAlign w:val="bottom"/>
            <w:tcBorders>
              <w:bottom w:val="single" w:sz="8" w:color="852166"/>
            </w:tcBorders>
          </w:tcPr>
          <w:p>
            <w:pPr>
              <w:spacing w:after="0"/>
              <w:rPr>
                <w:sz w:val="23"/>
                <w:szCs w:val="23"/>
                <w:color w:val="auto"/>
              </w:rPr>
            </w:pPr>
          </w:p>
        </w:tc>
        <w:tc>
          <w:tcPr>
            <w:tcW w:w="1900" w:type="dxa"/>
            <w:vAlign w:val="bottom"/>
            <w:tcBorders>
              <w:bottom w:val="single" w:sz="8" w:color="852166"/>
            </w:tcBorders>
          </w:tcPr>
          <w:p>
            <w:pPr>
              <w:ind w:left="20"/>
              <w:spacing w:after="0"/>
              <w:rPr>
                <w:sz w:val="20"/>
                <w:szCs w:val="20"/>
                <w:color w:val="auto"/>
              </w:rPr>
            </w:pPr>
            <w:r>
              <w:rPr>
                <w:rFonts w:ascii="Arial" w:cs="Arial" w:eastAsia="Arial" w:hAnsi="Arial"/>
                <w:sz w:val="14"/>
                <w:szCs w:val="14"/>
                <w:color w:val="auto"/>
              </w:rPr>
              <w:t>Rick E Winningham</w:t>
            </w:r>
          </w:p>
        </w:tc>
        <w:tc>
          <w:tcPr>
            <w:tcW w:w="600" w:type="dxa"/>
            <w:vAlign w:val="bottom"/>
            <w:tcBorders>
              <w:bottom w:val="single" w:sz="8" w:color="852166"/>
            </w:tcBorders>
          </w:tcPr>
          <w:p>
            <w:pPr>
              <w:jc w:val="center"/>
              <w:ind w:left="48"/>
              <w:spacing w:after="0"/>
              <w:rPr>
                <w:sz w:val="20"/>
                <w:szCs w:val="20"/>
                <w:color w:val="auto"/>
              </w:rPr>
            </w:pPr>
            <w:r>
              <w:rPr>
                <w:rFonts w:ascii="Arial" w:cs="Arial" w:eastAsia="Arial" w:hAnsi="Arial"/>
                <w:sz w:val="14"/>
                <w:szCs w:val="14"/>
                <w:color w:val="auto"/>
              </w:rPr>
              <w:t>64</w:t>
            </w:r>
          </w:p>
        </w:tc>
        <w:tc>
          <w:tcPr>
            <w:tcW w:w="1220" w:type="dxa"/>
            <w:vAlign w:val="bottom"/>
            <w:tcBorders>
              <w:bottom w:val="single" w:sz="8" w:color="852166"/>
            </w:tcBorders>
          </w:tcPr>
          <w:p>
            <w:pPr>
              <w:ind w:left="380"/>
              <w:spacing w:after="0"/>
              <w:rPr>
                <w:sz w:val="20"/>
                <w:szCs w:val="20"/>
                <w:color w:val="auto"/>
              </w:rPr>
            </w:pPr>
            <w:r>
              <w:rPr>
                <w:rFonts w:ascii="Arial" w:cs="Arial" w:eastAsia="Arial" w:hAnsi="Arial"/>
                <w:sz w:val="14"/>
                <w:szCs w:val="14"/>
                <w:color w:val="auto"/>
              </w:rPr>
              <w:t xml:space="preserve">2010 </w:t>
            </w:r>
            <w:r>
              <w:rPr>
                <w:rFonts w:ascii="Arial" w:cs="Arial" w:eastAsia="Arial" w:hAnsi="Arial"/>
                <w:sz w:val="18"/>
                <w:szCs w:val="18"/>
                <w:color w:val="auto"/>
                <w:vertAlign w:val="superscript"/>
              </w:rPr>
              <w:t>(1)</w:t>
            </w:r>
          </w:p>
        </w:tc>
        <w:tc>
          <w:tcPr>
            <w:tcW w:w="4840" w:type="dxa"/>
            <w:vAlign w:val="bottom"/>
            <w:tcBorders>
              <w:bottom w:val="single" w:sz="8" w:color="852166"/>
            </w:tcBorders>
          </w:tcPr>
          <w:p>
            <w:pPr>
              <w:ind w:left="120"/>
              <w:spacing w:after="0"/>
              <w:rPr>
                <w:sz w:val="20"/>
                <w:szCs w:val="20"/>
                <w:color w:val="auto"/>
              </w:rPr>
            </w:pPr>
            <w:r>
              <w:rPr>
                <w:rFonts w:ascii="Arial" w:cs="Arial" w:eastAsia="Arial" w:hAnsi="Arial"/>
                <w:sz w:val="14"/>
                <w:szCs w:val="14"/>
                <w:color w:val="auto"/>
              </w:rPr>
              <w:t>Chairperson and Chief Executive Officer, Theravance Biopharma, Inc.</w:t>
            </w:r>
          </w:p>
        </w:tc>
        <w:tc>
          <w:tcPr>
            <w:tcW w:w="1300" w:type="dxa"/>
            <w:vAlign w:val="bottom"/>
            <w:tcBorders>
              <w:bottom w:val="single" w:sz="8" w:color="852166"/>
            </w:tcBorders>
          </w:tcPr>
          <w:p>
            <w:pPr>
              <w:jc w:val="center"/>
              <w:spacing w:after="0"/>
              <w:rPr>
                <w:sz w:val="20"/>
                <w:szCs w:val="20"/>
                <w:color w:val="auto"/>
              </w:rPr>
            </w:pPr>
            <w:r>
              <w:rPr>
                <w:rFonts w:ascii="Arial" w:cs="Arial" w:eastAsia="Arial" w:hAnsi="Arial"/>
                <w:sz w:val="14"/>
                <w:szCs w:val="14"/>
                <w:color w:val="auto"/>
                <w:w w:val="90"/>
              </w:rPr>
              <w:t>Yes</w:t>
            </w:r>
          </w:p>
        </w:tc>
        <w:tc>
          <w:tcPr>
            <w:tcW w:w="130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service on the board of directors of Jazz Pharmaceuticals, Inc., our predecessor.</w:t>
      </w:r>
    </w:p>
    <w:p>
      <w:pPr>
        <w:spacing w:after="0" w:line="68" w:lineRule="exact"/>
        <w:rPr>
          <w:rFonts w:ascii="Arial" w:cs="Arial" w:eastAsia="Arial" w:hAnsi="Arial"/>
          <w:sz w:val="14"/>
          <w:szCs w:val="14"/>
          <w:color w:val="auto"/>
        </w:rPr>
      </w:pPr>
    </w:p>
    <w:p>
      <w:pPr>
        <w:ind w:left="340" w:right="340" w:hanging="332"/>
        <w:spacing w:after="0" w:line="325" w:lineRule="auto"/>
        <w:tabs>
          <w:tab w:leader="none" w:pos="352" w:val="left"/>
        </w:tabs>
        <w:numPr>
          <w:ilvl w:val="0"/>
          <w:numId w:val="9"/>
        </w:numPr>
        <w:rPr>
          <w:rFonts w:ascii="Arial" w:cs="Arial" w:eastAsia="Arial" w:hAnsi="Arial"/>
          <w:sz w:val="14"/>
          <w:szCs w:val="14"/>
          <w:color w:val="auto"/>
        </w:rPr>
      </w:pPr>
      <w:r>
        <w:rPr>
          <w:rFonts w:ascii="Arial" w:cs="Arial" w:eastAsia="Arial" w:hAnsi="Arial"/>
          <w:sz w:val="14"/>
          <w:szCs w:val="14"/>
          <w:color w:val="auto"/>
        </w:rPr>
        <w:t>Continuing directors do not include Peter Gray and Catherine A. Sohn, Pharm.D., who are not standing for re-election at the annual meeting and each of their terms of office as a director will expire at the annual meeting.</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Director Nominees and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149225</wp:posOffset>
            </wp:positionV>
            <wp:extent cx="5915025" cy="1808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1502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6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2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407"/>
        </w:trPr>
        <w:tc>
          <w:tcPr>
            <w:tcW w:w="10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The table below reflects our board as of June 1, 2024</w:t>
      </w:r>
      <w:r>
        <w:rPr>
          <w:rFonts w:ascii="Arial" w:cs="Arial" w:eastAsia="Arial" w:hAnsi="Arial"/>
          <w:sz w:val="21"/>
          <w:szCs w:val="21"/>
          <w:color w:val="auto"/>
          <w:vertAlign w:val="superscript"/>
        </w:rPr>
        <w:t>(1)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Board Diversity Matrix</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tcPr>
          <w:p>
            <w:pPr>
              <w:ind w:left="100"/>
              <w:spacing w:after="0"/>
              <w:rPr>
                <w:sz w:val="20"/>
                <w:szCs w:val="20"/>
                <w:color w:val="auto"/>
              </w:rPr>
            </w:pPr>
            <w:r>
              <w:rPr>
                <w:rFonts w:ascii="Arial" w:cs="Arial" w:eastAsia="Arial" w:hAnsi="Arial"/>
                <w:sz w:val="14"/>
                <w:szCs w:val="14"/>
                <w:color w:val="auto"/>
              </w:rPr>
              <w:t>Total Number of Directors</w:t>
            </w:r>
          </w:p>
        </w:tc>
        <w:tc>
          <w:tcPr>
            <w:tcW w:w="1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40" w:type="dxa"/>
            <w:vAlign w:val="bottom"/>
          </w:tcPr>
          <w:p>
            <w:pPr>
              <w:jc w:val="right"/>
              <w:ind w:right="1768"/>
              <w:spacing w:after="0"/>
              <w:rPr>
                <w:sz w:val="20"/>
                <w:szCs w:val="20"/>
                <w:color w:val="auto"/>
              </w:rPr>
            </w:pPr>
            <w:r>
              <w:rPr>
                <w:rFonts w:ascii="Arial" w:cs="Arial" w:eastAsia="Arial" w:hAnsi="Arial"/>
                <w:sz w:val="14"/>
                <w:szCs w:val="14"/>
                <w:color w:val="auto"/>
              </w:rPr>
              <w:t>13</w:t>
            </w:r>
          </w:p>
        </w:tc>
        <w:tc>
          <w:tcPr>
            <w:tcW w:w="2480" w:type="dxa"/>
            <w:vAlign w:val="bottom"/>
          </w:tcPr>
          <w:p>
            <w:pPr>
              <w:spacing w:after="0"/>
              <w:rPr>
                <w:sz w:val="16"/>
                <w:szCs w:val="16"/>
                <w:color w:val="auto"/>
              </w:rPr>
            </w:pPr>
          </w:p>
        </w:tc>
      </w:tr>
      <w:tr>
        <w:trPr>
          <w:trHeight w:val="22"/>
        </w:trPr>
        <w:tc>
          <w:tcPr>
            <w:tcW w:w="2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14"/>
        </w:trPr>
        <w:tc>
          <w:tcPr>
            <w:tcW w:w="2860" w:type="dxa"/>
            <w:vAlign w:val="bottom"/>
            <w:shd w:val="clear" w:color="auto" w:fill="852166"/>
          </w:tcPr>
          <w:p>
            <w:pPr>
              <w:spacing w:after="0"/>
              <w:rPr>
                <w:sz w:val="18"/>
                <w:szCs w:val="18"/>
                <w:color w:val="auto"/>
              </w:rPr>
            </w:pPr>
          </w:p>
        </w:tc>
        <w:tc>
          <w:tcPr>
            <w:tcW w:w="1860" w:type="dxa"/>
            <w:vAlign w:val="bottom"/>
            <w:shd w:val="clear" w:color="auto" w:fill="852166"/>
          </w:tcPr>
          <w:p>
            <w:pPr>
              <w:jc w:val="center"/>
              <w:ind w:right="328"/>
              <w:spacing w:after="0"/>
              <w:rPr>
                <w:sz w:val="20"/>
                <w:szCs w:val="20"/>
                <w:color w:val="auto"/>
              </w:rPr>
            </w:pPr>
            <w:r>
              <w:rPr>
                <w:rFonts w:ascii="Arial" w:cs="Arial" w:eastAsia="Arial" w:hAnsi="Arial"/>
                <w:sz w:val="14"/>
                <w:szCs w:val="14"/>
                <w:b w:val="1"/>
                <w:bCs w:val="1"/>
                <w:color w:val="FFFFFF"/>
              </w:rPr>
              <w:t>Female</w:t>
            </w:r>
          </w:p>
        </w:tc>
        <w:tc>
          <w:tcPr>
            <w:tcW w:w="1600" w:type="dxa"/>
            <w:vAlign w:val="bottom"/>
            <w:shd w:val="clear" w:color="auto" w:fill="852166"/>
          </w:tcPr>
          <w:p>
            <w:pPr>
              <w:jc w:val="center"/>
              <w:ind w:left="368"/>
              <w:spacing w:after="0"/>
              <w:rPr>
                <w:sz w:val="20"/>
                <w:szCs w:val="20"/>
                <w:color w:val="auto"/>
              </w:rPr>
            </w:pPr>
            <w:r>
              <w:rPr>
                <w:rFonts w:ascii="Arial" w:cs="Arial" w:eastAsia="Arial" w:hAnsi="Arial"/>
                <w:sz w:val="14"/>
                <w:szCs w:val="14"/>
                <w:b w:val="1"/>
                <w:bCs w:val="1"/>
                <w:color w:val="FFFFFF"/>
              </w:rPr>
              <w:t>Male</w:t>
            </w:r>
          </w:p>
        </w:tc>
        <w:tc>
          <w:tcPr>
            <w:tcW w:w="2440" w:type="dxa"/>
            <w:vAlign w:val="bottom"/>
            <w:shd w:val="clear" w:color="auto" w:fill="852166"/>
          </w:tcPr>
          <w:p>
            <w:pPr>
              <w:jc w:val="center"/>
              <w:ind w:left="668"/>
              <w:spacing w:after="0"/>
              <w:rPr>
                <w:sz w:val="20"/>
                <w:szCs w:val="20"/>
                <w:color w:val="auto"/>
              </w:rPr>
            </w:pPr>
            <w:r>
              <w:rPr>
                <w:rFonts w:ascii="Arial" w:cs="Arial" w:eastAsia="Arial" w:hAnsi="Arial"/>
                <w:sz w:val="14"/>
                <w:szCs w:val="14"/>
                <w:b w:val="1"/>
                <w:bCs w:val="1"/>
                <w:color w:val="FFFFFF"/>
              </w:rPr>
              <w:t>Non-Binary</w:t>
            </w:r>
          </w:p>
        </w:tc>
        <w:tc>
          <w:tcPr>
            <w:tcW w:w="2480" w:type="dxa"/>
            <w:vAlign w:val="bottom"/>
            <w:shd w:val="clear" w:color="auto" w:fill="852166"/>
          </w:tcPr>
          <w:p>
            <w:pPr>
              <w:jc w:val="center"/>
              <w:ind w:left="48"/>
              <w:spacing w:after="0"/>
              <w:rPr>
                <w:sz w:val="20"/>
                <w:szCs w:val="20"/>
                <w:color w:val="auto"/>
              </w:rPr>
            </w:pPr>
            <w:r>
              <w:rPr>
                <w:rFonts w:ascii="Arial" w:cs="Arial" w:eastAsia="Arial" w:hAnsi="Arial"/>
                <w:sz w:val="14"/>
                <w:szCs w:val="14"/>
                <w:b w:val="1"/>
                <w:bCs w:val="1"/>
                <w:color w:val="FFFFFF"/>
              </w:rPr>
              <w:t>Did Not Disclose Gender</w:t>
            </w:r>
          </w:p>
        </w:tc>
      </w:tr>
      <w:tr>
        <w:trPr>
          <w:trHeight w:val="69"/>
        </w:trPr>
        <w:tc>
          <w:tcPr>
            <w:tcW w:w="2860" w:type="dxa"/>
            <w:vAlign w:val="bottom"/>
            <w:shd w:val="clear" w:color="auto" w:fill="852166"/>
          </w:tcPr>
          <w:p>
            <w:pPr>
              <w:spacing w:after="0"/>
              <w:rPr>
                <w:sz w:val="6"/>
                <w:szCs w:val="6"/>
                <w:color w:val="auto"/>
              </w:rPr>
            </w:pPr>
          </w:p>
        </w:tc>
        <w:tc>
          <w:tcPr>
            <w:tcW w:w="1860" w:type="dxa"/>
            <w:vAlign w:val="bottom"/>
            <w:shd w:val="clear" w:color="auto" w:fill="852166"/>
          </w:tcPr>
          <w:p>
            <w:pPr>
              <w:spacing w:after="0"/>
              <w:rPr>
                <w:sz w:val="6"/>
                <w:szCs w:val="6"/>
                <w:color w:val="auto"/>
              </w:rPr>
            </w:pPr>
          </w:p>
        </w:tc>
        <w:tc>
          <w:tcPr>
            <w:tcW w:w="1600" w:type="dxa"/>
            <w:vAlign w:val="bottom"/>
            <w:shd w:val="clear" w:color="auto" w:fill="852166"/>
          </w:tcPr>
          <w:p>
            <w:pPr>
              <w:spacing w:after="0"/>
              <w:rPr>
                <w:sz w:val="6"/>
                <w:szCs w:val="6"/>
                <w:color w:val="auto"/>
              </w:rPr>
            </w:pPr>
          </w:p>
        </w:tc>
        <w:tc>
          <w:tcPr>
            <w:tcW w:w="2440" w:type="dxa"/>
            <w:vAlign w:val="bottom"/>
            <w:shd w:val="clear" w:color="auto" w:fill="852166"/>
          </w:tcPr>
          <w:p>
            <w:pPr>
              <w:spacing w:after="0"/>
              <w:rPr>
                <w:sz w:val="6"/>
                <w:szCs w:val="6"/>
                <w:color w:val="auto"/>
              </w:rPr>
            </w:pPr>
          </w:p>
        </w:tc>
        <w:tc>
          <w:tcPr>
            <w:tcW w:w="2480" w:type="dxa"/>
            <w:vAlign w:val="bottom"/>
            <w:shd w:val="clear" w:color="auto" w:fill="852166"/>
          </w:tcPr>
          <w:p>
            <w:pPr>
              <w:spacing w:after="0"/>
              <w:rPr>
                <w:sz w:val="6"/>
                <w:szCs w:val="6"/>
                <w:color w:val="auto"/>
              </w:rPr>
            </w:pPr>
          </w:p>
        </w:tc>
      </w:tr>
      <w:tr>
        <w:trPr>
          <w:trHeight w:val="214"/>
        </w:trPr>
        <w:tc>
          <w:tcPr>
            <w:tcW w:w="2860" w:type="dxa"/>
            <w:vAlign w:val="bottom"/>
            <w:shd w:val="clear" w:color="auto" w:fill="EAEAEA"/>
          </w:tcPr>
          <w:p>
            <w:pPr>
              <w:ind w:left="100"/>
              <w:spacing w:after="0"/>
              <w:rPr>
                <w:sz w:val="20"/>
                <w:szCs w:val="20"/>
                <w:color w:val="auto"/>
              </w:rPr>
            </w:pPr>
            <w:r>
              <w:rPr>
                <w:rFonts w:ascii="Arial" w:cs="Arial" w:eastAsia="Arial" w:hAnsi="Arial"/>
                <w:sz w:val="14"/>
                <w:szCs w:val="14"/>
                <w:b w:val="1"/>
                <w:bCs w:val="1"/>
                <w:color w:val="852166"/>
              </w:rPr>
              <w:t>Part 1: Gender Identity</w:t>
            </w:r>
          </w:p>
        </w:tc>
        <w:tc>
          <w:tcPr>
            <w:tcW w:w="1860" w:type="dxa"/>
            <w:vAlign w:val="bottom"/>
            <w:shd w:val="clear" w:color="auto" w:fill="EAEAEA"/>
          </w:tcPr>
          <w:p>
            <w:pPr>
              <w:spacing w:after="0"/>
              <w:rPr>
                <w:sz w:val="18"/>
                <w:szCs w:val="18"/>
                <w:color w:val="auto"/>
              </w:rPr>
            </w:pPr>
          </w:p>
        </w:tc>
        <w:tc>
          <w:tcPr>
            <w:tcW w:w="1600" w:type="dxa"/>
            <w:vAlign w:val="bottom"/>
            <w:shd w:val="clear" w:color="auto" w:fill="EAEAEA"/>
          </w:tcPr>
          <w:p>
            <w:pPr>
              <w:spacing w:after="0"/>
              <w:rPr>
                <w:sz w:val="18"/>
                <w:szCs w:val="18"/>
                <w:color w:val="auto"/>
              </w:rPr>
            </w:pPr>
          </w:p>
        </w:tc>
        <w:tc>
          <w:tcPr>
            <w:tcW w:w="2440" w:type="dxa"/>
            <w:vAlign w:val="bottom"/>
            <w:shd w:val="clear" w:color="auto" w:fill="EAEAEA"/>
          </w:tcPr>
          <w:p>
            <w:pPr>
              <w:spacing w:after="0"/>
              <w:rPr>
                <w:sz w:val="18"/>
                <w:szCs w:val="18"/>
                <w:color w:val="auto"/>
              </w:rPr>
            </w:pPr>
          </w:p>
        </w:tc>
        <w:tc>
          <w:tcPr>
            <w:tcW w:w="2480" w:type="dxa"/>
            <w:vAlign w:val="bottom"/>
            <w:shd w:val="clear" w:color="auto" w:fill="EAEAEA"/>
          </w:tcPr>
          <w:p>
            <w:pPr>
              <w:spacing w:after="0"/>
              <w:rPr>
                <w:sz w:val="18"/>
                <w:szCs w:val="18"/>
                <w:color w:val="auto"/>
              </w:rPr>
            </w:pPr>
          </w:p>
        </w:tc>
      </w:tr>
      <w:tr>
        <w:trPr>
          <w:trHeight w:val="70"/>
        </w:trPr>
        <w:tc>
          <w:tcPr>
            <w:tcW w:w="2860" w:type="dxa"/>
            <w:vAlign w:val="bottom"/>
            <w:shd w:val="clear" w:color="auto" w:fill="EAEAEA"/>
          </w:tcPr>
          <w:p>
            <w:pPr>
              <w:spacing w:after="0"/>
              <w:rPr>
                <w:sz w:val="6"/>
                <w:szCs w:val="6"/>
                <w:color w:val="auto"/>
              </w:rPr>
            </w:pPr>
          </w:p>
        </w:tc>
        <w:tc>
          <w:tcPr>
            <w:tcW w:w="1860" w:type="dxa"/>
            <w:vAlign w:val="bottom"/>
            <w:shd w:val="clear" w:color="auto" w:fill="EAEAEA"/>
          </w:tcPr>
          <w:p>
            <w:pPr>
              <w:spacing w:after="0"/>
              <w:rPr>
                <w:sz w:val="6"/>
                <w:szCs w:val="6"/>
                <w:color w:val="auto"/>
              </w:rPr>
            </w:pPr>
          </w:p>
        </w:tc>
        <w:tc>
          <w:tcPr>
            <w:tcW w:w="1600" w:type="dxa"/>
            <w:vAlign w:val="bottom"/>
            <w:shd w:val="clear" w:color="auto" w:fill="EAEAEA"/>
          </w:tcPr>
          <w:p>
            <w:pPr>
              <w:spacing w:after="0"/>
              <w:rPr>
                <w:sz w:val="6"/>
                <w:szCs w:val="6"/>
                <w:color w:val="auto"/>
              </w:rPr>
            </w:pPr>
          </w:p>
        </w:tc>
        <w:tc>
          <w:tcPr>
            <w:tcW w:w="2440" w:type="dxa"/>
            <w:vAlign w:val="bottom"/>
            <w:shd w:val="clear" w:color="auto" w:fill="EAEAEA"/>
          </w:tcPr>
          <w:p>
            <w:pPr>
              <w:spacing w:after="0"/>
              <w:rPr>
                <w:sz w:val="6"/>
                <w:szCs w:val="6"/>
                <w:color w:val="auto"/>
              </w:rPr>
            </w:pPr>
          </w:p>
        </w:tc>
        <w:tc>
          <w:tcPr>
            <w:tcW w:w="2480" w:type="dxa"/>
            <w:vAlign w:val="bottom"/>
            <w:shd w:val="clear" w:color="auto" w:fill="EAEAEA"/>
          </w:tcPr>
          <w:p>
            <w:pPr>
              <w:spacing w:after="0"/>
              <w:rPr>
                <w:sz w:val="6"/>
                <w:szCs w:val="6"/>
                <w:color w:val="auto"/>
              </w:rPr>
            </w:pPr>
          </w:p>
        </w:tc>
      </w:tr>
      <w:tr>
        <w:trPr>
          <w:trHeight w:val="208"/>
        </w:trPr>
        <w:tc>
          <w:tcPr>
            <w:tcW w:w="2860" w:type="dxa"/>
            <w:vAlign w:val="bottom"/>
          </w:tcPr>
          <w:p>
            <w:pPr>
              <w:ind w:left="100"/>
              <w:spacing w:after="0"/>
              <w:rPr>
                <w:sz w:val="20"/>
                <w:szCs w:val="20"/>
                <w:color w:val="auto"/>
              </w:rPr>
            </w:pPr>
            <w:r>
              <w:rPr>
                <w:rFonts w:ascii="Arial" w:cs="Arial" w:eastAsia="Arial" w:hAnsi="Arial"/>
                <w:sz w:val="14"/>
                <w:szCs w:val="14"/>
                <w:color w:val="auto"/>
              </w:rPr>
              <w:t>Directors</w:t>
            </w:r>
          </w:p>
        </w:tc>
        <w:tc>
          <w:tcPr>
            <w:tcW w:w="1860" w:type="dxa"/>
            <w:vAlign w:val="bottom"/>
          </w:tcPr>
          <w:p>
            <w:pPr>
              <w:jc w:val="center"/>
              <w:ind w:right="308"/>
              <w:spacing w:after="0"/>
              <w:rPr>
                <w:sz w:val="20"/>
                <w:szCs w:val="20"/>
                <w:color w:val="auto"/>
              </w:rPr>
            </w:pPr>
            <w:r>
              <w:rPr>
                <w:rFonts w:ascii="Arial" w:cs="Arial" w:eastAsia="Arial" w:hAnsi="Arial"/>
                <w:sz w:val="14"/>
                <w:szCs w:val="14"/>
                <w:color w:val="auto"/>
              </w:rPr>
              <w:t>4</w:t>
            </w:r>
          </w:p>
        </w:tc>
        <w:tc>
          <w:tcPr>
            <w:tcW w:w="1600" w:type="dxa"/>
            <w:vAlign w:val="bottom"/>
          </w:tcPr>
          <w:p>
            <w:pPr>
              <w:jc w:val="center"/>
              <w:ind w:left="368"/>
              <w:spacing w:after="0"/>
              <w:rPr>
                <w:sz w:val="20"/>
                <w:szCs w:val="20"/>
                <w:color w:val="auto"/>
              </w:rPr>
            </w:pPr>
            <w:r>
              <w:rPr>
                <w:rFonts w:ascii="Arial" w:cs="Arial" w:eastAsia="Arial" w:hAnsi="Arial"/>
                <w:sz w:val="14"/>
                <w:szCs w:val="14"/>
                <w:color w:val="auto"/>
              </w:rPr>
              <w:t>9</w:t>
            </w:r>
          </w:p>
        </w:tc>
        <w:tc>
          <w:tcPr>
            <w:tcW w:w="2440" w:type="dxa"/>
            <w:vAlign w:val="bottom"/>
          </w:tcPr>
          <w:p>
            <w:pPr>
              <w:jc w:val="center"/>
              <w:ind w:left="648"/>
              <w:spacing w:after="0"/>
              <w:rPr>
                <w:sz w:val="20"/>
                <w:szCs w:val="20"/>
                <w:color w:val="auto"/>
              </w:rPr>
            </w:pPr>
            <w:r>
              <w:rPr>
                <w:rFonts w:ascii="Arial" w:cs="Arial" w:eastAsia="Arial" w:hAnsi="Arial"/>
                <w:sz w:val="14"/>
                <w:szCs w:val="14"/>
                <w:color w:val="auto"/>
              </w:rPr>
              <w:t>0</w:t>
            </w:r>
          </w:p>
        </w:tc>
        <w:tc>
          <w:tcPr>
            <w:tcW w:w="2480" w:type="dxa"/>
            <w:vAlign w:val="bottom"/>
          </w:tcPr>
          <w:p>
            <w:pPr>
              <w:jc w:val="center"/>
              <w:ind w:left="48"/>
              <w:spacing w:after="0"/>
              <w:rPr>
                <w:sz w:val="20"/>
                <w:szCs w:val="20"/>
                <w:color w:val="auto"/>
              </w:rPr>
            </w:pPr>
            <w:r>
              <w:rPr>
                <w:rFonts w:ascii="Arial" w:cs="Arial" w:eastAsia="Arial" w:hAnsi="Arial"/>
                <w:sz w:val="14"/>
                <w:szCs w:val="14"/>
                <w:color w:val="auto"/>
              </w:rPr>
              <w:t>0</w:t>
            </w:r>
          </w:p>
        </w:tc>
      </w:tr>
      <w:tr>
        <w:trPr>
          <w:trHeight w:val="22"/>
        </w:trPr>
        <w:tc>
          <w:tcPr>
            <w:tcW w:w="2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14"/>
        </w:trPr>
        <w:tc>
          <w:tcPr>
            <w:tcW w:w="2860" w:type="dxa"/>
            <w:vAlign w:val="bottom"/>
            <w:shd w:val="clear" w:color="auto" w:fill="EAEAEA"/>
          </w:tcPr>
          <w:p>
            <w:pPr>
              <w:ind w:left="100"/>
              <w:spacing w:after="0"/>
              <w:rPr>
                <w:sz w:val="20"/>
                <w:szCs w:val="20"/>
                <w:color w:val="auto"/>
              </w:rPr>
            </w:pPr>
            <w:r>
              <w:rPr>
                <w:rFonts w:ascii="Arial" w:cs="Arial" w:eastAsia="Arial" w:hAnsi="Arial"/>
                <w:sz w:val="14"/>
                <w:szCs w:val="14"/>
                <w:b w:val="1"/>
                <w:bCs w:val="1"/>
                <w:color w:val="852166"/>
              </w:rPr>
              <w:t>Part II: Demographic Background</w:t>
            </w:r>
          </w:p>
        </w:tc>
        <w:tc>
          <w:tcPr>
            <w:tcW w:w="1860" w:type="dxa"/>
            <w:vAlign w:val="bottom"/>
            <w:shd w:val="clear" w:color="auto" w:fill="EAEAEA"/>
          </w:tcPr>
          <w:p>
            <w:pPr>
              <w:spacing w:after="0"/>
              <w:rPr>
                <w:sz w:val="18"/>
                <w:szCs w:val="18"/>
                <w:color w:val="auto"/>
              </w:rPr>
            </w:pPr>
          </w:p>
        </w:tc>
        <w:tc>
          <w:tcPr>
            <w:tcW w:w="1600" w:type="dxa"/>
            <w:vAlign w:val="bottom"/>
            <w:shd w:val="clear" w:color="auto" w:fill="EAEAEA"/>
          </w:tcPr>
          <w:p>
            <w:pPr>
              <w:spacing w:after="0"/>
              <w:rPr>
                <w:sz w:val="18"/>
                <w:szCs w:val="18"/>
                <w:color w:val="auto"/>
              </w:rPr>
            </w:pPr>
          </w:p>
        </w:tc>
        <w:tc>
          <w:tcPr>
            <w:tcW w:w="2440" w:type="dxa"/>
            <w:vAlign w:val="bottom"/>
            <w:shd w:val="clear" w:color="auto" w:fill="EAEAEA"/>
          </w:tcPr>
          <w:p>
            <w:pPr>
              <w:spacing w:after="0"/>
              <w:rPr>
                <w:sz w:val="18"/>
                <w:szCs w:val="18"/>
                <w:color w:val="auto"/>
              </w:rPr>
            </w:pPr>
          </w:p>
        </w:tc>
        <w:tc>
          <w:tcPr>
            <w:tcW w:w="2480" w:type="dxa"/>
            <w:vAlign w:val="bottom"/>
            <w:shd w:val="clear" w:color="auto" w:fill="EAEAEA"/>
          </w:tcPr>
          <w:p>
            <w:pPr>
              <w:spacing w:after="0"/>
              <w:rPr>
                <w:sz w:val="18"/>
                <w:szCs w:val="18"/>
                <w:color w:val="auto"/>
              </w:rPr>
            </w:pPr>
          </w:p>
        </w:tc>
      </w:tr>
      <w:tr>
        <w:trPr>
          <w:trHeight w:val="70"/>
        </w:trPr>
        <w:tc>
          <w:tcPr>
            <w:tcW w:w="2860" w:type="dxa"/>
            <w:vAlign w:val="bottom"/>
            <w:shd w:val="clear" w:color="auto" w:fill="EAEAEA"/>
          </w:tcPr>
          <w:p>
            <w:pPr>
              <w:spacing w:after="0"/>
              <w:rPr>
                <w:sz w:val="6"/>
                <w:szCs w:val="6"/>
                <w:color w:val="auto"/>
              </w:rPr>
            </w:pPr>
          </w:p>
        </w:tc>
        <w:tc>
          <w:tcPr>
            <w:tcW w:w="1860" w:type="dxa"/>
            <w:vAlign w:val="bottom"/>
            <w:shd w:val="clear" w:color="auto" w:fill="EAEAEA"/>
          </w:tcPr>
          <w:p>
            <w:pPr>
              <w:spacing w:after="0"/>
              <w:rPr>
                <w:sz w:val="6"/>
                <w:szCs w:val="6"/>
                <w:color w:val="auto"/>
              </w:rPr>
            </w:pPr>
          </w:p>
        </w:tc>
        <w:tc>
          <w:tcPr>
            <w:tcW w:w="1600" w:type="dxa"/>
            <w:vAlign w:val="bottom"/>
            <w:shd w:val="clear" w:color="auto" w:fill="EAEAEA"/>
          </w:tcPr>
          <w:p>
            <w:pPr>
              <w:spacing w:after="0"/>
              <w:rPr>
                <w:sz w:val="6"/>
                <w:szCs w:val="6"/>
                <w:color w:val="auto"/>
              </w:rPr>
            </w:pPr>
          </w:p>
        </w:tc>
        <w:tc>
          <w:tcPr>
            <w:tcW w:w="2440" w:type="dxa"/>
            <w:vAlign w:val="bottom"/>
            <w:shd w:val="clear" w:color="auto" w:fill="EAEAEA"/>
          </w:tcPr>
          <w:p>
            <w:pPr>
              <w:spacing w:after="0"/>
              <w:rPr>
                <w:sz w:val="6"/>
                <w:szCs w:val="6"/>
                <w:color w:val="auto"/>
              </w:rPr>
            </w:pPr>
          </w:p>
        </w:tc>
        <w:tc>
          <w:tcPr>
            <w:tcW w:w="2480" w:type="dxa"/>
            <w:vAlign w:val="bottom"/>
            <w:shd w:val="clear" w:color="auto" w:fill="EAEAEA"/>
          </w:tcPr>
          <w:p>
            <w:pPr>
              <w:spacing w:after="0"/>
              <w:rPr>
                <w:sz w:val="6"/>
                <w:szCs w:val="6"/>
                <w:color w:val="auto"/>
              </w:rPr>
            </w:pPr>
          </w:p>
        </w:tc>
      </w:tr>
      <w:tr>
        <w:trPr>
          <w:trHeight w:val="208"/>
        </w:trPr>
        <w:tc>
          <w:tcPr>
            <w:tcW w:w="2860" w:type="dxa"/>
            <w:vAlign w:val="bottom"/>
          </w:tcPr>
          <w:p>
            <w:pPr>
              <w:ind w:left="100"/>
              <w:spacing w:after="0"/>
              <w:rPr>
                <w:sz w:val="20"/>
                <w:szCs w:val="20"/>
                <w:color w:val="auto"/>
              </w:rPr>
            </w:pPr>
            <w:r>
              <w:rPr>
                <w:rFonts w:ascii="Arial" w:cs="Arial" w:eastAsia="Arial" w:hAnsi="Arial"/>
                <w:sz w:val="14"/>
                <w:szCs w:val="14"/>
                <w:color w:val="auto"/>
              </w:rPr>
              <w:t>African American or Black</w:t>
            </w:r>
          </w:p>
        </w:tc>
        <w:tc>
          <w:tcPr>
            <w:tcW w:w="1860" w:type="dxa"/>
            <w:vAlign w:val="bottom"/>
          </w:tcPr>
          <w:p>
            <w:pPr>
              <w:jc w:val="center"/>
              <w:ind w:right="308"/>
              <w:spacing w:after="0"/>
              <w:rPr>
                <w:sz w:val="20"/>
                <w:szCs w:val="20"/>
                <w:color w:val="auto"/>
              </w:rPr>
            </w:pPr>
            <w:r>
              <w:rPr>
                <w:rFonts w:ascii="Arial" w:cs="Arial" w:eastAsia="Arial" w:hAnsi="Arial"/>
                <w:sz w:val="14"/>
                <w:szCs w:val="14"/>
                <w:color w:val="auto"/>
              </w:rPr>
              <w:t>0</w:t>
            </w:r>
          </w:p>
        </w:tc>
        <w:tc>
          <w:tcPr>
            <w:tcW w:w="1600" w:type="dxa"/>
            <w:vAlign w:val="bottom"/>
          </w:tcPr>
          <w:p>
            <w:pPr>
              <w:jc w:val="center"/>
              <w:ind w:left="368"/>
              <w:spacing w:after="0"/>
              <w:rPr>
                <w:sz w:val="20"/>
                <w:szCs w:val="20"/>
                <w:color w:val="auto"/>
              </w:rPr>
            </w:pPr>
            <w:r>
              <w:rPr>
                <w:rFonts w:ascii="Arial" w:cs="Arial" w:eastAsia="Arial" w:hAnsi="Arial"/>
                <w:sz w:val="14"/>
                <w:szCs w:val="14"/>
                <w:color w:val="auto"/>
              </w:rPr>
              <w:t>1</w:t>
            </w:r>
          </w:p>
        </w:tc>
        <w:tc>
          <w:tcPr>
            <w:tcW w:w="2440" w:type="dxa"/>
            <w:vAlign w:val="bottom"/>
          </w:tcPr>
          <w:p>
            <w:pPr>
              <w:jc w:val="center"/>
              <w:ind w:left="648"/>
              <w:spacing w:after="0"/>
              <w:rPr>
                <w:sz w:val="20"/>
                <w:szCs w:val="20"/>
                <w:color w:val="auto"/>
              </w:rPr>
            </w:pPr>
            <w:r>
              <w:rPr>
                <w:rFonts w:ascii="Arial" w:cs="Arial" w:eastAsia="Arial" w:hAnsi="Arial"/>
                <w:sz w:val="14"/>
                <w:szCs w:val="14"/>
                <w:color w:val="auto"/>
              </w:rPr>
              <w:t>0</w:t>
            </w:r>
          </w:p>
        </w:tc>
        <w:tc>
          <w:tcPr>
            <w:tcW w:w="2480" w:type="dxa"/>
            <w:vAlign w:val="bottom"/>
          </w:tcPr>
          <w:p>
            <w:pPr>
              <w:jc w:val="center"/>
              <w:ind w:left="48"/>
              <w:spacing w:after="0"/>
              <w:rPr>
                <w:sz w:val="20"/>
                <w:szCs w:val="20"/>
                <w:color w:val="auto"/>
              </w:rPr>
            </w:pPr>
            <w:r>
              <w:rPr>
                <w:rFonts w:ascii="Arial" w:cs="Arial" w:eastAsia="Arial" w:hAnsi="Arial"/>
                <w:sz w:val="14"/>
                <w:szCs w:val="14"/>
                <w:color w:val="auto"/>
              </w:rPr>
              <w:t>0</w:t>
            </w:r>
          </w:p>
        </w:tc>
      </w:tr>
      <w:tr>
        <w:trPr>
          <w:trHeight w:val="22"/>
        </w:trPr>
        <w:tc>
          <w:tcPr>
            <w:tcW w:w="2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r>
        <w:trPr>
          <w:trHeight w:val="202"/>
        </w:trPr>
        <w:tc>
          <w:tcPr>
            <w:tcW w:w="2860" w:type="dxa"/>
            <w:vAlign w:val="bottom"/>
          </w:tcPr>
          <w:p>
            <w:pPr>
              <w:ind w:left="100"/>
              <w:spacing w:after="0"/>
              <w:rPr>
                <w:sz w:val="20"/>
                <w:szCs w:val="20"/>
                <w:color w:val="auto"/>
              </w:rPr>
            </w:pPr>
            <w:r>
              <w:rPr>
                <w:rFonts w:ascii="Arial" w:cs="Arial" w:eastAsia="Arial" w:hAnsi="Arial"/>
                <w:sz w:val="14"/>
                <w:szCs w:val="14"/>
                <w:color w:val="auto"/>
              </w:rPr>
              <w:t>White</w:t>
            </w:r>
          </w:p>
        </w:tc>
        <w:tc>
          <w:tcPr>
            <w:tcW w:w="1860" w:type="dxa"/>
            <w:vAlign w:val="bottom"/>
          </w:tcPr>
          <w:p>
            <w:pPr>
              <w:jc w:val="center"/>
              <w:ind w:right="308"/>
              <w:spacing w:after="0"/>
              <w:rPr>
                <w:sz w:val="20"/>
                <w:szCs w:val="20"/>
                <w:color w:val="auto"/>
              </w:rPr>
            </w:pPr>
            <w:r>
              <w:rPr>
                <w:rFonts w:ascii="Arial" w:cs="Arial" w:eastAsia="Arial" w:hAnsi="Arial"/>
                <w:sz w:val="14"/>
                <w:szCs w:val="14"/>
                <w:color w:val="auto"/>
              </w:rPr>
              <w:t>4</w:t>
            </w:r>
          </w:p>
        </w:tc>
        <w:tc>
          <w:tcPr>
            <w:tcW w:w="1600" w:type="dxa"/>
            <w:vAlign w:val="bottom"/>
          </w:tcPr>
          <w:p>
            <w:pPr>
              <w:jc w:val="center"/>
              <w:ind w:left="368"/>
              <w:spacing w:after="0"/>
              <w:rPr>
                <w:sz w:val="20"/>
                <w:szCs w:val="20"/>
                <w:color w:val="auto"/>
              </w:rPr>
            </w:pPr>
            <w:r>
              <w:rPr>
                <w:rFonts w:ascii="Arial" w:cs="Arial" w:eastAsia="Arial" w:hAnsi="Arial"/>
                <w:sz w:val="14"/>
                <w:szCs w:val="14"/>
                <w:color w:val="auto"/>
              </w:rPr>
              <w:t>8</w:t>
            </w:r>
          </w:p>
        </w:tc>
        <w:tc>
          <w:tcPr>
            <w:tcW w:w="2440" w:type="dxa"/>
            <w:vAlign w:val="bottom"/>
          </w:tcPr>
          <w:p>
            <w:pPr>
              <w:jc w:val="center"/>
              <w:ind w:left="648"/>
              <w:spacing w:after="0"/>
              <w:rPr>
                <w:sz w:val="20"/>
                <w:szCs w:val="20"/>
                <w:color w:val="auto"/>
              </w:rPr>
            </w:pPr>
            <w:r>
              <w:rPr>
                <w:rFonts w:ascii="Arial" w:cs="Arial" w:eastAsia="Arial" w:hAnsi="Arial"/>
                <w:sz w:val="14"/>
                <w:szCs w:val="14"/>
                <w:color w:val="auto"/>
              </w:rPr>
              <w:t>0</w:t>
            </w:r>
          </w:p>
        </w:tc>
        <w:tc>
          <w:tcPr>
            <w:tcW w:w="2480" w:type="dxa"/>
            <w:vAlign w:val="bottom"/>
          </w:tcPr>
          <w:p>
            <w:pPr>
              <w:jc w:val="center"/>
              <w:ind w:left="48"/>
              <w:spacing w:after="0"/>
              <w:rPr>
                <w:sz w:val="20"/>
                <w:szCs w:val="20"/>
                <w:color w:val="auto"/>
              </w:rPr>
            </w:pPr>
            <w:r>
              <w:rPr>
                <w:rFonts w:ascii="Arial" w:cs="Arial" w:eastAsia="Arial" w:hAnsi="Arial"/>
                <w:sz w:val="14"/>
                <w:szCs w:val="14"/>
                <w:color w:val="auto"/>
              </w:rPr>
              <w:t>0</w:t>
            </w:r>
          </w:p>
        </w:tc>
      </w:tr>
      <w:tr>
        <w:trPr>
          <w:trHeight w:val="22"/>
        </w:trPr>
        <w:tc>
          <w:tcPr>
            <w:tcW w:w="2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r>
        <w:trPr>
          <w:trHeight w:val="202"/>
        </w:trPr>
        <w:tc>
          <w:tcPr>
            <w:tcW w:w="2860" w:type="dxa"/>
            <w:vAlign w:val="bottom"/>
          </w:tcPr>
          <w:p>
            <w:pPr>
              <w:ind w:left="100"/>
              <w:spacing w:after="0"/>
              <w:rPr>
                <w:sz w:val="20"/>
                <w:szCs w:val="20"/>
                <w:color w:val="auto"/>
              </w:rPr>
            </w:pPr>
            <w:r>
              <w:rPr>
                <w:rFonts w:ascii="Arial" w:cs="Arial" w:eastAsia="Arial" w:hAnsi="Arial"/>
                <w:sz w:val="14"/>
                <w:szCs w:val="14"/>
                <w:color w:val="auto"/>
              </w:rPr>
              <w:t>LGBTQ+</w:t>
            </w:r>
          </w:p>
        </w:tc>
        <w:tc>
          <w:tcPr>
            <w:tcW w:w="18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40" w:type="dxa"/>
            <w:vAlign w:val="bottom"/>
          </w:tcPr>
          <w:p>
            <w:pPr>
              <w:jc w:val="right"/>
              <w:ind w:right="1808"/>
              <w:spacing w:after="0"/>
              <w:rPr>
                <w:sz w:val="20"/>
                <w:szCs w:val="20"/>
                <w:color w:val="auto"/>
              </w:rPr>
            </w:pPr>
            <w:r>
              <w:rPr>
                <w:rFonts w:ascii="Arial" w:cs="Arial" w:eastAsia="Arial" w:hAnsi="Arial"/>
                <w:sz w:val="14"/>
                <w:szCs w:val="14"/>
                <w:color w:val="auto"/>
              </w:rPr>
              <w:t>1</w:t>
            </w:r>
          </w:p>
        </w:tc>
        <w:tc>
          <w:tcPr>
            <w:tcW w:w="2480" w:type="dxa"/>
            <w:vAlign w:val="bottom"/>
          </w:tcPr>
          <w:p>
            <w:pPr>
              <w:spacing w:after="0"/>
              <w:rPr>
                <w:sz w:val="17"/>
                <w:szCs w:val="17"/>
                <w:color w:val="auto"/>
              </w:rPr>
            </w:pPr>
          </w:p>
        </w:tc>
      </w:tr>
      <w:tr>
        <w:trPr>
          <w:trHeight w:val="22"/>
        </w:trPr>
        <w:tc>
          <w:tcPr>
            <w:tcW w:w="2860" w:type="dxa"/>
            <w:vAlign w:val="bottom"/>
            <w:tcBorders>
              <w:bottom w:val="single" w:sz="8" w:color="852166"/>
            </w:tcBorders>
          </w:tcPr>
          <w:p>
            <w:pPr>
              <w:spacing w:after="0" w:line="20" w:lineRule="exact"/>
              <w:rPr>
                <w:sz w:val="1"/>
                <w:szCs w:val="1"/>
                <w:color w:val="auto"/>
              </w:rPr>
            </w:pPr>
          </w:p>
        </w:tc>
        <w:tc>
          <w:tcPr>
            <w:tcW w:w="1860" w:type="dxa"/>
            <w:vAlign w:val="bottom"/>
            <w:tcBorders>
              <w:bottom w:val="single" w:sz="8" w:color="852166"/>
            </w:tcBorders>
          </w:tcPr>
          <w:p>
            <w:pPr>
              <w:spacing w:after="0" w:line="20" w:lineRule="exact"/>
              <w:rPr>
                <w:sz w:val="1"/>
                <w:szCs w:val="1"/>
                <w:color w:val="auto"/>
              </w:rPr>
            </w:pPr>
          </w:p>
        </w:tc>
        <w:tc>
          <w:tcPr>
            <w:tcW w:w="1600" w:type="dxa"/>
            <w:vAlign w:val="bottom"/>
            <w:tcBorders>
              <w:bottom w:val="single" w:sz="8" w:color="852166"/>
            </w:tcBorders>
          </w:tcPr>
          <w:p>
            <w:pPr>
              <w:spacing w:after="0" w:line="20" w:lineRule="exact"/>
              <w:rPr>
                <w:sz w:val="1"/>
                <w:szCs w:val="1"/>
                <w:color w:val="auto"/>
              </w:rPr>
            </w:pPr>
          </w:p>
        </w:tc>
        <w:tc>
          <w:tcPr>
            <w:tcW w:w="2440" w:type="dxa"/>
            <w:vAlign w:val="bottom"/>
            <w:tcBorders>
              <w:bottom w:val="single" w:sz="8" w:color="852166"/>
            </w:tcBorders>
          </w:tcPr>
          <w:p>
            <w:pPr>
              <w:spacing w:after="0" w:line="20" w:lineRule="exact"/>
              <w:rPr>
                <w:sz w:val="1"/>
                <w:szCs w:val="1"/>
                <w:color w:val="auto"/>
              </w:rPr>
            </w:pPr>
          </w:p>
        </w:tc>
        <w:tc>
          <w:tcPr>
            <w:tcW w:w="2480" w:type="dxa"/>
            <w:vAlign w:val="bottom"/>
            <w:tcBorders>
              <w:bottom w:val="single" w:sz="8" w:color="852166"/>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(1) Includes Peter Gray and Catherine A. Sohn, Pharm.D., who are not standing for re-election at the annual meeting.</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Shareholder and Other Stakeholder Engagement</w:t>
      </w:r>
    </w:p>
    <w:p>
      <w:pPr>
        <w:spacing w:after="0" w:line="144"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auto"/>
        </w:rPr>
        <w:t>We value engaging with and obtaining feedback from our shareholders and view our shareholder engagement efforts as essential to our success. We continuously engage with our shareholders in many forms and forums from industry conferences, non-deal roadshows, to direct one-on-one meetings. We seek to act in the long-term interests of its shareholders and recognize the value in building long lasting and trusting relationships with them. Through these relationships, we have obtained valuable insight on their thoughts regarding a variety of topics, including our business and growth strategy, corporate governance practices, executive compensation matters, and various other environmental, social and governance, or ESG, matters. Shareholder feedback is reported to our board and its committees throughout the year.</w:t>
      </w:r>
    </w:p>
    <w:p>
      <w:pPr>
        <w:sectPr>
          <w:pgSz w:w="11900" w:h="16838" w:orient="portrait"/>
          <w:cols w:equalWidth="0" w:num="1">
            <w:col w:w="11240"/>
          </w:cols>
          <w:pgMar w:left="320" w:top="1070" w:right="339" w:bottom="1440" w:gutter="0" w:footer="0" w:header="0"/>
        </w:sectPr>
      </w:pP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graphic describes our typical shareholder outreach and engagement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40575" cy="35407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0575" cy="3540760"/>
                    </a:xfrm>
                    <a:prstGeom prst="rect">
                      <a:avLst/>
                    </a:prstGeom>
                    <a:noFill/>
                  </pic:spPr>
                </pic:pic>
              </a:graphicData>
            </a:graphic>
          </wp:anchor>
        </w:drawing>
      </w:r>
    </w:p>
    <w:p>
      <w:pPr>
        <w:spacing w:after="0" w:line="287" w:lineRule="exact"/>
        <w:rPr>
          <w:sz w:val="20"/>
          <w:szCs w:val="20"/>
          <w:color w:val="auto"/>
        </w:rPr>
      </w:pPr>
    </w:p>
    <w:p>
      <w:pPr>
        <w:jc w:val="right"/>
        <w:ind w:right="800"/>
        <w:spacing w:after="0"/>
        <w:rPr>
          <w:sz w:val="20"/>
          <w:szCs w:val="20"/>
          <w:color w:val="auto"/>
        </w:rPr>
      </w:pPr>
      <w:r>
        <w:rPr>
          <w:rFonts w:ascii="Arial" w:cs="Arial" w:eastAsia="Arial" w:hAnsi="Arial"/>
          <w:sz w:val="14"/>
          <w:szCs w:val="14"/>
          <w:b w:val="1"/>
          <w:bCs w:val="1"/>
          <w:color w:val="852166"/>
        </w:rPr>
        <w:t>Annual General Meeting</w:t>
      </w:r>
    </w:p>
    <w:p>
      <w:pPr>
        <w:spacing w:after="0" w:line="200" w:lineRule="exact"/>
        <w:rPr>
          <w:sz w:val="20"/>
          <w:szCs w:val="20"/>
          <w:color w:val="auto"/>
        </w:rPr>
      </w:pPr>
    </w:p>
    <w:p>
      <w:pPr>
        <w:spacing w:after="0" w:line="395"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852166"/>
        </w:rPr>
        <w:t>Prior to Annual General Meeting</w:t>
      </w:r>
    </w:p>
    <w:p>
      <w:pPr>
        <w:spacing w:after="0" w:line="109" w:lineRule="exact"/>
        <w:rPr>
          <w:sz w:val="20"/>
          <w:szCs w:val="20"/>
          <w:color w:val="auto"/>
        </w:rPr>
      </w:pPr>
    </w:p>
    <w:p>
      <w:pPr>
        <w:ind w:left="560" w:right="4700" w:hanging="318"/>
        <w:spacing w:after="0" w:line="305" w:lineRule="auto"/>
        <w:tabs>
          <w:tab w:leader="none" w:pos="556" w:val="left"/>
        </w:tabs>
        <w:numPr>
          <w:ilvl w:val="0"/>
          <w:numId w:val="10"/>
        </w:numPr>
        <w:rPr>
          <w:rFonts w:ascii="Arial" w:cs="Arial" w:eastAsia="Arial" w:hAnsi="Arial"/>
          <w:sz w:val="14"/>
          <w:szCs w:val="14"/>
          <w:color w:val="852166"/>
        </w:rPr>
      </w:pPr>
      <w:r>
        <w:rPr>
          <w:rFonts w:ascii="Arial" w:cs="Arial" w:eastAsia="Arial" w:hAnsi="Arial"/>
          <w:sz w:val="14"/>
          <w:szCs w:val="14"/>
          <w:color w:val="auto"/>
        </w:rPr>
        <w:t>Discuss business strategy and performance</w:t>
      </w:r>
    </w:p>
    <w:p>
      <w:pPr>
        <w:spacing w:after="0" w:line="22" w:lineRule="exact"/>
        <w:rPr>
          <w:rFonts w:ascii="Arial" w:cs="Arial" w:eastAsia="Arial" w:hAnsi="Arial"/>
          <w:sz w:val="14"/>
          <w:szCs w:val="14"/>
          <w:color w:val="852166"/>
        </w:rPr>
      </w:pPr>
    </w:p>
    <w:p>
      <w:pPr>
        <w:ind w:left="560" w:right="4480" w:hanging="318"/>
        <w:spacing w:after="0" w:line="305" w:lineRule="auto"/>
        <w:tabs>
          <w:tab w:leader="none" w:pos="556" w:val="left"/>
        </w:tabs>
        <w:numPr>
          <w:ilvl w:val="0"/>
          <w:numId w:val="10"/>
        </w:numPr>
        <w:rPr>
          <w:rFonts w:ascii="Arial" w:cs="Arial" w:eastAsia="Arial" w:hAnsi="Arial"/>
          <w:sz w:val="14"/>
          <w:szCs w:val="14"/>
          <w:color w:val="852166"/>
        </w:rPr>
      </w:pPr>
      <w:r>
        <w:rPr>
          <w:rFonts w:ascii="Arial" w:cs="Arial" w:eastAsia="Arial" w:hAnsi="Arial"/>
          <w:sz w:val="14"/>
          <w:szCs w:val="14"/>
          <w:color w:val="auto"/>
        </w:rPr>
        <w:t>Seek feedback on any matters for shareholder consideration</w:t>
      </w:r>
    </w:p>
    <w:p>
      <w:pPr>
        <w:spacing w:after="0" w:line="22" w:lineRule="exact"/>
        <w:rPr>
          <w:rFonts w:ascii="Arial" w:cs="Arial" w:eastAsia="Arial" w:hAnsi="Arial"/>
          <w:sz w:val="14"/>
          <w:szCs w:val="14"/>
          <w:color w:val="852166"/>
        </w:rPr>
      </w:pPr>
    </w:p>
    <w:p>
      <w:pPr>
        <w:ind w:left="560" w:right="4000" w:hanging="318"/>
        <w:spacing w:after="0" w:line="283" w:lineRule="auto"/>
        <w:tabs>
          <w:tab w:leader="none" w:pos="556" w:val="left"/>
        </w:tabs>
        <w:numPr>
          <w:ilvl w:val="0"/>
          <w:numId w:val="10"/>
        </w:numPr>
        <w:rPr>
          <w:rFonts w:ascii="Arial" w:cs="Arial" w:eastAsia="Arial" w:hAnsi="Arial"/>
          <w:sz w:val="14"/>
          <w:szCs w:val="14"/>
          <w:color w:val="852166"/>
        </w:rPr>
      </w:pPr>
      <w:r>
        <w:rPr>
          <w:rFonts w:ascii="Arial" w:cs="Arial" w:eastAsia="Arial" w:hAnsi="Arial"/>
          <w:sz w:val="14"/>
          <w:szCs w:val="14"/>
          <w:color w:val="auto"/>
        </w:rPr>
        <w:t>Publish Annual Report on Form 10-K and proxy statement, highlighting recent board and company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color w:val="852166"/>
        </w:rPr>
        <w:t>After Annual General Meeting</w:t>
      </w:r>
    </w:p>
    <w:p>
      <w:pPr>
        <w:spacing w:after="0" w:line="109" w:lineRule="exact"/>
        <w:rPr>
          <w:sz w:val="20"/>
          <w:szCs w:val="20"/>
          <w:color w:val="auto"/>
        </w:rPr>
      </w:pPr>
    </w:p>
    <w:p>
      <w:pPr>
        <w:ind w:left="320" w:right="380" w:hanging="317"/>
        <w:spacing w:after="0" w:line="266" w:lineRule="auto"/>
        <w:tabs>
          <w:tab w:leader="none" w:pos="3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Discuss vote outcomes from annual general meeting in light of existing governance and executive compensation practices, as well as any feedback received from shareholders during proxy season</w:t>
      </w:r>
    </w:p>
    <w:p>
      <w:pPr>
        <w:spacing w:after="0" w:line="49" w:lineRule="exact"/>
        <w:rPr>
          <w:rFonts w:ascii="Arial" w:cs="Arial" w:eastAsia="Arial" w:hAnsi="Arial"/>
          <w:sz w:val="14"/>
          <w:szCs w:val="14"/>
          <w:color w:val="auto"/>
        </w:rPr>
      </w:pPr>
    </w:p>
    <w:p>
      <w:pPr>
        <w:ind w:left="320" w:right="400" w:hanging="317"/>
        <w:spacing w:after="0" w:line="283" w:lineRule="auto"/>
        <w:tabs>
          <w:tab w:leader="none" w:pos="3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Review corporate governance trends, recent regulatory developments, and our own policies and procedures</w:t>
      </w:r>
    </w:p>
    <w:p>
      <w:pPr>
        <w:spacing w:after="0" w:line="200" w:lineRule="exact"/>
        <w:rPr>
          <w:sz w:val="20"/>
          <w:szCs w:val="20"/>
          <w:color w:val="auto"/>
        </w:rPr>
      </w:pPr>
    </w:p>
    <w:p>
      <w:pPr>
        <w:sectPr>
          <w:pgSz w:w="11900" w:h="16838" w:orient="portrait"/>
          <w:cols w:equalWidth="0" w:num="2">
            <w:col w:w="7200" w:space="720"/>
            <w:col w:w="3320"/>
          </w:cols>
          <w:pgMar w:left="320" w:top="107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500"/>
        <w:spacing w:after="0"/>
        <w:rPr>
          <w:sz w:val="20"/>
          <w:szCs w:val="20"/>
          <w:color w:val="auto"/>
        </w:rPr>
      </w:pPr>
      <w:r>
        <w:rPr>
          <w:rFonts w:ascii="Arial" w:cs="Arial" w:eastAsia="Arial" w:hAnsi="Arial"/>
          <w:sz w:val="14"/>
          <w:szCs w:val="14"/>
          <w:b w:val="1"/>
          <w:bCs w:val="1"/>
          <w:color w:val="852166"/>
        </w:rPr>
        <w:t>Off-Season Engagement and Evaluation of Practices</w:t>
      </w:r>
    </w:p>
    <w:p>
      <w:pPr>
        <w:spacing w:after="0" w:line="109" w:lineRule="exact"/>
        <w:rPr>
          <w:sz w:val="20"/>
          <w:szCs w:val="20"/>
          <w:color w:val="auto"/>
        </w:rPr>
      </w:pPr>
    </w:p>
    <w:p>
      <w:pPr>
        <w:ind w:left="3840" w:right="3600" w:hanging="331"/>
        <w:spacing w:after="0" w:line="269" w:lineRule="auto"/>
        <w:tabs>
          <w:tab w:leader="none" w:pos="3836" w:val="left"/>
        </w:tabs>
        <w:numPr>
          <w:ilvl w:val="0"/>
          <w:numId w:val="12"/>
        </w:numPr>
        <w:rPr>
          <w:rFonts w:ascii="Arial" w:cs="Arial" w:eastAsia="Arial" w:hAnsi="Arial"/>
          <w:sz w:val="14"/>
          <w:szCs w:val="14"/>
          <w:color w:val="852166"/>
        </w:rPr>
      </w:pPr>
      <w:r>
        <w:rPr>
          <w:rFonts w:ascii="Arial" w:cs="Arial" w:eastAsia="Arial" w:hAnsi="Arial"/>
          <w:sz w:val="14"/>
          <w:szCs w:val="14"/>
          <w:color w:val="auto"/>
        </w:rPr>
        <w:t>Solicit and consider shareholder feedback on our board governance and executive compensation practices to better understand investor viewpoints and inform discussions with our board</w:t>
      </w:r>
    </w:p>
    <w:p>
      <w:pPr>
        <w:spacing w:after="0" w:line="61" w:lineRule="exact"/>
        <w:rPr>
          <w:rFonts w:ascii="Arial" w:cs="Arial" w:eastAsia="Arial" w:hAnsi="Arial"/>
          <w:sz w:val="14"/>
          <w:szCs w:val="14"/>
          <w:color w:val="852166"/>
        </w:rPr>
      </w:pPr>
    </w:p>
    <w:p>
      <w:pPr>
        <w:ind w:left="3840" w:right="3740" w:hanging="331"/>
        <w:spacing w:after="0" w:line="273" w:lineRule="auto"/>
        <w:tabs>
          <w:tab w:leader="none" w:pos="3836" w:val="left"/>
        </w:tabs>
        <w:numPr>
          <w:ilvl w:val="0"/>
          <w:numId w:val="12"/>
        </w:numPr>
        <w:rPr>
          <w:rFonts w:ascii="Arial" w:cs="Arial" w:eastAsia="Arial" w:hAnsi="Arial"/>
          <w:sz w:val="14"/>
          <w:szCs w:val="14"/>
          <w:color w:val="852166"/>
        </w:rPr>
      </w:pPr>
      <w:r>
        <w:rPr>
          <w:rFonts w:ascii="Arial" w:cs="Arial" w:eastAsia="Arial" w:hAnsi="Arial"/>
          <w:sz w:val="14"/>
          <w:szCs w:val="14"/>
          <w:color w:val="auto"/>
        </w:rPr>
        <w:t>Evaluate our board composition, governance or executive compensation practices in light of shareholder feedback and review of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60" w:hanging="434"/>
        <w:spacing w:after="0"/>
        <w:tabs>
          <w:tab w:leader="none" w:pos="4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type w:val="continuous"/>
        </w:sectPr>
      </w:pPr>
    </w:p>
    <w:bookmarkStart w:id="8" w:name="page9"/>
    <w:bookmarkEnd w:id="8"/>
    <w:p>
      <w:pPr>
        <w:spacing w:after="0" w:line="303" w:lineRule="auto"/>
        <w:rPr>
          <w:sz w:val="20"/>
          <w:szCs w:val="20"/>
          <w:color w:val="auto"/>
        </w:rPr>
      </w:pPr>
      <w:r>
        <w:rPr>
          <w:rFonts w:ascii="Arial" w:cs="Arial" w:eastAsia="Arial" w:hAnsi="Arial"/>
          <w:sz w:val="16"/>
          <w:szCs w:val="16"/>
          <w:color w:val="auto"/>
        </w:rPr>
        <w:t>In 2023 and early 2024, members of our management, and in many cases members of our board, actively engaged in a dialogue with a significant number of our large shareholders to gain a better understanding of their views regarding our executive compensation program, our environmental, social and governance, or ESG, strategy, and other corporate governance matters. Specifically, we reached out to approximately 20 of our largest shareholders, representing over 46% of our outstanding ordinary shares, and held informative discussions with shareholders who expressed interest in speaking with us, which comprised of seven of our largest shareholders representing over 27% of our outstanding ordinary shares. We will continue outreach and dialogue with our shareholders in 2024.</w:t>
      </w:r>
    </w:p>
    <w:p>
      <w:pPr>
        <w:spacing w:after="0" w:line="78" w:lineRule="exact"/>
        <w:rPr>
          <w:sz w:val="20"/>
          <w:szCs w:val="20"/>
          <w:color w:val="auto"/>
        </w:rPr>
      </w:pPr>
    </w:p>
    <w:p>
      <w:pPr>
        <w:ind w:right="780"/>
        <w:spacing w:after="0" w:line="321" w:lineRule="auto"/>
        <w:rPr>
          <w:sz w:val="20"/>
          <w:szCs w:val="20"/>
          <w:color w:val="auto"/>
        </w:rPr>
      </w:pPr>
      <w:r>
        <w:rPr>
          <w:rFonts w:ascii="Arial" w:cs="Arial" w:eastAsia="Arial" w:hAnsi="Arial"/>
          <w:sz w:val="16"/>
          <w:szCs w:val="16"/>
          <w:color w:val="auto"/>
        </w:rPr>
        <w:t>We have taken a number of significant and responsive actions over the past several years to incorporate feedback received from shareholders, as highlighted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80" w:lineRule="exact"/>
        <w:rPr>
          <w:sz w:val="20"/>
          <w:szCs w:val="20"/>
          <w:color w:val="auto"/>
        </w:rPr>
      </w:pPr>
    </w:p>
    <w:p>
      <w:pPr>
        <w:spacing w:after="0"/>
        <w:tabs>
          <w:tab w:leader="none" w:pos="1400" w:val="left"/>
          <w:tab w:leader="none" w:pos="3460" w:val="left"/>
        </w:tabs>
        <w:rPr>
          <w:sz w:val="20"/>
          <w:szCs w:val="20"/>
          <w:color w:val="auto"/>
        </w:rPr>
      </w:pPr>
      <w:r>
        <w:rPr>
          <w:sz w:val="1"/>
          <w:szCs w:val="1"/>
          <w:color w:val="auto"/>
        </w:rPr>
        <w:drawing>
          <wp:inline distT="0" distB="0" distL="0" distR="0">
            <wp:extent cx="51435" cy="1797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179705"/>
                    </a:xfrm>
                    <a:prstGeom prst="rect">
                      <a:avLst/>
                    </a:prstGeom>
                    <a:noFill/>
                    <a:ln>
                      <a:noFill/>
                    </a:ln>
                  </pic:spPr>
                </pic:pic>
              </a:graphicData>
            </a:graphic>
          </wp:inline>
        </w:drawing>
      </w:r>
      <w:r>
        <w:rPr>
          <w:rFonts w:ascii="Arial" w:cs="Arial" w:eastAsia="Arial" w:hAnsi="Arial"/>
          <w:sz w:val="14"/>
          <w:szCs w:val="14"/>
          <w:b w:val="1"/>
          <w:bCs w:val="1"/>
          <w:color w:val="FFFFFF"/>
        </w:rPr>
        <w:t xml:space="preserve"> Topic</w:t>
      </w:r>
      <w:r>
        <w:rPr>
          <w:sz w:val="20"/>
          <w:szCs w:val="20"/>
          <w:color w:val="auto"/>
        </w:rPr>
        <w:tab/>
      </w:r>
      <w:r>
        <w:rPr>
          <w:rFonts w:ascii="Arial" w:cs="Arial" w:eastAsia="Arial" w:hAnsi="Arial"/>
          <w:sz w:val="14"/>
          <w:szCs w:val="14"/>
          <w:b w:val="1"/>
          <w:bCs w:val="1"/>
          <w:color w:val="FFFFFF"/>
        </w:rPr>
        <w:t>What We Heard</w:t>
      </w:r>
      <w:r>
        <w:rPr>
          <w:sz w:val="20"/>
          <w:szCs w:val="20"/>
          <w:color w:val="auto"/>
        </w:rPr>
        <w:tab/>
      </w:r>
      <w:r>
        <w:rPr>
          <w:rFonts w:ascii="Arial" w:cs="Arial" w:eastAsia="Arial" w:hAnsi="Arial"/>
          <w:sz w:val="14"/>
          <w:szCs w:val="14"/>
          <w:b w:val="1"/>
          <w:bCs w:val="1"/>
          <w:color w:val="FFFFFF"/>
        </w:rPr>
        <w:t>What We Did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-33655</wp:posOffset>
            </wp:positionV>
            <wp:extent cx="7080885"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0885" cy="34290"/>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p>
      <w:pPr>
        <w:spacing w:after="0" w:line="72" w:lineRule="exact"/>
        <w:rPr>
          <w:sz w:val="20"/>
          <w:szCs w:val="20"/>
          <w:color w:val="auto"/>
        </w:rPr>
      </w:pPr>
    </w:p>
    <w:p>
      <w:pPr>
        <w:ind w:left="100"/>
        <w:spacing w:after="0"/>
        <w:tabs>
          <w:tab w:leader="none" w:pos="1400" w:val="left"/>
        </w:tabs>
        <w:rPr>
          <w:sz w:val="20"/>
          <w:szCs w:val="20"/>
          <w:color w:val="auto"/>
        </w:rPr>
      </w:pPr>
      <w:r>
        <w:rPr>
          <w:rFonts w:ascii="Arial" w:cs="Arial" w:eastAsia="Arial" w:hAnsi="Arial"/>
          <w:sz w:val="14"/>
          <w:szCs w:val="14"/>
          <w:b w:val="1"/>
          <w:bCs w:val="1"/>
          <w:color w:val="auto"/>
        </w:rPr>
        <w:t>ESG</w:t>
      </w:r>
      <w:r>
        <w:rPr>
          <w:sz w:val="20"/>
          <w:szCs w:val="20"/>
          <w:color w:val="auto"/>
        </w:rPr>
        <w:tab/>
      </w:r>
      <w:r>
        <w:rPr>
          <w:rFonts w:ascii="Arial" w:cs="Arial" w:eastAsia="Arial" w:hAnsi="Arial"/>
          <w:sz w:val="14"/>
          <w:szCs w:val="14"/>
          <w:color w:val="auto"/>
        </w:rPr>
        <w:t>Shareholders and</w:t>
      </w:r>
    </w:p>
    <w:p>
      <w:pPr>
        <w:spacing w:after="0" w:line="55"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stakeholders continued to</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highlight the importance of</w:t>
      </w:r>
    </w:p>
    <w:p>
      <w:pPr>
        <w:spacing w:after="0" w:line="42"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ESG.</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In 2023:</w:t>
      </w:r>
    </w:p>
    <w:p>
      <w:pPr>
        <w:spacing w:after="0" w:line="82" w:lineRule="exact"/>
        <w:rPr>
          <w:sz w:val="20"/>
          <w:szCs w:val="20"/>
          <w:color w:val="auto"/>
        </w:rPr>
      </w:pPr>
    </w:p>
    <w:p>
      <w:pPr>
        <w:ind w:left="320" w:right="180" w:hanging="318"/>
        <w:spacing w:after="0" w:line="309" w:lineRule="auto"/>
        <w:tabs>
          <w:tab w:leader="none" w:pos="3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established a fit-for-purpose governance structure to support the execution of our Corporate Sustainability and Social Impact, or CSSI, priorities and help us meet regulatory expectations. The new governance structure is aligned with our CSSI pillars, enabling efficient decision-making and fostering accountability by relevant business functions for the delivery of our pillar-specific roadmaps and activities.</w:t>
      </w:r>
    </w:p>
    <w:p>
      <w:pPr>
        <w:spacing w:after="0" w:line="21" w:lineRule="exact"/>
        <w:rPr>
          <w:rFonts w:ascii="Arial" w:cs="Arial" w:eastAsia="Arial" w:hAnsi="Arial"/>
          <w:sz w:val="14"/>
          <w:szCs w:val="14"/>
          <w:color w:val="auto"/>
        </w:rPr>
      </w:pPr>
    </w:p>
    <w:p>
      <w:pPr>
        <w:ind w:left="320" w:right="160" w:hanging="318"/>
        <w:spacing w:after="0" w:line="342" w:lineRule="auto"/>
        <w:tabs>
          <w:tab w:leader="none" w:pos="3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continued to report our progress on key ESG topics through our CSSI report based on calendar 2022 data and activities.</w:t>
      </w:r>
    </w:p>
    <w:p>
      <w:pPr>
        <w:spacing w:after="0" w:line="1" w:lineRule="exact"/>
        <w:rPr>
          <w:sz w:val="20"/>
          <w:szCs w:val="20"/>
          <w:color w:val="auto"/>
        </w:rPr>
      </w:pPr>
    </w:p>
    <w:p>
      <w:pPr>
        <w:sectPr>
          <w:pgSz w:w="11900" w:h="16838" w:orient="portrait"/>
          <w:cols w:equalWidth="0" w:num="2">
            <w:col w:w="3100" w:space="380"/>
            <w:col w:w="7760"/>
          </w:cols>
          <w:pgMar w:left="320" w:top="1070" w:right="339" w:bottom="1440" w:gutter="0" w:footer="0" w:header="0"/>
          <w:type w:val="continuous"/>
        </w:sectPr>
      </w:pPr>
    </w:p>
    <w:p>
      <w:pPr>
        <w:ind w:left="3800" w:hanging="318"/>
        <w:spacing w:after="0"/>
        <w:tabs>
          <w:tab w:leader="none" w:pos="38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launched ESG reporting compliance readiness workstreams due to expanding global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74930</wp:posOffset>
            </wp:positionV>
            <wp:extent cx="7080885" cy="8401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0885" cy="84010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type w:val="continuous"/>
        </w:sectPr>
      </w:pPr>
    </w:p>
    <w:p>
      <w:pPr>
        <w:spacing w:after="0" w:line="190" w:lineRule="exact"/>
        <w:rPr>
          <w:sz w:val="20"/>
          <w:szCs w:val="20"/>
          <w:color w:val="auto"/>
        </w:rPr>
      </w:pPr>
    </w:p>
    <w:p>
      <w:pPr>
        <w:ind w:left="100"/>
        <w:spacing w:after="0"/>
        <w:tabs>
          <w:tab w:leader="none" w:pos="1400" w:val="left"/>
        </w:tabs>
        <w:rPr>
          <w:sz w:val="20"/>
          <w:szCs w:val="20"/>
          <w:color w:val="auto"/>
        </w:rPr>
      </w:pPr>
      <w:r>
        <w:rPr>
          <w:rFonts w:ascii="Arial" w:cs="Arial" w:eastAsia="Arial" w:hAnsi="Arial"/>
          <w:sz w:val="14"/>
          <w:szCs w:val="14"/>
          <w:b w:val="1"/>
          <w:bCs w:val="1"/>
          <w:color w:val="auto"/>
        </w:rPr>
        <w:t>Board Skills</w:t>
      </w:r>
      <w:r>
        <w:rPr>
          <w:sz w:val="20"/>
          <w:szCs w:val="20"/>
          <w:color w:val="auto"/>
        </w:rPr>
        <w:tab/>
      </w:r>
      <w:r>
        <w:rPr>
          <w:rFonts w:ascii="Arial" w:cs="Arial" w:eastAsia="Arial" w:hAnsi="Arial"/>
          <w:sz w:val="14"/>
          <w:szCs w:val="14"/>
          <w:color w:val="auto"/>
        </w:rPr>
        <w:t>Shareholders wanted</w:t>
      </w:r>
    </w:p>
    <w:p>
      <w:pPr>
        <w:spacing w:after="0" w:line="55"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enhanced disclosure</w:t>
      </w:r>
    </w:p>
    <w:p>
      <w:pPr>
        <w:spacing w:after="0" w:line="42"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regarding the most significant</w:t>
      </w:r>
    </w:p>
    <w:p>
      <w:pPr>
        <w:spacing w:after="0" w:line="42"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skills and qualifications that</w:t>
      </w:r>
    </w:p>
    <w:p>
      <w:pPr>
        <w:spacing w:after="0" w:line="42"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each member of our board</w:t>
      </w:r>
    </w:p>
    <w:p>
      <w:pPr>
        <w:spacing w:after="0" w:line="29"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possesses.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both"/>
        <w:ind w:right="700"/>
        <w:spacing w:after="0" w:line="323" w:lineRule="auto"/>
        <w:rPr>
          <w:sz w:val="20"/>
          <w:szCs w:val="20"/>
          <w:color w:val="auto"/>
        </w:rPr>
      </w:pPr>
      <w:r>
        <w:rPr>
          <w:rFonts w:ascii="Arial" w:cs="Arial" w:eastAsia="Arial" w:hAnsi="Arial"/>
          <w:sz w:val="14"/>
          <w:szCs w:val="14"/>
          <w:color w:val="auto"/>
        </w:rPr>
        <w:t>We have enhanced our director skills disclosure by presenting our directors’ skills on an individual basis and by providing a description of each skill to help shareholders understand how each skill helps contribute to effective oversight.</w:t>
      </w:r>
    </w:p>
    <w:p>
      <w:pPr>
        <w:spacing w:after="0" w:line="659" w:lineRule="exact"/>
        <w:rPr>
          <w:sz w:val="20"/>
          <w:szCs w:val="20"/>
          <w:color w:val="auto"/>
        </w:rPr>
      </w:pPr>
    </w:p>
    <w:p>
      <w:pPr>
        <w:sectPr>
          <w:pgSz w:w="11900" w:h="16838" w:orient="portrait"/>
          <w:cols w:equalWidth="0" w:num="2">
            <w:col w:w="3300" w:space="180"/>
            <w:col w:w="7760"/>
          </w:cols>
          <w:pgMar w:left="320" w:top="1070" w:right="33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1240" w:type="dxa"/>
            <w:vAlign w:val="bottom"/>
          </w:tcPr>
          <w:p>
            <w:pPr>
              <w:ind w:left="100"/>
              <w:spacing w:after="0"/>
              <w:rPr>
                <w:sz w:val="20"/>
                <w:szCs w:val="20"/>
                <w:color w:val="auto"/>
              </w:rPr>
            </w:pPr>
            <w:r>
              <w:rPr>
                <w:rFonts w:ascii="Arial" w:cs="Arial" w:eastAsia="Arial" w:hAnsi="Arial"/>
                <w:sz w:val="14"/>
                <w:szCs w:val="14"/>
                <w:b w:val="1"/>
                <w:bCs w:val="1"/>
                <w:color w:val="auto"/>
              </w:rPr>
              <w:t>Director</w:t>
            </w:r>
          </w:p>
        </w:tc>
        <w:tc>
          <w:tcPr>
            <w:tcW w:w="2180" w:type="dxa"/>
            <w:vAlign w:val="bottom"/>
          </w:tcPr>
          <w:p>
            <w:pPr>
              <w:ind w:left="180"/>
              <w:spacing w:after="0"/>
              <w:rPr>
                <w:sz w:val="20"/>
                <w:szCs w:val="20"/>
                <w:color w:val="auto"/>
              </w:rPr>
            </w:pPr>
            <w:r>
              <w:rPr>
                <w:rFonts w:ascii="Arial" w:cs="Arial" w:eastAsia="Arial" w:hAnsi="Arial"/>
                <w:sz w:val="14"/>
                <w:szCs w:val="14"/>
                <w:color w:val="auto"/>
              </w:rPr>
              <w:t>Shareholders expressed</w:t>
            </w:r>
          </w:p>
        </w:tc>
        <w:tc>
          <w:tcPr>
            <w:tcW w:w="7720" w:type="dxa"/>
            <w:vAlign w:val="bottom"/>
          </w:tcPr>
          <w:p>
            <w:pPr>
              <w:ind w:left="60"/>
              <w:spacing w:after="0"/>
              <w:rPr>
                <w:sz w:val="20"/>
                <w:szCs w:val="20"/>
                <w:color w:val="auto"/>
              </w:rPr>
            </w:pPr>
            <w:r>
              <w:rPr>
                <w:rFonts w:ascii="Arial" w:cs="Arial" w:eastAsia="Arial" w:hAnsi="Arial"/>
                <w:sz w:val="14"/>
                <w:szCs w:val="14"/>
                <w:color w:val="auto"/>
              </w:rPr>
              <w:t>Our Corporate Governance Guidelines provide that directors may not serve on more than five public company boards</w:t>
            </w:r>
          </w:p>
        </w:tc>
        <w:tc>
          <w:tcPr>
            <w:tcW w:w="100" w:type="dxa"/>
            <w:vAlign w:val="bottom"/>
          </w:tcPr>
          <w:p>
            <w:pPr>
              <w:spacing w:after="0"/>
              <w:rPr>
                <w:sz w:val="15"/>
                <w:szCs w:val="15"/>
                <w:color w:val="auto"/>
              </w:rPr>
            </w:pPr>
          </w:p>
        </w:tc>
      </w:tr>
      <w:tr>
        <w:trPr>
          <w:trHeight w:val="231"/>
        </w:trPr>
        <w:tc>
          <w:tcPr>
            <w:tcW w:w="1240" w:type="dxa"/>
            <w:vAlign w:val="bottom"/>
          </w:tcPr>
          <w:p>
            <w:pPr>
              <w:ind w:left="100"/>
              <w:spacing w:after="0"/>
              <w:rPr>
                <w:sz w:val="20"/>
                <w:szCs w:val="20"/>
                <w:color w:val="auto"/>
              </w:rPr>
            </w:pPr>
            <w:r>
              <w:rPr>
                <w:rFonts w:ascii="Arial" w:cs="Arial" w:eastAsia="Arial" w:hAnsi="Arial"/>
                <w:sz w:val="14"/>
                <w:szCs w:val="14"/>
                <w:b w:val="1"/>
                <w:bCs w:val="1"/>
                <w:color w:val="auto"/>
              </w:rPr>
              <w:t>Commitments</w:t>
            </w:r>
          </w:p>
        </w:tc>
        <w:tc>
          <w:tcPr>
            <w:tcW w:w="2180" w:type="dxa"/>
            <w:vAlign w:val="bottom"/>
          </w:tcPr>
          <w:p>
            <w:pPr>
              <w:ind w:left="180"/>
              <w:spacing w:after="0"/>
              <w:rPr>
                <w:sz w:val="20"/>
                <w:szCs w:val="20"/>
                <w:color w:val="auto"/>
              </w:rPr>
            </w:pPr>
            <w:r>
              <w:rPr>
                <w:rFonts w:ascii="Arial" w:cs="Arial" w:eastAsia="Arial" w:hAnsi="Arial"/>
                <w:sz w:val="14"/>
                <w:szCs w:val="14"/>
                <w:color w:val="auto"/>
              </w:rPr>
              <w:t>interest in our policies and</w:t>
            </w:r>
          </w:p>
        </w:tc>
        <w:tc>
          <w:tcPr>
            <w:tcW w:w="7720" w:type="dxa"/>
            <w:vAlign w:val="bottom"/>
          </w:tcPr>
          <w:p>
            <w:pPr>
              <w:ind w:left="60"/>
              <w:spacing w:after="0"/>
              <w:rPr>
                <w:sz w:val="20"/>
                <w:szCs w:val="20"/>
                <w:color w:val="auto"/>
              </w:rPr>
            </w:pPr>
            <w:r>
              <w:rPr>
                <w:rFonts w:ascii="Arial" w:cs="Arial" w:eastAsia="Arial" w:hAnsi="Arial"/>
                <w:sz w:val="14"/>
                <w:szCs w:val="14"/>
                <w:color w:val="auto"/>
              </w:rPr>
              <w:t>(including our board) and if a director is also the chief executive officer of a public company, that director may not serve</w:t>
            </w:r>
          </w:p>
        </w:tc>
        <w:tc>
          <w:tcPr>
            <w:tcW w:w="100" w:type="dxa"/>
            <w:vAlign w:val="bottom"/>
          </w:tcPr>
          <w:p>
            <w:pPr>
              <w:spacing w:after="0"/>
              <w:rPr>
                <w:sz w:val="20"/>
                <w:szCs w:val="20"/>
                <w:color w:val="auto"/>
              </w:rPr>
            </w:pPr>
          </w:p>
        </w:tc>
      </w:tr>
      <w:tr>
        <w:trPr>
          <w:trHeight w:val="203"/>
        </w:trPr>
        <w:tc>
          <w:tcPr>
            <w:tcW w:w="1240" w:type="dxa"/>
            <w:vAlign w:val="bottom"/>
          </w:tcPr>
          <w:p>
            <w:pPr>
              <w:spacing w:after="0"/>
              <w:rPr>
                <w:sz w:val="17"/>
                <w:szCs w:val="17"/>
                <w:color w:val="auto"/>
              </w:rPr>
            </w:pPr>
          </w:p>
        </w:tc>
        <w:tc>
          <w:tcPr>
            <w:tcW w:w="2180" w:type="dxa"/>
            <w:vAlign w:val="bottom"/>
          </w:tcPr>
          <w:p>
            <w:pPr>
              <w:ind w:left="180"/>
              <w:spacing w:after="0"/>
              <w:rPr>
                <w:sz w:val="20"/>
                <w:szCs w:val="20"/>
                <w:color w:val="auto"/>
              </w:rPr>
            </w:pPr>
            <w:r>
              <w:rPr>
                <w:rFonts w:ascii="Arial" w:cs="Arial" w:eastAsia="Arial" w:hAnsi="Arial"/>
                <w:sz w:val="14"/>
                <w:szCs w:val="14"/>
                <w:color w:val="auto"/>
              </w:rPr>
              <w:t>practices regarding director</w:t>
            </w:r>
          </w:p>
        </w:tc>
        <w:tc>
          <w:tcPr>
            <w:tcW w:w="7720" w:type="dxa"/>
            <w:vAlign w:val="bottom"/>
          </w:tcPr>
          <w:p>
            <w:pPr>
              <w:ind w:left="60"/>
              <w:spacing w:after="0"/>
              <w:rPr>
                <w:sz w:val="20"/>
                <w:szCs w:val="20"/>
                <w:color w:val="auto"/>
              </w:rPr>
            </w:pPr>
            <w:r>
              <w:rPr>
                <w:rFonts w:ascii="Arial" w:cs="Arial" w:eastAsia="Arial" w:hAnsi="Arial"/>
                <w:sz w:val="14"/>
                <w:szCs w:val="14"/>
                <w:color w:val="auto"/>
              </w:rPr>
              <w:t>on more than three public company boards (including our board). Both the charter of our nominating committee and our</w:t>
            </w:r>
          </w:p>
        </w:tc>
        <w:tc>
          <w:tcPr>
            <w:tcW w:w="100" w:type="dxa"/>
            <w:vAlign w:val="bottom"/>
          </w:tcPr>
          <w:p>
            <w:pPr>
              <w:spacing w:after="0"/>
              <w:rPr>
                <w:sz w:val="17"/>
                <w:szCs w:val="17"/>
                <w:color w:val="auto"/>
              </w:rPr>
            </w:pPr>
          </w:p>
        </w:tc>
      </w:tr>
      <w:tr>
        <w:trPr>
          <w:trHeight w:val="203"/>
        </w:trPr>
        <w:tc>
          <w:tcPr>
            <w:tcW w:w="1240" w:type="dxa"/>
            <w:vAlign w:val="bottom"/>
          </w:tcPr>
          <w:p>
            <w:pPr>
              <w:spacing w:after="0"/>
              <w:rPr>
                <w:sz w:val="17"/>
                <w:szCs w:val="17"/>
                <w:color w:val="auto"/>
              </w:rPr>
            </w:pPr>
          </w:p>
        </w:tc>
        <w:tc>
          <w:tcPr>
            <w:tcW w:w="2180" w:type="dxa"/>
            <w:vAlign w:val="bottom"/>
          </w:tcPr>
          <w:p>
            <w:pPr>
              <w:ind w:left="180"/>
              <w:spacing w:after="0"/>
              <w:rPr>
                <w:sz w:val="20"/>
                <w:szCs w:val="20"/>
                <w:color w:val="auto"/>
              </w:rPr>
            </w:pPr>
            <w:r>
              <w:rPr>
                <w:rFonts w:ascii="Arial" w:cs="Arial" w:eastAsia="Arial" w:hAnsi="Arial"/>
                <w:sz w:val="14"/>
                <w:szCs w:val="14"/>
                <w:color w:val="auto"/>
              </w:rPr>
              <w:t>commitments.</w:t>
            </w:r>
          </w:p>
        </w:tc>
        <w:tc>
          <w:tcPr>
            <w:tcW w:w="7720" w:type="dxa"/>
            <w:vAlign w:val="bottom"/>
          </w:tcPr>
          <w:p>
            <w:pPr>
              <w:ind w:left="60"/>
              <w:spacing w:after="0"/>
              <w:rPr>
                <w:sz w:val="20"/>
                <w:szCs w:val="20"/>
                <w:color w:val="auto"/>
              </w:rPr>
            </w:pPr>
            <w:r>
              <w:rPr>
                <w:rFonts w:ascii="Arial" w:cs="Arial" w:eastAsia="Arial" w:hAnsi="Arial"/>
                <w:sz w:val="14"/>
                <w:szCs w:val="14"/>
                <w:color w:val="auto"/>
              </w:rPr>
              <w:t>Corporate Governance Guidelines ensures that when performing our annual review of each of our director’s time</w:t>
            </w:r>
          </w:p>
        </w:tc>
        <w:tc>
          <w:tcPr>
            <w:tcW w:w="100" w:type="dxa"/>
            <w:vAlign w:val="bottom"/>
          </w:tcPr>
          <w:p>
            <w:pPr>
              <w:spacing w:after="0"/>
              <w:rPr>
                <w:sz w:val="17"/>
                <w:szCs w:val="17"/>
                <w:color w:val="auto"/>
              </w:rPr>
            </w:pPr>
          </w:p>
        </w:tc>
      </w:tr>
      <w:tr>
        <w:trPr>
          <w:trHeight w:val="201"/>
        </w:trPr>
        <w:tc>
          <w:tcPr>
            <w:tcW w:w="12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7720" w:type="dxa"/>
            <w:vAlign w:val="bottom"/>
          </w:tcPr>
          <w:p>
            <w:pPr>
              <w:ind w:left="60"/>
              <w:spacing w:after="0"/>
              <w:rPr>
                <w:sz w:val="20"/>
                <w:szCs w:val="20"/>
                <w:color w:val="auto"/>
              </w:rPr>
            </w:pPr>
            <w:r>
              <w:rPr>
                <w:rFonts w:ascii="Arial" w:cs="Arial" w:eastAsia="Arial" w:hAnsi="Arial"/>
                <w:sz w:val="14"/>
                <w:szCs w:val="14"/>
                <w:color w:val="auto"/>
              </w:rPr>
              <w:t>commitments and service on other companies’ boards, we also review their service on other companies’ board</w:t>
            </w:r>
          </w:p>
        </w:tc>
        <w:tc>
          <w:tcPr>
            <w:tcW w:w="100" w:type="dxa"/>
            <w:vAlign w:val="bottom"/>
          </w:tcPr>
          <w:p>
            <w:pPr>
              <w:spacing w:after="0"/>
              <w:rPr>
                <w:sz w:val="17"/>
                <w:szCs w:val="17"/>
                <w:color w:val="auto"/>
              </w:rPr>
            </w:pPr>
          </w:p>
        </w:tc>
      </w:tr>
      <w:tr>
        <w:trPr>
          <w:trHeight w:val="190"/>
        </w:trPr>
        <w:tc>
          <w:tcPr>
            <w:tcW w:w="1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7720" w:type="dxa"/>
            <w:vAlign w:val="bottom"/>
          </w:tcPr>
          <w:p>
            <w:pPr>
              <w:ind w:left="60"/>
              <w:spacing w:after="0"/>
              <w:rPr>
                <w:sz w:val="20"/>
                <w:szCs w:val="20"/>
                <w:color w:val="auto"/>
              </w:rPr>
            </w:pPr>
            <w:r>
              <w:rPr>
                <w:rFonts w:ascii="Arial" w:cs="Arial" w:eastAsia="Arial" w:hAnsi="Arial"/>
                <w:sz w:val="14"/>
                <w:szCs w:val="14"/>
                <w:color w:val="auto"/>
              </w:rPr>
              <w:t>committees.</w:t>
            </w:r>
          </w:p>
        </w:tc>
        <w:tc>
          <w:tcPr>
            <w:tcW w:w="100" w:type="dxa"/>
            <w:vAlign w:val="bottom"/>
          </w:tcPr>
          <w:p>
            <w:pPr>
              <w:spacing w:after="0"/>
              <w:rPr>
                <w:sz w:val="16"/>
                <w:szCs w:val="16"/>
                <w:color w:val="auto"/>
              </w:rPr>
            </w:pPr>
          </w:p>
        </w:tc>
      </w:tr>
      <w:tr>
        <w:trPr>
          <w:trHeight w:val="48"/>
        </w:trPr>
        <w:tc>
          <w:tcPr>
            <w:tcW w:w="1240" w:type="dxa"/>
            <w:vAlign w:val="bottom"/>
          </w:tcPr>
          <w:p>
            <w:pPr>
              <w:spacing w:after="0"/>
              <w:rPr>
                <w:sz w:val="4"/>
                <w:szCs w:val="4"/>
                <w:color w:val="auto"/>
              </w:rPr>
            </w:pPr>
          </w:p>
        </w:tc>
        <w:tc>
          <w:tcPr>
            <w:tcW w:w="2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47"/>
        </w:trPr>
        <w:tc>
          <w:tcPr>
            <w:tcW w:w="1240" w:type="dxa"/>
            <w:vAlign w:val="bottom"/>
            <w:shd w:val="clear" w:color="auto" w:fill="EAEAEA"/>
          </w:tcPr>
          <w:p>
            <w:pPr>
              <w:ind w:left="100"/>
              <w:spacing w:after="0"/>
              <w:rPr>
                <w:sz w:val="20"/>
                <w:szCs w:val="20"/>
                <w:color w:val="auto"/>
              </w:rPr>
            </w:pPr>
            <w:r>
              <w:rPr>
                <w:rFonts w:ascii="Arial" w:cs="Arial" w:eastAsia="Arial" w:hAnsi="Arial"/>
                <w:sz w:val="14"/>
                <w:szCs w:val="14"/>
                <w:b w:val="1"/>
                <w:bCs w:val="1"/>
                <w:color w:val="auto"/>
              </w:rPr>
              <w:t>Board</w:t>
            </w:r>
          </w:p>
        </w:tc>
        <w:tc>
          <w:tcPr>
            <w:tcW w:w="2180" w:type="dxa"/>
            <w:vAlign w:val="bottom"/>
            <w:shd w:val="clear" w:color="auto" w:fill="EAEAEA"/>
          </w:tcPr>
          <w:p>
            <w:pPr>
              <w:ind w:left="180"/>
              <w:spacing w:after="0"/>
              <w:rPr>
                <w:sz w:val="20"/>
                <w:szCs w:val="20"/>
                <w:color w:val="auto"/>
              </w:rPr>
            </w:pPr>
            <w:r>
              <w:rPr>
                <w:rFonts w:ascii="Arial" w:cs="Arial" w:eastAsia="Arial" w:hAnsi="Arial"/>
                <w:sz w:val="14"/>
                <w:szCs w:val="14"/>
                <w:color w:val="auto"/>
              </w:rPr>
              <w:t>Shareholders continued to</w:t>
            </w:r>
          </w:p>
        </w:tc>
        <w:tc>
          <w:tcPr>
            <w:tcW w:w="7720" w:type="dxa"/>
            <w:vAlign w:val="bottom"/>
            <w:shd w:val="clear" w:color="auto" w:fill="EAEAEA"/>
          </w:tcPr>
          <w:p>
            <w:pPr>
              <w:ind w:left="60"/>
              <w:spacing w:after="0"/>
              <w:rPr>
                <w:sz w:val="20"/>
                <w:szCs w:val="20"/>
                <w:color w:val="auto"/>
              </w:rPr>
            </w:pPr>
            <w:r>
              <w:rPr>
                <w:rFonts w:ascii="Arial" w:cs="Arial" w:eastAsia="Arial" w:hAnsi="Arial"/>
                <w:sz w:val="14"/>
                <w:szCs w:val="14"/>
                <w:color w:val="auto"/>
              </w:rPr>
              <w:t>Jazz recognizes the critical importance of balancing the appropriate representation of experience and skills on our board</w:t>
            </w:r>
          </w:p>
        </w:tc>
        <w:tc>
          <w:tcPr>
            <w:tcW w:w="100" w:type="dxa"/>
            <w:vAlign w:val="bottom"/>
            <w:shd w:val="clear" w:color="auto" w:fill="EAEAEA"/>
          </w:tcPr>
          <w:p>
            <w:pPr>
              <w:spacing w:after="0"/>
              <w:rPr>
                <w:sz w:val="21"/>
                <w:szCs w:val="21"/>
                <w:color w:val="auto"/>
              </w:rPr>
            </w:pPr>
          </w:p>
        </w:tc>
      </w:tr>
      <w:tr>
        <w:trPr>
          <w:trHeight w:val="231"/>
        </w:trPr>
        <w:tc>
          <w:tcPr>
            <w:tcW w:w="1240" w:type="dxa"/>
            <w:vAlign w:val="bottom"/>
            <w:shd w:val="clear" w:color="auto" w:fill="EAEAEA"/>
          </w:tcPr>
          <w:p>
            <w:pPr>
              <w:ind w:left="100"/>
              <w:spacing w:after="0"/>
              <w:rPr>
                <w:sz w:val="20"/>
                <w:szCs w:val="20"/>
                <w:color w:val="auto"/>
              </w:rPr>
            </w:pPr>
            <w:r>
              <w:rPr>
                <w:rFonts w:ascii="Arial" w:cs="Arial" w:eastAsia="Arial" w:hAnsi="Arial"/>
                <w:sz w:val="14"/>
                <w:szCs w:val="14"/>
                <w:b w:val="1"/>
                <w:bCs w:val="1"/>
                <w:color w:val="auto"/>
              </w:rPr>
              <w:t>Refreshment</w:t>
            </w:r>
          </w:p>
        </w:tc>
        <w:tc>
          <w:tcPr>
            <w:tcW w:w="2180" w:type="dxa"/>
            <w:vAlign w:val="bottom"/>
            <w:shd w:val="clear" w:color="auto" w:fill="EAEAEA"/>
          </w:tcPr>
          <w:p>
            <w:pPr>
              <w:ind w:left="180"/>
              <w:spacing w:after="0"/>
              <w:rPr>
                <w:sz w:val="20"/>
                <w:szCs w:val="20"/>
                <w:color w:val="auto"/>
              </w:rPr>
            </w:pPr>
            <w:r>
              <w:rPr>
                <w:rFonts w:ascii="Arial" w:cs="Arial" w:eastAsia="Arial" w:hAnsi="Arial"/>
                <w:sz w:val="14"/>
                <w:szCs w:val="14"/>
                <w:color w:val="auto"/>
              </w:rPr>
              <w:t>stress the importance of</w:t>
            </w:r>
          </w:p>
        </w:tc>
        <w:tc>
          <w:tcPr>
            <w:tcW w:w="7720" w:type="dxa"/>
            <w:vAlign w:val="bottom"/>
            <w:shd w:val="clear" w:color="auto" w:fill="EAEAEA"/>
          </w:tcPr>
          <w:p>
            <w:pPr>
              <w:ind w:left="60"/>
              <w:spacing w:after="0"/>
              <w:rPr>
                <w:sz w:val="20"/>
                <w:szCs w:val="20"/>
                <w:color w:val="auto"/>
              </w:rPr>
            </w:pPr>
            <w:r>
              <w:rPr>
                <w:rFonts w:ascii="Arial" w:cs="Arial" w:eastAsia="Arial" w:hAnsi="Arial"/>
                <w:sz w:val="14"/>
                <w:szCs w:val="14"/>
                <w:color w:val="auto"/>
              </w:rPr>
              <w:t>of directors to fit the current and future needs of our company. Our board understands that strategic board refreshment</w:t>
            </w:r>
          </w:p>
        </w:tc>
        <w:tc>
          <w:tcPr>
            <w:tcW w:w="100" w:type="dxa"/>
            <w:vAlign w:val="bottom"/>
            <w:shd w:val="clear" w:color="auto" w:fill="EAEAEA"/>
          </w:tcPr>
          <w:p>
            <w:pPr>
              <w:spacing w:after="0"/>
              <w:rPr>
                <w:sz w:val="20"/>
                <w:szCs w:val="20"/>
                <w:color w:val="auto"/>
              </w:rPr>
            </w:pPr>
          </w:p>
        </w:tc>
      </w:tr>
      <w:tr>
        <w:trPr>
          <w:trHeight w:val="203"/>
        </w:trPr>
        <w:tc>
          <w:tcPr>
            <w:tcW w:w="1240" w:type="dxa"/>
            <w:vAlign w:val="bottom"/>
            <w:shd w:val="clear" w:color="auto" w:fill="EAEAEA"/>
          </w:tcPr>
          <w:p>
            <w:pPr>
              <w:spacing w:after="0"/>
              <w:rPr>
                <w:sz w:val="17"/>
                <w:szCs w:val="17"/>
                <w:color w:val="auto"/>
              </w:rPr>
            </w:pPr>
          </w:p>
        </w:tc>
        <w:tc>
          <w:tcPr>
            <w:tcW w:w="2180" w:type="dxa"/>
            <w:vAlign w:val="bottom"/>
            <w:shd w:val="clear" w:color="auto" w:fill="EAEAEA"/>
          </w:tcPr>
          <w:p>
            <w:pPr>
              <w:ind w:left="180"/>
              <w:spacing w:after="0"/>
              <w:rPr>
                <w:sz w:val="20"/>
                <w:szCs w:val="20"/>
                <w:color w:val="auto"/>
              </w:rPr>
            </w:pPr>
            <w:r>
              <w:rPr>
                <w:rFonts w:ascii="Arial" w:cs="Arial" w:eastAsia="Arial" w:hAnsi="Arial"/>
                <w:sz w:val="14"/>
                <w:szCs w:val="14"/>
                <w:color w:val="auto"/>
              </w:rPr>
              <w:t>board refreshment and the</w:t>
            </w:r>
          </w:p>
        </w:tc>
        <w:tc>
          <w:tcPr>
            <w:tcW w:w="7720" w:type="dxa"/>
            <w:vAlign w:val="bottom"/>
            <w:shd w:val="clear" w:color="auto" w:fill="EAEAEA"/>
          </w:tcPr>
          <w:p>
            <w:pPr>
              <w:ind w:left="60"/>
              <w:spacing w:after="0"/>
              <w:rPr>
                <w:sz w:val="20"/>
                <w:szCs w:val="20"/>
                <w:color w:val="auto"/>
              </w:rPr>
            </w:pPr>
            <w:r>
              <w:rPr>
                <w:rFonts w:ascii="Arial" w:cs="Arial" w:eastAsia="Arial" w:hAnsi="Arial"/>
                <w:sz w:val="14"/>
                <w:szCs w:val="14"/>
                <w:color w:val="auto"/>
              </w:rPr>
              <w:t>is essential to Jazz’s success and effective board oversight. With this purpose in mind, our nominating committee seeks</w:t>
            </w:r>
          </w:p>
        </w:tc>
        <w:tc>
          <w:tcPr>
            <w:tcW w:w="100" w:type="dxa"/>
            <w:vAlign w:val="bottom"/>
            <w:shd w:val="clear" w:color="auto" w:fill="EAEAEA"/>
          </w:tcPr>
          <w:p>
            <w:pPr>
              <w:spacing w:after="0"/>
              <w:rPr>
                <w:sz w:val="17"/>
                <w:szCs w:val="17"/>
                <w:color w:val="auto"/>
              </w:rPr>
            </w:pPr>
          </w:p>
        </w:tc>
      </w:tr>
      <w:tr>
        <w:trPr>
          <w:trHeight w:val="203"/>
        </w:trPr>
        <w:tc>
          <w:tcPr>
            <w:tcW w:w="1240" w:type="dxa"/>
            <w:vAlign w:val="bottom"/>
            <w:shd w:val="clear" w:color="auto" w:fill="EAEAEA"/>
          </w:tcPr>
          <w:p>
            <w:pPr>
              <w:spacing w:after="0"/>
              <w:rPr>
                <w:sz w:val="17"/>
                <w:szCs w:val="17"/>
                <w:color w:val="auto"/>
              </w:rPr>
            </w:pPr>
          </w:p>
        </w:tc>
        <w:tc>
          <w:tcPr>
            <w:tcW w:w="2180" w:type="dxa"/>
            <w:vAlign w:val="bottom"/>
            <w:shd w:val="clear" w:color="auto" w:fill="EAEAEA"/>
          </w:tcPr>
          <w:p>
            <w:pPr>
              <w:ind w:left="180"/>
              <w:spacing w:after="0"/>
              <w:rPr>
                <w:sz w:val="20"/>
                <w:szCs w:val="20"/>
                <w:color w:val="auto"/>
              </w:rPr>
            </w:pPr>
            <w:r>
              <w:rPr>
                <w:rFonts w:ascii="Arial" w:cs="Arial" w:eastAsia="Arial" w:hAnsi="Arial"/>
                <w:sz w:val="14"/>
                <w:szCs w:val="14"/>
                <w:color w:val="auto"/>
              </w:rPr>
              <w:t>role it plays in enhancing skills</w:t>
            </w:r>
          </w:p>
        </w:tc>
        <w:tc>
          <w:tcPr>
            <w:tcW w:w="7720" w:type="dxa"/>
            <w:vAlign w:val="bottom"/>
            <w:shd w:val="clear" w:color="auto" w:fill="EAEAEA"/>
          </w:tcPr>
          <w:p>
            <w:pPr>
              <w:ind w:left="60"/>
              <w:spacing w:after="0"/>
              <w:rPr>
                <w:sz w:val="20"/>
                <w:szCs w:val="20"/>
                <w:color w:val="auto"/>
              </w:rPr>
            </w:pPr>
            <w:r>
              <w:rPr>
                <w:rFonts w:ascii="Arial" w:cs="Arial" w:eastAsia="Arial" w:hAnsi="Arial"/>
                <w:sz w:val="14"/>
                <w:szCs w:val="14"/>
                <w:color w:val="auto"/>
              </w:rPr>
              <w:t>out experienced candidates with a track record for commercial success and/or drug development, that exhibit strength</w:t>
            </w:r>
          </w:p>
        </w:tc>
        <w:tc>
          <w:tcPr>
            <w:tcW w:w="100" w:type="dxa"/>
            <w:vAlign w:val="bottom"/>
            <w:shd w:val="clear" w:color="auto" w:fill="EAEAEA"/>
          </w:tcPr>
          <w:p>
            <w:pPr>
              <w:spacing w:after="0"/>
              <w:rPr>
                <w:sz w:val="17"/>
                <w:szCs w:val="17"/>
                <w:color w:val="auto"/>
              </w:rPr>
            </w:pPr>
          </w:p>
        </w:tc>
      </w:tr>
      <w:tr>
        <w:trPr>
          <w:trHeight w:val="201"/>
        </w:trPr>
        <w:tc>
          <w:tcPr>
            <w:tcW w:w="1240" w:type="dxa"/>
            <w:vAlign w:val="bottom"/>
            <w:shd w:val="clear" w:color="auto" w:fill="EAEAEA"/>
          </w:tcPr>
          <w:p>
            <w:pPr>
              <w:spacing w:after="0"/>
              <w:rPr>
                <w:sz w:val="17"/>
                <w:szCs w:val="17"/>
                <w:color w:val="auto"/>
              </w:rPr>
            </w:pPr>
          </w:p>
        </w:tc>
        <w:tc>
          <w:tcPr>
            <w:tcW w:w="2180" w:type="dxa"/>
            <w:vAlign w:val="bottom"/>
            <w:shd w:val="clear" w:color="auto" w:fill="EAEAEA"/>
          </w:tcPr>
          <w:p>
            <w:pPr>
              <w:ind w:left="180"/>
              <w:spacing w:after="0"/>
              <w:rPr>
                <w:sz w:val="20"/>
                <w:szCs w:val="20"/>
                <w:color w:val="auto"/>
              </w:rPr>
            </w:pPr>
            <w:r>
              <w:rPr>
                <w:rFonts w:ascii="Arial" w:cs="Arial" w:eastAsia="Arial" w:hAnsi="Arial"/>
                <w:sz w:val="14"/>
                <w:szCs w:val="14"/>
                <w:color w:val="auto"/>
              </w:rPr>
              <w:t>and capabilities and</w:t>
            </w:r>
          </w:p>
        </w:tc>
        <w:tc>
          <w:tcPr>
            <w:tcW w:w="7720" w:type="dxa"/>
            <w:vAlign w:val="bottom"/>
            <w:shd w:val="clear" w:color="auto" w:fill="EAEAEA"/>
          </w:tcPr>
          <w:p>
            <w:pPr>
              <w:ind w:left="60"/>
              <w:spacing w:after="0"/>
              <w:rPr>
                <w:sz w:val="20"/>
                <w:szCs w:val="20"/>
                <w:color w:val="auto"/>
              </w:rPr>
            </w:pPr>
            <w:r>
              <w:rPr>
                <w:rFonts w:ascii="Arial" w:cs="Arial" w:eastAsia="Arial" w:hAnsi="Arial"/>
                <w:sz w:val="14"/>
                <w:szCs w:val="14"/>
                <w:color w:val="auto"/>
              </w:rPr>
              <w:t>of character, judgment and principles of diversity, including diversity of race, ethnicity, gender, age, geographic</w:t>
            </w:r>
          </w:p>
        </w:tc>
        <w:tc>
          <w:tcPr>
            <w:tcW w:w="100" w:type="dxa"/>
            <w:vAlign w:val="bottom"/>
            <w:shd w:val="clear" w:color="auto" w:fill="EAEAEA"/>
          </w:tcPr>
          <w:p>
            <w:pPr>
              <w:spacing w:after="0"/>
              <w:rPr>
                <w:sz w:val="17"/>
                <w:szCs w:val="17"/>
                <w:color w:val="auto"/>
              </w:rPr>
            </w:pPr>
          </w:p>
        </w:tc>
      </w:tr>
      <w:tr>
        <w:trPr>
          <w:trHeight w:val="190"/>
        </w:trPr>
        <w:tc>
          <w:tcPr>
            <w:tcW w:w="1240" w:type="dxa"/>
            <w:vAlign w:val="bottom"/>
            <w:shd w:val="clear" w:color="auto" w:fill="EAEAEA"/>
          </w:tcPr>
          <w:p>
            <w:pPr>
              <w:spacing w:after="0"/>
              <w:rPr>
                <w:sz w:val="16"/>
                <w:szCs w:val="16"/>
                <w:color w:val="auto"/>
              </w:rPr>
            </w:pPr>
          </w:p>
        </w:tc>
        <w:tc>
          <w:tcPr>
            <w:tcW w:w="2180" w:type="dxa"/>
            <w:vAlign w:val="bottom"/>
            <w:shd w:val="clear" w:color="auto" w:fill="EAEAEA"/>
          </w:tcPr>
          <w:p>
            <w:pPr>
              <w:ind w:left="180"/>
              <w:spacing w:after="0"/>
              <w:rPr>
                <w:sz w:val="20"/>
                <w:szCs w:val="20"/>
                <w:color w:val="auto"/>
              </w:rPr>
            </w:pPr>
            <w:r>
              <w:rPr>
                <w:rFonts w:ascii="Arial" w:cs="Arial" w:eastAsia="Arial" w:hAnsi="Arial"/>
                <w:sz w:val="14"/>
                <w:szCs w:val="14"/>
                <w:color w:val="auto"/>
              </w:rPr>
              <w:t>increasing board diversity.</w:t>
            </w:r>
          </w:p>
        </w:tc>
        <w:tc>
          <w:tcPr>
            <w:tcW w:w="7720" w:type="dxa"/>
            <w:vAlign w:val="bottom"/>
            <w:shd w:val="clear" w:color="auto" w:fill="EAEAEA"/>
          </w:tcPr>
          <w:p>
            <w:pPr>
              <w:ind w:left="60"/>
              <w:spacing w:after="0"/>
              <w:rPr>
                <w:sz w:val="20"/>
                <w:szCs w:val="20"/>
                <w:color w:val="auto"/>
              </w:rPr>
            </w:pPr>
            <w:r>
              <w:rPr>
                <w:rFonts w:ascii="Arial" w:cs="Arial" w:eastAsia="Arial" w:hAnsi="Arial"/>
                <w:sz w:val="14"/>
                <w:szCs w:val="14"/>
                <w:color w:val="auto"/>
              </w:rPr>
              <w:t>residency, cultural background and professional experiences.</w:t>
            </w:r>
          </w:p>
        </w:tc>
        <w:tc>
          <w:tcPr>
            <w:tcW w:w="100" w:type="dxa"/>
            <w:vAlign w:val="bottom"/>
            <w:shd w:val="clear" w:color="auto" w:fill="EAEAEA"/>
          </w:tcPr>
          <w:p>
            <w:pPr>
              <w:spacing w:after="0"/>
              <w:rPr>
                <w:sz w:val="16"/>
                <w:szCs w:val="16"/>
                <w:color w:val="auto"/>
              </w:rPr>
            </w:pPr>
          </w:p>
        </w:tc>
      </w:tr>
      <w:tr>
        <w:trPr>
          <w:trHeight w:val="310"/>
        </w:trPr>
        <w:tc>
          <w:tcPr>
            <w:tcW w:w="1240" w:type="dxa"/>
            <w:vAlign w:val="bottom"/>
            <w:shd w:val="clear" w:color="auto" w:fill="EAEAEA"/>
          </w:tcPr>
          <w:p>
            <w:pPr>
              <w:spacing w:after="0"/>
              <w:rPr>
                <w:sz w:val="24"/>
                <w:szCs w:val="24"/>
                <w:color w:val="auto"/>
              </w:rPr>
            </w:pPr>
          </w:p>
        </w:tc>
        <w:tc>
          <w:tcPr>
            <w:tcW w:w="2180" w:type="dxa"/>
            <w:vAlign w:val="bottom"/>
            <w:shd w:val="clear" w:color="auto" w:fill="EAEAEA"/>
          </w:tcPr>
          <w:p>
            <w:pPr>
              <w:spacing w:after="0"/>
              <w:rPr>
                <w:sz w:val="24"/>
                <w:szCs w:val="24"/>
                <w:color w:val="auto"/>
              </w:rPr>
            </w:pPr>
          </w:p>
        </w:tc>
        <w:tc>
          <w:tcPr>
            <w:tcW w:w="7720" w:type="dxa"/>
            <w:vAlign w:val="bottom"/>
            <w:shd w:val="clear" w:color="auto" w:fill="EAEAEA"/>
          </w:tcPr>
          <w:p>
            <w:pPr>
              <w:ind w:left="60"/>
              <w:spacing w:after="0"/>
              <w:rPr>
                <w:sz w:val="20"/>
                <w:szCs w:val="20"/>
                <w:color w:val="auto"/>
              </w:rPr>
            </w:pPr>
            <w:r>
              <w:rPr>
                <w:rFonts w:ascii="Arial" w:cs="Arial" w:eastAsia="Arial" w:hAnsi="Arial"/>
                <w:sz w:val="14"/>
                <w:szCs w:val="14"/>
                <w:color w:val="auto"/>
              </w:rPr>
              <w:t>We have an ongoing board evaluation process, with a mix of one-on-ones with the Lead Independent Director, surveys</w:t>
            </w:r>
          </w:p>
        </w:tc>
        <w:tc>
          <w:tcPr>
            <w:tcW w:w="100" w:type="dxa"/>
            <w:vAlign w:val="bottom"/>
            <w:shd w:val="clear" w:color="auto" w:fill="EAEAEA"/>
          </w:tcPr>
          <w:p>
            <w:pPr>
              <w:spacing w:after="0"/>
              <w:rPr>
                <w:sz w:val="24"/>
                <w:szCs w:val="24"/>
                <w:color w:val="auto"/>
              </w:rPr>
            </w:pPr>
          </w:p>
        </w:tc>
      </w:tr>
      <w:tr>
        <w:trPr>
          <w:trHeight w:val="203"/>
        </w:trPr>
        <w:tc>
          <w:tcPr>
            <w:tcW w:w="1240" w:type="dxa"/>
            <w:vAlign w:val="bottom"/>
            <w:shd w:val="clear" w:color="auto" w:fill="EAEAEA"/>
          </w:tcPr>
          <w:p>
            <w:pPr>
              <w:spacing w:after="0"/>
              <w:rPr>
                <w:sz w:val="17"/>
                <w:szCs w:val="17"/>
                <w:color w:val="auto"/>
              </w:rPr>
            </w:pPr>
          </w:p>
        </w:tc>
        <w:tc>
          <w:tcPr>
            <w:tcW w:w="2180" w:type="dxa"/>
            <w:vAlign w:val="bottom"/>
            <w:shd w:val="clear" w:color="auto" w:fill="EAEAEA"/>
          </w:tcPr>
          <w:p>
            <w:pPr>
              <w:spacing w:after="0"/>
              <w:rPr>
                <w:sz w:val="17"/>
                <w:szCs w:val="17"/>
                <w:color w:val="auto"/>
              </w:rPr>
            </w:pPr>
          </w:p>
        </w:tc>
        <w:tc>
          <w:tcPr>
            <w:tcW w:w="7720" w:type="dxa"/>
            <w:vAlign w:val="bottom"/>
            <w:shd w:val="clear" w:color="auto" w:fill="EAEAEA"/>
          </w:tcPr>
          <w:p>
            <w:pPr>
              <w:ind w:left="60"/>
              <w:spacing w:after="0"/>
              <w:rPr>
                <w:sz w:val="20"/>
                <w:szCs w:val="20"/>
                <w:color w:val="auto"/>
              </w:rPr>
            </w:pPr>
            <w:r>
              <w:rPr>
                <w:rFonts w:ascii="Arial" w:cs="Arial" w:eastAsia="Arial" w:hAnsi="Arial"/>
                <w:sz w:val="14"/>
                <w:szCs w:val="14"/>
                <w:color w:val="auto"/>
              </w:rPr>
              <w:t>and external assessments. Board refreshment is a consistent theme of our board and committee evaluations.</w:t>
            </w:r>
          </w:p>
        </w:tc>
        <w:tc>
          <w:tcPr>
            <w:tcW w:w="100" w:type="dxa"/>
            <w:vAlign w:val="bottom"/>
            <w:shd w:val="clear" w:color="auto" w:fill="EAEAEA"/>
          </w:tcPr>
          <w:p>
            <w:pPr>
              <w:spacing w:after="0"/>
              <w:rPr>
                <w:sz w:val="17"/>
                <w:szCs w:val="17"/>
                <w:color w:val="auto"/>
              </w:rPr>
            </w:pPr>
          </w:p>
        </w:tc>
      </w:tr>
      <w:tr>
        <w:trPr>
          <w:trHeight w:val="89"/>
        </w:trPr>
        <w:tc>
          <w:tcPr>
            <w:tcW w:w="1240" w:type="dxa"/>
            <w:vAlign w:val="bottom"/>
            <w:shd w:val="clear" w:color="auto" w:fill="EAEAEA"/>
          </w:tcPr>
          <w:p>
            <w:pPr>
              <w:spacing w:after="0"/>
              <w:rPr>
                <w:sz w:val="7"/>
                <w:szCs w:val="7"/>
                <w:color w:val="auto"/>
              </w:rPr>
            </w:pPr>
          </w:p>
        </w:tc>
        <w:tc>
          <w:tcPr>
            <w:tcW w:w="2180" w:type="dxa"/>
            <w:vAlign w:val="bottom"/>
            <w:shd w:val="clear" w:color="auto" w:fill="EAEAEA"/>
          </w:tcPr>
          <w:p>
            <w:pPr>
              <w:spacing w:after="0"/>
              <w:rPr>
                <w:sz w:val="7"/>
                <w:szCs w:val="7"/>
                <w:color w:val="auto"/>
              </w:rPr>
            </w:pPr>
          </w:p>
        </w:tc>
        <w:tc>
          <w:tcPr>
            <w:tcW w:w="7720" w:type="dxa"/>
            <w:vAlign w:val="bottom"/>
            <w:shd w:val="clear" w:color="auto" w:fill="EAEAEA"/>
          </w:tcPr>
          <w:p>
            <w:pPr>
              <w:spacing w:after="0"/>
              <w:rPr>
                <w:sz w:val="7"/>
                <w:szCs w:val="7"/>
                <w:color w:val="auto"/>
              </w:rPr>
            </w:pPr>
          </w:p>
        </w:tc>
        <w:tc>
          <w:tcPr>
            <w:tcW w:w="100" w:type="dxa"/>
            <w:vAlign w:val="bottom"/>
            <w:shd w:val="clear" w:color="auto" w:fill="EAEAEA"/>
          </w:tcPr>
          <w:p>
            <w:pPr>
              <w:spacing w:after="0"/>
              <w:rPr>
                <w:sz w:val="7"/>
                <w:szCs w:val="7"/>
                <w:color w:val="auto"/>
              </w:rPr>
            </w:pPr>
          </w:p>
        </w:tc>
      </w:tr>
      <w:tr>
        <w:trPr>
          <w:trHeight w:val="883"/>
        </w:trPr>
        <w:tc>
          <w:tcPr>
            <w:tcW w:w="12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720" w:type="dxa"/>
            <w:vAlign w:val="bottom"/>
          </w:tcPr>
          <w:p>
            <w:pPr>
              <w:ind w:left="400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5</w:t>
            </w:r>
          </w:p>
        </w:tc>
      </w:tr>
      <w:tr>
        <w:trPr>
          <w:trHeight w:val="393"/>
        </w:trPr>
        <w:tc>
          <w:tcPr>
            <w:tcW w:w="124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7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type w:val="continuous"/>
        </w:sectPr>
      </w:pPr>
    </w:p>
    <w:bookmarkStart w:id="9" w:name="page10"/>
    <w:bookmarkEnd w:id="9"/>
    <w:p>
      <w:pPr>
        <w:ind w:left="100"/>
        <w:spacing w:after="0"/>
        <w:tabs>
          <w:tab w:leader="none" w:pos="1400" w:val="left"/>
        </w:tabs>
        <w:rPr>
          <w:sz w:val="20"/>
          <w:szCs w:val="20"/>
          <w:color w:val="auto"/>
        </w:rPr>
      </w:pPr>
      <w:r>
        <w:rPr>
          <w:rFonts w:ascii="Arial" w:cs="Arial" w:eastAsia="Arial" w:hAnsi="Arial"/>
          <w:sz w:val="14"/>
          <w:szCs w:val="14"/>
          <w:b w:val="1"/>
          <w:bCs w:val="1"/>
          <w:color w:val="FFFFFF"/>
        </w:rPr>
        <w:t>Topic</w:t>
      </w:r>
      <w:r>
        <w:rPr>
          <w:sz w:val="20"/>
          <w:szCs w:val="20"/>
          <w:color w:val="auto"/>
        </w:rPr>
        <w:tab/>
      </w:r>
      <w:r>
        <w:rPr>
          <w:rFonts w:ascii="Arial" w:cs="Arial" w:eastAsia="Arial" w:hAnsi="Arial"/>
          <w:sz w:val="14"/>
          <w:szCs w:val="14"/>
          <w:b w:val="1"/>
          <w:bCs w:val="1"/>
          <w:color w:val="FFFFFF"/>
        </w:rPr>
        <w:t>What We Heard</w:t>
      </w:r>
    </w:p>
    <w:p>
      <w:pPr>
        <w:spacing w:after="0" w:line="123" w:lineRule="exact"/>
        <w:rPr>
          <w:sz w:val="20"/>
          <w:szCs w:val="20"/>
          <w:color w:val="auto"/>
        </w:rPr>
      </w:pPr>
    </w:p>
    <w:p>
      <w:pPr>
        <w:ind w:left="100"/>
        <w:spacing w:after="0"/>
        <w:tabs>
          <w:tab w:leader="none" w:pos="1400" w:val="left"/>
        </w:tabs>
        <w:rPr>
          <w:sz w:val="20"/>
          <w:szCs w:val="20"/>
          <w:color w:val="auto"/>
        </w:rPr>
      </w:pPr>
      <w:r>
        <w:rPr>
          <w:rFonts w:ascii="Arial" w:cs="Arial" w:eastAsia="Arial" w:hAnsi="Arial"/>
          <w:sz w:val="14"/>
          <w:szCs w:val="14"/>
          <w:b w:val="1"/>
          <w:bCs w:val="1"/>
          <w:color w:val="auto"/>
        </w:rPr>
        <w:t>Compensation</w:t>
      </w:r>
      <w:r>
        <w:rPr>
          <w:sz w:val="20"/>
          <w:szCs w:val="20"/>
          <w:color w:val="auto"/>
        </w:rPr>
        <w:tab/>
      </w:r>
      <w:r>
        <w:rPr>
          <w:rFonts w:ascii="Arial" w:cs="Arial" w:eastAsia="Arial" w:hAnsi="Arial"/>
          <w:sz w:val="14"/>
          <w:szCs w:val="14"/>
          <w:color w:val="auto"/>
        </w:rPr>
        <w:t>While shareholders provided</w:t>
      </w:r>
    </w:p>
    <w:p>
      <w:pPr>
        <w:spacing w:after="0" w:line="29"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positive feedback regarding</w:t>
      </w:r>
    </w:p>
    <w:p>
      <w:pPr>
        <w:spacing w:after="0" w:line="1"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our pay-for-performance</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alignment, we heard a strong</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preference that our long-term</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incentive program include</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performance-based equity</w:t>
      </w:r>
    </w:p>
    <w:p>
      <w:pPr>
        <w:spacing w:after="0" w:line="1"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awards. Shareholders raised</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concerns that our burn rate is</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higher than some of our</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peers. Shareholders also</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expressed their desire for our</w:t>
      </w:r>
    </w:p>
    <w:p>
      <w:pPr>
        <w:spacing w:after="0" w:line="1"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annual performance bonus</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plan to have an explicit cap on</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payouts to avoid the potential</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of excessive payouts not tied</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to performance and to</w:t>
      </w:r>
    </w:p>
    <w:p>
      <w:pPr>
        <w:spacing w:after="0" w:line="1"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mitigate certain risks inherent</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in incentive plans.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FFFFFF"/>
        </w:rPr>
        <w:t>What We Did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-113030</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In response to shareholder feedback:</w:t>
      </w:r>
    </w:p>
    <w:p>
      <w:pPr>
        <w:spacing w:after="0" w:line="96" w:lineRule="exact"/>
        <w:rPr>
          <w:sz w:val="20"/>
          <w:szCs w:val="20"/>
          <w:color w:val="auto"/>
        </w:rPr>
      </w:pPr>
    </w:p>
    <w:p>
      <w:pPr>
        <w:ind w:left="320" w:right="40" w:hanging="318"/>
        <w:spacing w:after="0" w:line="342" w:lineRule="auto"/>
        <w:tabs>
          <w:tab w:leader="none" w:pos="3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incorporated performance-vesting restricted stock units, or PSUs, into our program in 2021 and we continue to grant PSUs representing 50% of each executive officer’s target annual equity compensation;</w:t>
      </w:r>
    </w:p>
    <w:p>
      <w:pPr>
        <w:ind w:left="320" w:right="20" w:hanging="318"/>
        <w:spacing w:after="0" w:line="313" w:lineRule="auto"/>
        <w:tabs>
          <w:tab w:leader="none" w:pos="3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Stock options have been eliminated from our long-term incentive program, and 100% of the awards granted thereunder have been in the form of PSUs and time-vesting restricted stock units, or RSUs, which reduce our burn rate and result in less dilution than stock options;</w:t>
      </w:r>
    </w:p>
    <w:p>
      <w:pPr>
        <w:spacing w:after="0" w:line="18" w:lineRule="exact"/>
        <w:rPr>
          <w:rFonts w:ascii="Arial" w:cs="Arial" w:eastAsia="Arial" w:hAnsi="Arial"/>
          <w:sz w:val="14"/>
          <w:szCs w:val="14"/>
          <w:color w:val="auto"/>
        </w:rPr>
      </w:pPr>
    </w:p>
    <w:p>
      <w:pPr>
        <w:ind w:left="320" w:hanging="318"/>
        <w:spacing w:after="0" w:line="323" w:lineRule="auto"/>
        <w:tabs>
          <w:tab w:leader="none" w:pos="3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adopted and continue to maintain an explicit cap on payouts under annual performance bonus awards at 300% of an individual’s target award (other than for our Chief Executive Officer, or CEO, whose actual bonus is capped based on the applicable range of achievement of our corporate objectives);</w:t>
      </w:r>
    </w:p>
    <w:p>
      <w:pPr>
        <w:spacing w:after="0" w:line="11" w:lineRule="exact"/>
        <w:rPr>
          <w:rFonts w:ascii="Arial" w:cs="Arial" w:eastAsia="Arial" w:hAnsi="Arial"/>
          <w:sz w:val="14"/>
          <w:szCs w:val="14"/>
          <w:color w:val="auto"/>
        </w:rPr>
      </w:pPr>
    </w:p>
    <w:p>
      <w:pPr>
        <w:ind w:left="320" w:right="40" w:hanging="318"/>
        <w:spacing w:after="0" w:line="316" w:lineRule="auto"/>
        <w:tabs>
          <w:tab w:leader="none" w:pos="3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selected performance goals for our executive compensation program that focus specifically on (i) growing and diversifying our commercial portfolio and (ii) enhancing the value of our pipeline to create a meaningful incentive and reward for successfully driving transformation and delivery of long-term sustainable value to shareholders and life-changing medicines to patients;</w:t>
      </w:r>
    </w:p>
    <w:p>
      <w:pPr>
        <w:spacing w:after="0" w:line="16" w:lineRule="exact"/>
        <w:rPr>
          <w:rFonts w:ascii="Arial" w:cs="Arial" w:eastAsia="Arial" w:hAnsi="Arial"/>
          <w:sz w:val="14"/>
          <w:szCs w:val="14"/>
          <w:color w:val="auto"/>
        </w:rPr>
      </w:pPr>
    </w:p>
    <w:p>
      <w:pPr>
        <w:ind w:left="320" w:right="200" w:hanging="318"/>
        <w:spacing w:after="0" w:line="306" w:lineRule="auto"/>
        <w:tabs>
          <w:tab w:leader="none" w:pos="3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structured our PSUs so that payout is based on financial and operational goal performance, which is then adjusted, based on the rate of return of our stock price relative to peers, or a relative total shareholder return modifier, or TSR. Our compensation and management development committee, or compensation committee, believes that having a TSR modifier helps balance the importance of providing executives clearer line of sight to payout opportunities using financial and operational measures with the need to ensure that those payouts are aligned with shareholders’ experience during the performance period;</w:t>
      </w:r>
    </w:p>
    <w:p>
      <w:pPr>
        <w:spacing w:after="0" w:line="23" w:lineRule="exact"/>
        <w:rPr>
          <w:rFonts w:ascii="Arial" w:cs="Arial" w:eastAsia="Arial" w:hAnsi="Arial"/>
          <w:sz w:val="14"/>
          <w:szCs w:val="14"/>
          <w:color w:val="auto"/>
        </w:rPr>
      </w:pPr>
    </w:p>
    <w:p>
      <w:pPr>
        <w:jc w:val="both"/>
        <w:ind w:left="320" w:right="80" w:hanging="318"/>
        <w:spacing w:after="0" w:line="316" w:lineRule="auto"/>
        <w:tabs>
          <w:tab w:leader="none" w:pos="3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also have adopted an incentive compensation recoupment policy which is designed to mitigate risks generally associated with incentive compensation and requires us to recover from covered executive officers the amount of erroneously awarded compensation resulting from an accounting restatement due to the material noncompliance of our company with any financial reporting requirement under the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24765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60" w:space="120"/>
            <w:col w:w="7620"/>
          </w:cols>
          <w:pgMar w:left="320" w:top="1116" w:right="479" w:bottom="1440" w:gutter="0" w:footer="0" w:header="0"/>
        </w:sectPr>
      </w:pPr>
    </w:p>
    <w:p>
      <w:pPr>
        <w:spacing w:after="0" w:line="41" w:lineRule="exact"/>
        <w:rPr>
          <w:sz w:val="20"/>
          <w:szCs w:val="20"/>
          <w:color w:val="auto"/>
        </w:rPr>
      </w:pPr>
    </w:p>
    <w:p>
      <w:pPr>
        <w:ind w:right="100"/>
        <w:spacing w:after="0" w:line="339" w:lineRule="auto"/>
        <w:rPr>
          <w:sz w:val="20"/>
          <w:szCs w:val="20"/>
          <w:color w:val="auto"/>
        </w:rPr>
      </w:pPr>
      <w:r>
        <w:rPr>
          <w:rFonts w:ascii="Arial" w:cs="Arial" w:eastAsia="Arial" w:hAnsi="Arial"/>
          <w:sz w:val="16"/>
          <w:szCs w:val="16"/>
          <w:color w:val="auto"/>
        </w:rPr>
        <w:t>We also continue to evaluate feedback received from shareholders on other topics, including our classified board structure, setting climate change targets and reporting on workforce diversity.</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Corporate Sustainability &amp; Social Impact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Approach</w:t>
      </w:r>
    </w:p>
    <w:p>
      <w:pPr>
        <w:spacing w:after="0" w:line="12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Jazz is committed to creating a company where the culture reflects our purpose to serve patients, be a great place to work, and to live our shared values of integrity, collaboration, passion, innovation, and pursuit of excellence. Our values, underpinned by good corporate governance, social responsibility and environmental stewardship, anchor our corporate strategy and support our commitment to generate positive outcomes for patients, employees, shareholders, and other stakeholders.</w:t>
      </w:r>
    </w:p>
    <w:p>
      <w:pPr>
        <w:spacing w:after="0" w:line="74"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color w:val="auto"/>
        </w:rPr>
        <w:t>The pillars of our CSSI strategy are Patients, People, Community and Planet. Jazz recognizes the critical importance of these CSSI pillars in achieving our near and long-term business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30480</wp:posOffset>
            </wp:positionV>
            <wp:extent cx="5177790" cy="17570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77790" cy="175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60" w:hanging="434"/>
        <w:spacing w:after="0"/>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16" w:right="479" w:bottom="1440" w:gutter="0" w:footer="0" w:header="0"/>
          <w:type w:val="continuous"/>
        </w:sectPr>
      </w:pPr>
    </w:p>
    <w:bookmarkStart w:id="10" w:name="page11"/>
    <w:bookmarkEnd w:id="10"/>
    <w:p>
      <w:pPr>
        <w:ind w:right="760"/>
        <w:spacing w:after="0" w:line="339" w:lineRule="auto"/>
        <w:rPr>
          <w:sz w:val="20"/>
          <w:szCs w:val="20"/>
          <w:color w:val="auto"/>
        </w:rPr>
      </w:pPr>
      <w:r>
        <w:rPr>
          <w:rFonts w:ascii="Arial" w:cs="Arial" w:eastAsia="Arial" w:hAnsi="Arial"/>
          <w:sz w:val="16"/>
          <w:szCs w:val="16"/>
          <w:color w:val="auto"/>
        </w:rPr>
        <w:t>2023 was a critical year for our CSSI program. We progressed our CSSI strategy and continue to embed it into our corporate strategy to deliver on commitments to our employees, patients, customers and stakeholders.</w:t>
      </w:r>
    </w:p>
    <w:p>
      <w:pPr>
        <w:spacing w:after="0" w:line="34" w:lineRule="exact"/>
        <w:rPr>
          <w:sz w:val="20"/>
          <w:szCs w:val="20"/>
          <w:color w:val="auto"/>
        </w:rPr>
      </w:pPr>
    </w:p>
    <w:p>
      <w:pPr>
        <w:ind w:right="60"/>
        <w:spacing w:after="0" w:line="319" w:lineRule="auto"/>
        <w:rPr>
          <w:sz w:val="20"/>
          <w:szCs w:val="20"/>
          <w:color w:val="auto"/>
        </w:rPr>
      </w:pPr>
      <w:r>
        <w:rPr>
          <w:rFonts w:ascii="Arial" w:cs="Arial" w:eastAsia="Arial" w:hAnsi="Arial"/>
          <w:sz w:val="16"/>
          <w:szCs w:val="16"/>
          <w:color w:val="auto"/>
        </w:rPr>
        <w:t>Jazz has established a fit-for-purpose governance structure to support the execution of our CSSI priorities and help us meet regulatory expectations that are expanding and growing in complexity on a global basis. The new governance structure is aligned with our CSSI pillars, enabling efficient decision-making and fostering accountability by relevant business functions for the delivery of our pillar-specific roadmaps and activities.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Board Oversight and Management</w:t>
      </w:r>
    </w:p>
    <w:p>
      <w:pPr>
        <w:spacing w:after="0" w:line="127"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The full board oversees the strategy for addressing ESG risks and opportunities significant to our business and stakeholders. Each committee of the Board oversees ESG matters across our business operations in the areas that align with their respective responsibilities. The nominating committee has been delegated oversight responsibilities for ESG/CSSI strategy and practices. The nominating committee periodically reviews and discusses with management ESG matters expected to have a significant impact on our performance, business activities or reputation. In addition, the compensation committee works with the full board to oversee human capital management matters, including Diversity, Equity, Inclusion and Belonging (DEIB), a core aspect of our ESG approach. The audit committee has primary responsibility for overseeing risks related to information security, including cybersecurity. See the section entitled “Corporate Governance and Board Matters” on page 22 for a further discussion of our Board and Board committees.</w:t>
      </w:r>
    </w:p>
    <w:p>
      <w:pPr>
        <w:spacing w:after="0" w:line="75" w:lineRule="exact"/>
        <w:rPr>
          <w:sz w:val="20"/>
          <w:szCs w:val="20"/>
          <w:color w:val="auto"/>
        </w:rPr>
      </w:pPr>
    </w:p>
    <w:p>
      <w:pPr>
        <w:jc w:val="both"/>
        <w:ind w:right="60"/>
        <w:spacing w:after="0" w:line="310" w:lineRule="auto"/>
        <w:rPr>
          <w:sz w:val="20"/>
          <w:szCs w:val="20"/>
          <w:color w:val="auto"/>
        </w:rPr>
      </w:pPr>
      <w:r>
        <w:rPr>
          <w:rFonts w:ascii="Arial" w:cs="Arial" w:eastAsia="Arial" w:hAnsi="Arial"/>
          <w:sz w:val="16"/>
          <w:szCs w:val="16"/>
          <w:color w:val="auto"/>
        </w:rPr>
        <w:t>Our Chief Executive Officer and Chief Legal Officer have executive oversight for ESG strategic planning, risk management, and reporting. A cross-functional team of senior leaders and subject matter experts support ESG/CSSI efforts across the organization. Senior management regularly briefs the Board and its committees on ESG/CSSI progress.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ESG Reporting</w:t>
      </w:r>
    </w:p>
    <w:p>
      <w:pPr>
        <w:spacing w:after="0" w:line="140" w:lineRule="exact"/>
        <w:rPr>
          <w:sz w:val="20"/>
          <w:szCs w:val="20"/>
          <w:color w:val="auto"/>
        </w:rPr>
      </w:pPr>
    </w:p>
    <w:p>
      <w:pPr>
        <w:jc w:val="both"/>
        <w:ind w:right="380"/>
        <w:spacing w:after="0" w:line="310" w:lineRule="auto"/>
        <w:rPr>
          <w:sz w:val="20"/>
          <w:szCs w:val="20"/>
          <w:color w:val="auto"/>
        </w:rPr>
      </w:pPr>
      <w:r>
        <w:rPr>
          <w:rFonts w:ascii="Arial" w:cs="Arial" w:eastAsia="Arial" w:hAnsi="Arial"/>
          <w:sz w:val="16"/>
          <w:szCs w:val="16"/>
          <w:color w:val="auto"/>
        </w:rPr>
        <w:t>Our 2022 Corporate Sustainability and Social Impact Report covers selected Jazz Pharmaceuticals plc ESG initiatives and metrics for the calendar year 2022. The report was prepared with reference to the Global Reporting Initiative (GRI) standards and aligns with the Sustainability Accounting Standards Board (SASB) Agricultural Products and Biotechnology &amp; Pharmaceuticals reporting standards that apply to our business, to the extent indicated within.</w:t>
      </w:r>
    </w:p>
    <w:p>
      <w:pPr>
        <w:spacing w:after="0" w:line="70" w:lineRule="exact"/>
        <w:rPr>
          <w:sz w:val="20"/>
          <w:szCs w:val="20"/>
          <w:color w:val="auto"/>
        </w:rPr>
      </w:pPr>
    </w:p>
    <w:p>
      <w:pPr>
        <w:jc w:val="both"/>
        <w:ind w:right="400"/>
        <w:spacing w:after="0" w:line="339" w:lineRule="auto"/>
        <w:rPr>
          <w:sz w:val="20"/>
          <w:szCs w:val="20"/>
          <w:color w:val="auto"/>
        </w:rPr>
      </w:pPr>
      <w:r>
        <w:rPr>
          <w:rFonts w:ascii="Arial" w:cs="Arial" w:eastAsia="Arial" w:hAnsi="Arial"/>
          <w:sz w:val="16"/>
          <w:szCs w:val="16"/>
          <w:color w:val="auto"/>
        </w:rPr>
        <w:t>We intend to continue to evolve and enhance our ESG reporting and disclosures to better meet the expectations of our stakeholders and to comply with applicable regulatory requirements including without limitation the EU Corporate Sustainability Reporting Directive (CSRD).</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Corporate Sustainability and Social Impact Pillar Highlights</w:t>
      </w:r>
      <w:r>
        <w:rPr>
          <w:rFonts w:ascii="Arial" w:cs="Arial" w:eastAsia="Arial" w:hAnsi="Arial"/>
          <w:sz w:val="21"/>
          <w:szCs w:val="21"/>
          <w:b w:val="1"/>
          <w:bCs w:val="1"/>
          <w:color w:val="852166"/>
          <w:vertAlign w:val="superscript"/>
        </w:rPr>
        <w:t>(1)</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Patients</w:t>
      </w:r>
    </w:p>
    <w:p>
      <w:pPr>
        <w:spacing w:after="0" w:line="125" w:lineRule="exact"/>
        <w:rPr>
          <w:sz w:val="20"/>
          <w:szCs w:val="20"/>
          <w:color w:val="auto"/>
        </w:rPr>
      </w:pPr>
    </w:p>
    <w:p>
      <w:pPr>
        <w:ind w:right="160"/>
        <w:spacing w:after="0" w:line="339" w:lineRule="auto"/>
        <w:rPr>
          <w:sz w:val="20"/>
          <w:szCs w:val="20"/>
          <w:color w:val="auto"/>
        </w:rPr>
      </w:pPr>
      <w:r>
        <w:rPr>
          <w:rFonts w:ascii="Arial" w:cs="Arial" w:eastAsia="Arial" w:hAnsi="Arial"/>
          <w:sz w:val="16"/>
          <w:szCs w:val="16"/>
          <w:color w:val="auto"/>
        </w:rPr>
        <w:t>We are innovating to develop life-changing medicines for patients who often have limited or no therapeutic options. We strive to help patients get access to the medications they need, and we advocate for policies that support the lives of patients.</w:t>
      </w:r>
    </w:p>
    <w:p>
      <w:pPr>
        <w:spacing w:after="0" w:line="47" w:lineRule="exact"/>
        <w:rPr>
          <w:sz w:val="20"/>
          <w:szCs w:val="20"/>
          <w:color w:val="auto"/>
        </w:rPr>
      </w:pPr>
    </w:p>
    <w:p>
      <w:pPr>
        <w:ind w:left="660" w:right="80" w:hanging="328"/>
        <w:spacing w:after="0" w:line="339" w:lineRule="auto"/>
        <w:tabs>
          <w:tab w:leader="none" w:pos="649" w:val="left"/>
        </w:tabs>
        <w:numPr>
          <w:ilvl w:val="1"/>
          <w:numId w:val="18"/>
        </w:numPr>
        <w:rPr>
          <w:rFonts w:ascii="Arial" w:cs="Arial" w:eastAsia="Arial" w:hAnsi="Arial"/>
          <w:sz w:val="16"/>
          <w:szCs w:val="16"/>
          <w:color w:val="auto"/>
        </w:rPr>
      </w:pPr>
      <w:r>
        <w:rPr>
          <w:rFonts w:ascii="Arial" w:cs="Arial" w:eastAsia="Arial" w:hAnsi="Arial"/>
          <w:sz w:val="16"/>
          <w:szCs w:val="16"/>
          <w:color w:val="auto"/>
        </w:rPr>
        <w:t>Our R&amp;D team launched an initiative aimed to have the participants in Jazz’s clinical trials reflect the patient population affected by the disease and has set forth a strategic roadmap designed to promote representative trial diversity and inclusion.</w:t>
      </w:r>
    </w:p>
    <w:p>
      <w:pPr>
        <w:spacing w:after="0" w:line="33" w:lineRule="exact"/>
        <w:rPr>
          <w:rFonts w:ascii="Arial" w:cs="Arial" w:eastAsia="Arial" w:hAnsi="Arial"/>
          <w:sz w:val="16"/>
          <w:szCs w:val="16"/>
          <w:color w:val="auto"/>
        </w:rPr>
      </w:pPr>
    </w:p>
    <w:p>
      <w:pPr>
        <w:ind w:left="660" w:right="340" w:hanging="328"/>
        <w:spacing w:after="0" w:line="339" w:lineRule="auto"/>
        <w:tabs>
          <w:tab w:leader="none" w:pos="649" w:val="left"/>
        </w:tabs>
        <w:numPr>
          <w:ilvl w:val="1"/>
          <w:numId w:val="18"/>
        </w:numPr>
        <w:rPr>
          <w:rFonts w:ascii="Arial" w:cs="Arial" w:eastAsia="Arial" w:hAnsi="Arial"/>
          <w:sz w:val="16"/>
          <w:szCs w:val="16"/>
          <w:color w:val="auto"/>
        </w:rPr>
      </w:pPr>
      <w:r>
        <w:rPr>
          <w:rFonts w:ascii="Arial" w:cs="Arial" w:eastAsia="Arial" w:hAnsi="Arial"/>
          <w:sz w:val="16"/>
          <w:szCs w:val="16"/>
          <w:color w:val="auto"/>
        </w:rPr>
        <w:t>Reflective of our investment in our internal ability to drive better patient outcomes, our number of R&amp;D employees has grown by more than 20% since 2021.</w:t>
      </w:r>
    </w:p>
    <w:p>
      <w:pPr>
        <w:spacing w:after="0" w:line="47" w:lineRule="exact"/>
        <w:rPr>
          <w:rFonts w:ascii="Arial" w:cs="Arial" w:eastAsia="Arial" w:hAnsi="Arial"/>
          <w:sz w:val="16"/>
          <w:szCs w:val="16"/>
          <w:color w:val="auto"/>
        </w:rPr>
      </w:pPr>
    </w:p>
    <w:p>
      <w:pPr>
        <w:ind w:left="660" w:right="280" w:hanging="328"/>
        <w:spacing w:after="0" w:line="339" w:lineRule="auto"/>
        <w:tabs>
          <w:tab w:leader="none" w:pos="649" w:val="left"/>
        </w:tabs>
        <w:numPr>
          <w:ilvl w:val="1"/>
          <w:numId w:val="18"/>
        </w:numPr>
        <w:rPr>
          <w:rFonts w:ascii="Arial" w:cs="Arial" w:eastAsia="Arial" w:hAnsi="Arial"/>
          <w:sz w:val="16"/>
          <w:szCs w:val="16"/>
          <w:color w:val="auto"/>
        </w:rPr>
      </w:pPr>
      <w:r>
        <w:rPr>
          <w:rFonts w:ascii="Arial" w:cs="Arial" w:eastAsia="Arial" w:hAnsi="Arial"/>
          <w:sz w:val="16"/>
          <w:szCs w:val="16"/>
          <w:color w:val="auto"/>
        </w:rPr>
        <w:t>Our U.S. based JazzCares™ patient assistance programs offer Jazz medicines to eligible patients who otherwise cannot afford the medications. These programs are designed to give patients the support and assistance they need throughout their treatment journey.</w:t>
      </w:r>
    </w:p>
    <w:p>
      <w:pPr>
        <w:spacing w:after="0" w:line="47" w:lineRule="exact"/>
        <w:rPr>
          <w:rFonts w:ascii="Arial" w:cs="Arial" w:eastAsia="Arial" w:hAnsi="Arial"/>
          <w:sz w:val="16"/>
          <w:szCs w:val="16"/>
          <w:color w:val="auto"/>
        </w:rPr>
      </w:pPr>
    </w:p>
    <w:p>
      <w:pPr>
        <w:ind w:left="660" w:right="140" w:hanging="328"/>
        <w:spacing w:after="0" w:line="310" w:lineRule="auto"/>
        <w:tabs>
          <w:tab w:leader="none" w:pos="649"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use of Early Access Programs in our Europe &amp; International region is a way of providing access to some of Jazz’s products to eligible patients with high unmet medical need across geographies through both individual and multiple patient programs. A key driver is to aim to provide more rapid, fair and equitable access to our products for patients in medical need.</w:t>
      </w:r>
    </w:p>
    <w:p>
      <w:pPr>
        <w:spacing w:after="0" w:line="263" w:lineRule="exact"/>
        <w:rPr>
          <w:rFonts w:ascii="Arial" w:cs="Arial" w:eastAsia="Arial" w:hAnsi="Arial"/>
          <w:sz w:val="16"/>
          <w:szCs w:val="16"/>
          <w:color w:val="auto"/>
        </w:rPr>
      </w:pPr>
    </w:p>
    <w:p>
      <w:pPr>
        <w:ind w:left="360" w:right="360" w:hanging="334"/>
        <w:spacing w:after="0" w:line="325" w:lineRule="auto"/>
        <w:tabs>
          <w:tab w:leader="none" w:pos="347"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Corporate Sustainability and Social Impact Pillar Highlights cover selected Jazz Pharmaceutical plc environmental, social, and governance initiatives and metrics from January 1, 2023 through December 31, 2023, unless the period is otherwise noted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27171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6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2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393"/>
        </w:trPr>
        <w:tc>
          <w:tcPr>
            <w:tcW w:w="10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i w:val="1"/>
          <w:iCs w:val="1"/>
          <w:color w:val="auto"/>
        </w:rPr>
        <w:t>People</w:t>
      </w:r>
    </w:p>
    <w:p>
      <w:pPr>
        <w:spacing w:after="0" w:line="71"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We are committed to creating a company where the culture embodies our corporate purpose to innovate to transform the lives of patients and their families and reflects our key goals: (1) be a great place to work; and (2) live our core values of Integrity, Collaboration, Passion, Innovation and Pursuit of Excellence.</w:t>
      </w:r>
    </w:p>
    <w:p>
      <w:pPr>
        <w:spacing w:after="0" w:line="47" w:lineRule="exact"/>
        <w:rPr>
          <w:sz w:val="20"/>
          <w:szCs w:val="20"/>
          <w:color w:val="auto"/>
        </w:rPr>
      </w:pPr>
    </w:p>
    <w:p>
      <w:pPr>
        <w:ind w:left="660" w:right="520" w:hanging="328"/>
        <w:spacing w:after="0" w:line="339"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2023 Pulse surveys showed positive results with 85% of respondents saying they feel connected to our purpose to transform the lives of patients and their families, and 81% recommending Jazz as a good place to work.</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At the end of 2023, 32% of our employees were active in our employee resource teams.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46% of our board and 55% of our executive committee is diverse in terms of gender, ethnicity and sexual orientation.</w:t>
      </w:r>
      <w:r>
        <w:rPr>
          <w:rFonts w:ascii="Arial" w:cs="Arial" w:eastAsia="Arial" w:hAnsi="Arial"/>
          <w:sz w:val="21"/>
          <w:szCs w:val="21"/>
          <w:color w:val="auto"/>
          <w:vertAlign w:val="superscript"/>
        </w:rPr>
        <w:t>(1)</w:t>
      </w:r>
    </w:p>
    <w:p>
      <w:pPr>
        <w:spacing w:after="0" w:line="96"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Women represent 54% of our global workforce and 47% at the leadership level (employees at executive director and above).</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the U.S., people of color represent 35% of our workforce and 20% at the leadership level.</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Community</w:t>
      </w:r>
    </w:p>
    <w:p>
      <w:pPr>
        <w:spacing w:after="0" w:line="125" w:lineRule="exact"/>
        <w:rPr>
          <w:sz w:val="20"/>
          <w:szCs w:val="20"/>
          <w:color w:val="auto"/>
        </w:rPr>
      </w:pPr>
    </w:p>
    <w:p>
      <w:pPr>
        <w:ind w:right="100"/>
        <w:spacing w:after="0" w:line="339" w:lineRule="auto"/>
        <w:rPr>
          <w:sz w:val="20"/>
          <w:szCs w:val="20"/>
          <w:color w:val="auto"/>
        </w:rPr>
      </w:pPr>
      <w:r>
        <w:rPr>
          <w:rFonts w:ascii="Arial" w:cs="Arial" w:eastAsia="Arial" w:hAnsi="Arial"/>
          <w:sz w:val="16"/>
          <w:szCs w:val="16"/>
          <w:color w:val="auto"/>
        </w:rPr>
        <w:t>We aim to be an engaged corporate citizen globally and in our communities. We work through direct philanthropy, employee volunteerism and with partners to execute key initiatives that reflect our social impact goals and values.</w:t>
      </w:r>
    </w:p>
    <w:p>
      <w:pPr>
        <w:spacing w:after="0" w:line="47" w:lineRule="exact"/>
        <w:rPr>
          <w:sz w:val="20"/>
          <w:szCs w:val="20"/>
          <w:color w:val="auto"/>
        </w:rPr>
      </w:pPr>
    </w:p>
    <w:p>
      <w:pPr>
        <w:jc w:val="both"/>
        <w:ind w:left="660" w:right="520" w:hanging="328"/>
        <w:spacing w:after="0" w:line="31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Stand Up to Cancer (SU2C) and Jazz have an established research partnership to explore new opportunities, including a large focus on new treatment options for children living with rare and hard-to-treat solid tumors – building on our commitment to pediatric oncology. We are also working with SU2C to better understand the attitudes and perspectives of healthcare providers, patients and their families.</w:t>
      </w:r>
    </w:p>
    <w:p>
      <w:pPr>
        <w:spacing w:after="0" w:line="70" w:lineRule="exact"/>
        <w:rPr>
          <w:rFonts w:ascii="Arial" w:cs="Arial" w:eastAsia="Arial" w:hAnsi="Arial"/>
          <w:sz w:val="16"/>
          <w:szCs w:val="16"/>
          <w:color w:val="auto"/>
        </w:rPr>
      </w:pPr>
    </w:p>
    <w:p>
      <w:pPr>
        <w:ind w:left="660" w:right="340" w:hanging="328"/>
        <w:spacing w:after="0" w:line="339"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partnership with Patient Resources and Go2 Foundation developed a Small Cell Lung Cancer guide resource in both English and Spanish. 6,500 guides were requested for distribution over 3 months by institutions and healthcare practitioners.</w:t>
      </w:r>
    </w:p>
    <w:p>
      <w:pPr>
        <w:spacing w:after="0" w:line="47" w:lineRule="exact"/>
        <w:rPr>
          <w:rFonts w:ascii="Arial" w:cs="Arial" w:eastAsia="Arial" w:hAnsi="Arial"/>
          <w:sz w:val="16"/>
          <w:szCs w:val="16"/>
          <w:color w:val="auto"/>
        </w:rPr>
      </w:pPr>
    </w:p>
    <w:p>
      <w:pPr>
        <w:ind w:left="660" w:hanging="328"/>
        <w:spacing w:after="0" w:line="31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donation to Midlands Science, Ireland, a not-for-profit company whose core objective is to create greater interest in STEM (Science, Technology, Engineering and Mathematics) education facilitated workshops to develop skills amongst students, teachers and members of the public at the regional level.</w:t>
      </w:r>
    </w:p>
    <w:p>
      <w:pPr>
        <w:spacing w:after="0" w:line="70" w:lineRule="exact"/>
        <w:rPr>
          <w:rFonts w:ascii="Arial" w:cs="Arial" w:eastAsia="Arial" w:hAnsi="Arial"/>
          <w:sz w:val="16"/>
          <w:szCs w:val="16"/>
          <w:color w:val="auto"/>
        </w:rPr>
      </w:pPr>
    </w:p>
    <w:p>
      <w:pPr>
        <w:ind w:left="660" w:right="260" w:hanging="328"/>
        <w:spacing w:after="0" w:line="339"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Members of our legal department provided pro-bono legal services through a variety of programs, including participating in a “Research-A-Thon” with the Florida Rights Restoration Coalition, researching more than 200 criminal cases to support people in restoring their right to vote.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Planet</w:t>
      </w:r>
    </w:p>
    <w:p>
      <w:pPr>
        <w:spacing w:after="0" w:line="125" w:lineRule="exact"/>
        <w:rPr>
          <w:sz w:val="20"/>
          <w:szCs w:val="20"/>
          <w:color w:val="auto"/>
        </w:rPr>
      </w:pPr>
    </w:p>
    <w:p>
      <w:pPr>
        <w:ind w:right="320"/>
        <w:spacing w:after="0" w:line="339" w:lineRule="auto"/>
        <w:rPr>
          <w:sz w:val="20"/>
          <w:szCs w:val="20"/>
          <w:color w:val="auto"/>
        </w:rPr>
      </w:pPr>
      <w:r>
        <w:rPr>
          <w:rFonts w:ascii="Arial" w:cs="Arial" w:eastAsia="Arial" w:hAnsi="Arial"/>
          <w:sz w:val="16"/>
          <w:szCs w:val="16"/>
          <w:color w:val="auto"/>
        </w:rPr>
        <w:t>We seek to operate our business in an environmentally responsible way to comply with evolving regulatory standards for climate impact, to take steps to reduce our environmental impact and use sustainable practices where feasible.</w:t>
      </w:r>
    </w:p>
    <w:p>
      <w:pPr>
        <w:spacing w:after="0" w:line="47" w:lineRule="exact"/>
        <w:rPr>
          <w:sz w:val="20"/>
          <w:szCs w:val="20"/>
          <w:color w:val="auto"/>
        </w:rPr>
      </w:pPr>
    </w:p>
    <w:p>
      <w:pPr>
        <w:ind w:left="660" w:right="560" w:hanging="328"/>
        <w:spacing w:after="0" w:line="321"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2023, we developed a governance, oversight and project management structure for our CSSI Planet pillar, which is intended to guide and support our environmental sustainability objectives.</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Athlone, Villa Guardia, and Kent Science Park manufacturing sites purchased and consumed 100% renewable electricity in 2023.</w:t>
      </w:r>
    </w:p>
    <w:p>
      <w:pPr>
        <w:spacing w:after="0" w:line="153" w:lineRule="exact"/>
        <w:rPr>
          <w:rFonts w:ascii="Arial" w:cs="Arial" w:eastAsia="Arial" w:hAnsi="Arial"/>
          <w:sz w:val="16"/>
          <w:szCs w:val="16"/>
          <w:color w:val="auto"/>
        </w:rPr>
      </w:pPr>
    </w:p>
    <w:p>
      <w:pPr>
        <w:ind w:left="660" w:right="260" w:hanging="328"/>
        <w:spacing w:after="0" w:line="339"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From 2022 to 2023, energy use at the Athlone site was reduced approximately 20% resulting from energy conservation and efficiency initiatives, despite an increase in production volumes and capacity.</w:t>
      </w:r>
    </w:p>
    <w:p>
      <w:pPr>
        <w:spacing w:after="0" w:line="33" w:lineRule="exact"/>
        <w:rPr>
          <w:rFonts w:ascii="Arial" w:cs="Arial" w:eastAsia="Arial" w:hAnsi="Arial"/>
          <w:sz w:val="16"/>
          <w:szCs w:val="16"/>
          <w:color w:val="auto"/>
        </w:rPr>
      </w:pPr>
    </w:p>
    <w:p>
      <w:pPr>
        <w:ind w:left="660" w:right="320" w:hanging="328"/>
        <w:spacing w:after="0" w:line="339"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Environmental Management System programs support Jazz in enhancing our environmental performance and achieving our environmental sustainability objectives through monitoring of our energy use, waste generation, water use, water discharges, and emissions.</w:t>
      </w:r>
    </w:p>
    <w:p>
      <w:pPr>
        <w:spacing w:after="0" w:line="61"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color w:val="auto"/>
        </w:rPr>
        <w:t>To learn more about Jazz Corporate Sustainability and Social Impact, visit www.jazzpharmaceuticals.com. The reference to our website address here and elsewhere in this proxy statement does not constitute incorporation by reference of the information contained at or available through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27171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181" w:lineRule="exact"/>
        <w:rPr>
          <w:sz w:val="20"/>
          <w:szCs w:val="20"/>
          <w:color w:val="auto"/>
        </w:rPr>
      </w:pPr>
    </w:p>
    <w:p>
      <w:pPr>
        <w:ind w:left="340" w:hanging="314"/>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Board of directors and executive committee diversity representation as of June 1, 2024.</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57" w:lineRule="exact"/>
        <w:rPr>
          <w:rFonts w:ascii="Arial" w:cs="Arial" w:eastAsia="Arial" w:hAnsi="Arial"/>
          <w:sz w:val="14"/>
          <w:szCs w:val="14"/>
          <w:color w:val="auto"/>
        </w:rPr>
      </w:pPr>
    </w:p>
    <w:p>
      <w:pPr>
        <w:ind w:left="20"/>
        <w:spacing w:after="0"/>
        <w:rPr>
          <w:rFonts w:ascii="Arial" w:cs="Arial" w:eastAsia="Arial" w:hAnsi="Arial"/>
          <w:sz w:val="14"/>
          <w:szCs w:val="14"/>
          <w:color w:val="auto"/>
        </w:rPr>
      </w:pPr>
      <w:r>
        <w:rPr>
          <w:rFonts w:ascii="Arial" w:cs="Arial" w:eastAsia="Arial" w:hAnsi="Arial"/>
          <w:sz w:val="14"/>
          <w:szCs w:val="14"/>
          <w:color w:val="auto"/>
        </w:rPr>
        <w:t xml:space="preserve">82024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9" w:right="35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852166"/>
        </w:rPr>
        <w:t>Summary of Shareholder Voting Matters and Board Recommendations</w:t>
      </w:r>
    </w:p>
    <w:p>
      <w:pPr>
        <w:spacing w:after="0" w:line="131" w:lineRule="exact"/>
        <w:rPr>
          <w:sz w:val="20"/>
          <w:szCs w:val="20"/>
          <w:color w:val="auto"/>
        </w:rPr>
      </w:pPr>
    </w:p>
    <w:p>
      <w:pPr>
        <w:ind w:right="540"/>
        <w:spacing w:after="0" w:line="339" w:lineRule="auto"/>
        <w:rPr>
          <w:sz w:val="20"/>
          <w:szCs w:val="20"/>
          <w:color w:val="auto"/>
        </w:rPr>
      </w:pPr>
      <w:r>
        <w:rPr>
          <w:rFonts w:ascii="Arial" w:cs="Arial" w:eastAsia="Arial" w:hAnsi="Arial"/>
          <w:sz w:val="16"/>
          <w:szCs w:val="16"/>
          <w:color w:val="auto"/>
        </w:rPr>
        <w:t>For the reasons set forth below and in the rest of this proxy statement, our board recommends that you vote your shares “FOR” each of the nominees named below for director to hold office until the 2027 annual meeting of shareholders and “FOR” each of the other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p>
      <w:pPr>
        <w:ind w:left="20"/>
        <w:spacing w:after="0"/>
        <w:rPr>
          <w:sz w:val="20"/>
          <w:szCs w:val="20"/>
          <w:color w:val="auto"/>
        </w:rPr>
      </w:pPr>
      <w:r>
        <w:rPr>
          <w:rFonts w:ascii="Arial" w:cs="Arial" w:eastAsia="Arial" w:hAnsi="Arial"/>
          <w:sz w:val="20"/>
          <w:szCs w:val="20"/>
          <w:color w:val="auto"/>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0"/>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p>
      <w:pPr>
        <w:spacing w:after="0" w:line="223" w:lineRule="exact"/>
        <w:rPr>
          <w:sz w:val="20"/>
          <w:szCs w:val="20"/>
          <w:color w:val="auto"/>
        </w:rPr>
      </w:pPr>
    </w:p>
    <w:p>
      <w:pPr>
        <w:ind w:left="140" w:right="20"/>
        <w:spacing w:after="0" w:line="349" w:lineRule="auto"/>
        <w:rPr>
          <w:sz w:val="20"/>
          <w:szCs w:val="20"/>
          <w:color w:val="auto"/>
        </w:rPr>
      </w:pPr>
      <w:r>
        <w:rPr>
          <w:rFonts w:ascii="Arial" w:cs="Arial" w:eastAsia="Arial" w:hAnsi="Arial"/>
          <w:sz w:val="16"/>
          <w:szCs w:val="16"/>
          <w:b w:val="1"/>
          <w:bCs w:val="1"/>
          <w:color w:val="auto"/>
        </w:rPr>
        <w:t>Our board recommends a vote “FOR” each of the named nominees.</w:t>
      </w:r>
    </w:p>
    <w:p>
      <w:pPr>
        <w:spacing w:after="0" w:line="32" w:lineRule="exact"/>
        <w:rPr>
          <w:sz w:val="20"/>
          <w:szCs w:val="20"/>
          <w:color w:val="auto"/>
        </w:rPr>
      </w:pPr>
    </w:p>
    <w:p>
      <w:pPr>
        <w:ind w:left="140"/>
        <w:spacing w:after="0" w:line="307" w:lineRule="auto"/>
        <w:rPr>
          <w:sz w:val="20"/>
          <w:szCs w:val="20"/>
          <w:color w:val="auto"/>
        </w:rPr>
      </w:pPr>
      <w:r>
        <w:rPr>
          <w:rFonts w:ascii="Arial" w:cs="Arial" w:eastAsia="Arial" w:hAnsi="Arial"/>
          <w:sz w:val="16"/>
          <w:szCs w:val="16"/>
          <w:b w:val="1"/>
          <w:bCs w:val="1"/>
          <w:color w:val="auto"/>
        </w:rPr>
        <w:t>Vote required to elect each nominee to hold office until the 2027 annual meeting of shareholders: Affirmative vote of a majority of the votes cast on his or her election.</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For more information,</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see Proposal 1 starting on page 14.</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are asking our shareholders to vote, by separate resolutions, on the election of each of Patrick Kennedy, Kenneth W. O’Keefe and Mark D. Smith, M.D., as well as nominee Laura J. Hamill to hold office until the 2027 annual meeting of shareholders. Detailed information about each nominee’s background and experience can be found beginning on page 14.</w:t>
      </w:r>
    </w:p>
    <w:p>
      <w:pPr>
        <w:spacing w:after="0" w:line="74"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auto"/>
        </w:rPr>
        <w:t>Each of the nominees for director was nominated for election by our board upon the recommendation of our nominating committee. Our board believes that each nominee has the specific experience, qualifications, attributes and skills to serve as a member of the board of directors and has demonstrated the ability to devote sufficient time and attention to board duties and to otherwise fulfill the responsibilities required of directors. See “Corporate Governance and Board Matters—Director Commitments” beginning on page 24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443865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360"/>
            <w:col w:w="7900"/>
          </w:cols>
          <w:pgMar w:left="320" w:top="1155" w:right="339" w:bottom="1440" w:gutter="0" w:footer="0" w:header="0"/>
          <w:type w:val="continuous"/>
        </w:sectPr>
      </w:pPr>
    </w:p>
    <w:p>
      <w:pPr>
        <w:spacing w:after="0" w:line="200" w:lineRule="exact"/>
        <w:rPr>
          <w:sz w:val="20"/>
          <w:szCs w:val="20"/>
          <w:color w:val="auto"/>
        </w:rPr>
      </w:pPr>
    </w:p>
    <w:p>
      <w:pPr>
        <w:spacing w:after="0" w:line="345" w:lineRule="exact"/>
        <w:rPr>
          <w:sz w:val="20"/>
          <w:szCs w:val="20"/>
          <w:color w:val="auto"/>
        </w:rPr>
      </w:pPr>
    </w:p>
    <w:p>
      <w:pPr>
        <w:jc w:val="both"/>
        <w:ind w:left="20" w:right="60"/>
        <w:spacing w:after="0" w:line="305" w:lineRule="auto"/>
        <w:rPr>
          <w:sz w:val="20"/>
          <w:szCs w:val="20"/>
          <w:color w:val="auto"/>
        </w:rPr>
      </w:pPr>
      <w:r>
        <w:rPr>
          <w:rFonts w:ascii="Arial" w:cs="Arial" w:eastAsia="Arial" w:hAnsi="Arial"/>
          <w:sz w:val="20"/>
          <w:szCs w:val="20"/>
          <w:color w:val="auto"/>
        </w:rPr>
        <w:t>Proposal 2 — Ratify, on a Non-Binding Advisory Basis, the Appointment of KPMG as the Independent Auditors for the Financial Year Ending December 31, 2024 and Authorize, in a Binding Vote, our Board of Directors, Acting Through our Audit Committee, to Determine KPMG’s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830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83080"/>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type w:val="continuous"/>
        </w:sectPr>
      </w:pPr>
    </w:p>
    <w:p>
      <w:pPr>
        <w:spacing w:after="0" w:line="157" w:lineRule="exact"/>
        <w:rPr>
          <w:sz w:val="20"/>
          <w:szCs w:val="20"/>
          <w:color w:val="auto"/>
        </w:rPr>
      </w:pPr>
    </w:p>
    <w:p>
      <w:pPr>
        <w:ind w:left="140" w:right="360"/>
        <w:spacing w:after="0" w:line="332" w:lineRule="auto"/>
        <w:rPr>
          <w:sz w:val="20"/>
          <w:szCs w:val="20"/>
          <w:color w:val="auto"/>
        </w:rPr>
      </w:pPr>
      <w:r>
        <w:rPr>
          <w:rFonts w:ascii="Arial" w:cs="Arial" w:eastAsia="Arial" w:hAnsi="Arial"/>
          <w:sz w:val="16"/>
          <w:szCs w:val="16"/>
          <w:b w:val="1"/>
          <w:bCs w:val="1"/>
          <w:color w:val="auto"/>
        </w:rPr>
        <w:t>Our board recommends a vote “FOR” this proposal.</w:t>
      </w:r>
    </w:p>
    <w:p>
      <w:pPr>
        <w:spacing w:after="0" w:line="44" w:lineRule="exact"/>
        <w:rPr>
          <w:sz w:val="20"/>
          <w:szCs w:val="20"/>
          <w:color w:val="auto"/>
        </w:rPr>
      </w:pPr>
    </w:p>
    <w:p>
      <w:pPr>
        <w:ind w:left="140"/>
        <w:spacing w:after="0" w:line="324" w:lineRule="auto"/>
        <w:rPr>
          <w:sz w:val="20"/>
          <w:szCs w:val="20"/>
          <w:color w:val="auto"/>
        </w:rPr>
      </w:pPr>
      <w:r>
        <w:rPr>
          <w:rFonts w:ascii="Arial" w:cs="Arial" w:eastAsia="Arial" w:hAnsi="Arial"/>
          <w:sz w:val="16"/>
          <w:szCs w:val="16"/>
          <w:b w:val="1"/>
          <w:bCs w:val="1"/>
          <w:color w:val="auto"/>
        </w:rPr>
        <w:t>Vote required for approval: Affirmative vote of a majority of the votes cast on the proposal.</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For more information,</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see Proposal 2 starting on page 92.</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260"/>
        <w:spacing w:after="0" w:line="303" w:lineRule="auto"/>
        <w:rPr>
          <w:sz w:val="20"/>
          <w:szCs w:val="20"/>
          <w:color w:val="auto"/>
        </w:rPr>
      </w:pPr>
      <w:r>
        <w:rPr>
          <w:rFonts w:ascii="Arial" w:cs="Arial" w:eastAsia="Arial" w:hAnsi="Arial"/>
          <w:sz w:val="16"/>
          <w:szCs w:val="16"/>
          <w:color w:val="auto"/>
        </w:rPr>
        <w:t>Under Irish law, KPMG will be deemed to be reappointed as our independent auditors for the financial year ending December 31, 2024, without needing a shareholder vote at the annual meeting. However, our shareholders are being asked to ratify KPMG’s appointment on a non-binding advisory basis because we value our shareholders’ views on our independent auditors. Our board and our audit committee intend to consider the results of this vote in making determinations in the future regarding the appointment of our company’s independent auditors.</w:t>
      </w:r>
    </w:p>
    <w:p>
      <w:pPr>
        <w:spacing w:after="0" w:line="64" w:lineRule="exact"/>
        <w:rPr>
          <w:sz w:val="20"/>
          <w:szCs w:val="20"/>
          <w:color w:val="auto"/>
        </w:rPr>
      </w:pPr>
    </w:p>
    <w:p>
      <w:pPr>
        <w:ind w:right="660"/>
        <w:spacing w:after="0" w:line="339" w:lineRule="auto"/>
        <w:rPr>
          <w:sz w:val="20"/>
          <w:szCs w:val="20"/>
          <w:color w:val="auto"/>
        </w:rPr>
      </w:pPr>
      <w:r>
        <w:rPr>
          <w:rFonts w:ascii="Arial" w:cs="Arial" w:eastAsia="Arial" w:hAnsi="Arial"/>
          <w:sz w:val="16"/>
          <w:szCs w:val="16"/>
          <w:color w:val="auto"/>
        </w:rPr>
        <w:t>Our shareholders are also being asked to authorize our board, acting through our audit committee, to determine KPMG’s remuneration. This authorization is required by Irish law.</w:t>
      </w:r>
    </w:p>
    <w:p>
      <w:pPr>
        <w:spacing w:after="0" w:line="47" w:lineRule="exact"/>
        <w:rPr>
          <w:sz w:val="20"/>
          <w:szCs w:val="20"/>
          <w:color w:val="auto"/>
        </w:rPr>
      </w:pPr>
    </w:p>
    <w:p>
      <w:pPr>
        <w:ind w:right="260"/>
        <w:spacing w:after="0" w:line="339" w:lineRule="auto"/>
        <w:rPr>
          <w:sz w:val="20"/>
          <w:szCs w:val="20"/>
          <w:color w:val="auto"/>
        </w:rPr>
      </w:pPr>
      <w:r>
        <w:rPr>
          <w:rFonts w:ascii="Arial" w:cs="Arial" w:eastAsia="Arial" w:hAnsi="Arial"/>
          <w:sz w:val="16"/>
          <w:szCs w:val="16"/>
          <w:color w:val="auto"/>
        </w:rPr>
        <w:t>Less than 1% of the total fees that KPMG billed us for services last year were for services other than audit, audit-related and tax compliance services.</w:t>
      </w:r>
    </w:p>
    <w:p>
      <w:pPr>
        <w:spacing w:after="0" w:line="200" w:lineRule="exact"/>
        <w:rPr>
          <w:sz w:val="20"/>
          <w:szCs w:val="20"/>
          <w:color w:val="auto"/>
        </w:rPr>
      </w:pPr>
    </w:p>
    <w:p>
      <w:pPr>
        <w:sectPr>
          <w:pgSz w:w="11900" w:h="16838" w:orient="portrait"/>
          <w:cols w:equalWidth="0" w:num="2">
            <w:col w:w="2860" w:space="480"/>
            <w:col w:w="7900"/>
          </w:cols>
          <w:pgMar w:left="320" w:top="115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6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2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393"/>
        </w:trPr>
        <w:tc>
          <w:tcPr>
            <w:tcW w:w="10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697865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t>Proposal 3 — Non-Binding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32320" cy="25114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511425"/>
                    </a:xfrm>
                    <a:prstGeom prst="rect">
                      <a:avLst/>
                    </a:prstGeom>
                    <a:noFill/>
                  </pic:spPr>
                </pic:pic>
              </a:graphicData>
            </a:graphic>
          </wp:anchor>
        </w:drawing>
      </w:r>
    </w:p>
    <w:p>
      <w:pPr>
        <w:sectPr>
          <w:pgSz w:w="11900" w:h="16838" w:orient="portrait"/>
          <w:cols w:equalWidth="0" w:num="1">
            <w:col w:w="11160"/>
          </w:cols>
          <w:pgMar w:left="340" w:top="1144" w:right="399" w:bottom="1440" w:gutter="0" w:footer="0" w:header="0"/>
        </w:sectPr>
      </w:pPr>
    </w:p>
    <w:p>
      <w:pPr>
        <w:spacing w:after="0" w:line="262" w:lineRule="exact"/>
        <w:rPr>
          <w:sz w:val="20"/>
          <w:szCs w:val="20"/>
          <w:color w:val="auto"/>
        </w:rPr>
      </w:pPr>
    </w:p>
    <w:p>
      <w:pPr>
        <w:ind w:left="120" w:right="360"/>
        <w:spacing w:after="0" w:line="349" w:lineRule="auto"/>
        <w:rPr>
          <w:sz w:val="20"/>
          <w:szCs w:val="20"/>
          <w:color w:val="auto"/>
        </w:rPr>
      </w:pPr>
      <w:r>
        <w:rPr>
          <w:rFonts w:ascii="Arial" w:cs="Arial" w:eastAsia="Arial" w:hAnsi="Arial"/>
          <w:sz w:val="16"/>
          <w:szCs w:val="16"/>
          <w:b w:val="1"/>
          <w:bCs w:val="1"/>
          <w:color w:val="auto"/>
        </w:rPr>
        <w:t>Our board recommends a vote “FOR” this proposal.</w:t>
      </w:r>
    </w:p>
    <w:p>
      <w:pPr>
        <w:spacing w:after="0" w:line="18" w:lineRule="exact"/>
        <w:rPr>
          <w:sz w:val="20"/>
          <w:szCs w:val="20"/>
          <w:color w:val="auto"/>
        </w:rPr>
      </w:pPr>
    </w:p>
    <w:p>
      <w:pPr>
        <w:ind w:left="120"/>
        <w:spacing w:after="0" w:line="324" w:lineRule="auto"/>
        <w:rPr>
          <w:sz w:val="20"/>
          <w:szCs w:val="20"/>
          <w:color w:val="auto"/>
        </w:rPr>
      </w:pPr>
      <w:r>
        <w:rPr>
          <w:rFonts w:ascii="Arial" w:cs="Arial" w:eastAsia="Arial" w:hAnsi="Arial"/>
          <w:sz w:val="16"/>
          <w:szCs w:val="16"/>
          <w:b w:val="1"/>
          <w:bCs w:val="1"/>
          <w:color w:val="auto"/>
        </w:rPr>
        <w:t>Vote required for approval: Affirmative vote of a majority of the votes cast on the proposal.</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For more information,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see Proposal 3 starting on page 95.</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are asking our shareholders for advisory approval of our NEOs’ compensation. This non-binding advisory vote is commonly referred to as a “say-on-pay” vote. Our executive compensation program is aligned with our business strategy and priorities and encourages executive officers to work for meaningful shareholder returns consistent with our pay-for-performance philosophy. Our executive compensation program focuses on target total direct compensation, combining short-term and long-term components, cash and equity, and fixed and variable payments, in the proportions that we believe are the most appropriate to incentivize and reward our executive officers for achieving our corporate goals while minimizing incentives for excessive risk-taking or unethical conduct. Our annual performance bonus awards are not earned unless pre-determined levels of performance are achieved against annual corporate objectives approved by our board of directors at the beginning of the year. We also have executive share ownership guidelines to further support our ownership culture and align the interests of executive officers and shareholders. Further, in 2021 we implemented a new performance-based equity program tied to the achievement of critical multi-year financial and other strategic objectives as well as relative total shareholder return goals, with performance-based restricted stock unit awards making up approximately 50% of each NEO’s target annual equity grant, and time-vested restricted stock unit awards making up the other approximately 50%. Our 2023 advisory say-on-pay proposal was approved by approximately 92% of total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439420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480"/>
            <w:col w:w="7840"/>
          </w:cols>
          <w:pgMar w:left="340" w:top="1144" w:right="39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color w:val="auto"/>
        </w:rPr>
        <w:t>Proposal 4 — Non-Binding Advisory Vote on the Preferred Frequency of the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32320" cy="17830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83080"/>
                    </a:xfrm>
                    <a:prstGeom prst="rect">
                      <a:avLst/>
                    </a:prstGeom>
                    <a:noFill/>
                  </pic:spPr>
                </pic:pic>
              </a:graphicData>
            </a:graphic>
          </wp:anchor>
        </w:drawing>
      </w:r>
    </w:p>
    <w:p>
      <w:pPr>
        <w:sectPr>
          <w:pgSz w:w="11900" w:h="16838" w:orient="portrait"/>
          <w:cols w:equalWidth="0" w:num="1">
            <w:col w:w="11160"/>
          </w:cols>
          <w:pgMar w:left="340" w:top="1144" w:right="399" w:bottom="1440" w:gutter="0" w:footer="0" w:header="0"/>
          <w:type w:val="continuous"/>
        </w:sectPr>
      </w:pPr>
    </w:p>
    <w:p>
      <w:pPr>
        <w:spacing w:after="0" w:line="262" w:lineRule="exact"/>
        <w:rPr>
          <w:sz w:val="20"/>
          <w:szCs w:val="20"/>
          <w:color w:val="auto"/>
        </w:rPr>
      </w:pPr>
    </w:p>
    <w:p>
      <w:pPr>
        <w:ind w:left="120" w:right="180"/>
        <w:spacing w:after="0" w:line="324" w:lineRule="auto"/>
        <w:rPr>
          <w:sz w:val="20"/>
          <w:szCs w:val="20"/>
          <w:color w:val="auto"/>
        </w:rPr>
      </w:pPr>
      <w:r>
        <w:rPr>
          <w:rFonts w:ascii="Arial" w:cs="Arial" w:eastAsia="Arial" w:hAnsi="Arial"/>
          <w:sz w:val="16"/>
          <w:szCs w:val="16"/>
          <w:b w:val="1"/>
          <w:bCs w:val="1"/>
          <w:color w:val="auto"/>
        </w:rPr>
        <w:t>Our board recommends that you vote for the frequency option of every “1 YEAR” for this proposal.</w:t>
      </w:r>
    </w:p>
    <w:p>
      <w:pPr>
        <w:spacing w:after="0" w:line="51" w:lineRule="exact"/>
        <w:rPr>
          <w:sz w:val="20"/>
          <w:szCs w:val="20"/>
          <w:color w:val="auto"/>
        </w:rPr>
      </w:pPr>
    </w:p>
    <w:p>
      <w:pPr>
        <w:ind w:left="120"/>
        <w:spacing w:after="0" w:line="307" w:lineRule="auto"/>
        <w:rPr>
          <w:sz w:val="20"/>
          <w:szCs w:val="20"/>
          <w:color w:val="auto"/>
        </w:rPr>
      </w:pPr>
      <w:r>
        <w:rPr>
          <w:rFonts w:ascii="Arial" w:cs="Arial" w:eastAsia="Arial" w:hAnsi="Arial"/>
          <w:sz w:val="16"/>
          <w:szCs w:val="16"/>
          <w:b w:val="1"/>
          <w:bCs w:val="1"/>
          <w:color w:val="auto"/>
        </w:rPr>
        <w:t>Vote required: The frequency option that receives the affirmative vote of a majority of the votes cast will be deemed to be the frequency preferred by our shareholders.</w:t>
      </w:r>
    </w:p>
    <w:p>
      <w:pPr>
        <w:spacing w:after="0" w:line="6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For more information,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see Proposal 4 starting on page 97.</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color w:val="auto"/>
        </w:rPr>
        <w:t>We are asking our shareholders for an advisory indication as to whether they would prefer a say-on-pay vote every year, every two years or every three years, or abstain from providing any indication.</w:t>
      </w:r>
    </w:p>
    <w:p>
      <w:pPr>
        <w:spacing w:after="0" w:line="47"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Our board believes that an annual say-on-pay vote has worked well for us and has determined that an annual say-on-pay vote will continue to permit our shareholders to provide direct input on our executive compensation program as disclosed in our proxy statement each year, which is consistent with our efforts to engage in an ongoing dialogue with our shareholders on executive compensation and other corporate governance matters.</w:t>
      </w:r>
    </w:p>
    <w:p>
      <w:pPr>
        <w:spacing w:after="0" w:line="1191" w:lineRule="exact"/>
        <w:rPr>
          <w:sz w:val="20"/>
          <w:szCs w:val="20"/>
          <w:color w:val="auto"/>
        </w:rPr>
      </w:pPr>
    </w:p>
    <w:p>
      <w:pPr>
        <w:sectPr>
          <w:pgSz w:w="11900" w:h="16838" w:orient="portrait"/>
          <w:cols w:equalWidth="0" w:num="2">
            <w:col w:w="2900" w:space="420"/>
            <w:col w:w="7840"/>
          </w:cols>
          <w:pgMar w:left="340" w:top="1144"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259715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144" w:right="399" w:bottom="1440" w:gutter="0" w:footer="0" w:header="0"/>
          <w:type w:val="continuous"/>
        </w:sectPr>
      </w:pPr>
    </w:p>
    <w:bookmarkStart w:id="14" w:name="page15"/>
    <w:bookmarkEnd w:id="14"/>
    <w:p>
      <w:pPr>
        <w:ind w:right="1140"/>
        <w:spacing w:after="0" w:line="314"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697865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t>Proposal 5 — Board Authority to Allot and Issue Ordinary Shares for Cash Without First Offering Shares to Existing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wp:posOffset>
            </wp:positionV>
            <wp:extent cx="7132320" cy="1577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577340"/>
                    </a:xfrm>
                    <a:prstGeom prst="rect">
                      <a:avLst/>
                    </a:prstGeom>
                    <a:noFill/>
                  </pic:spPr>
                </pic:pic>
              </a:graphicData>
            </a:graphic>
          </wp:anchor>
        </w:drawing>
      </w:r>
    </w:p>
    <w:p>
      <w:pPr>
        <w:sectPr>
          <w:pgSz w:w="11900" w:h="16838" w:orient="portrait"/>
          <w:cols w:equalWidth="0" w:num="1">
            <w:col w:w="11200"/>
          </w:cols>
          <w:pgMar w:left="340" w:top="1144" w:right="359" w:bottom="1440" w:gutter="0" w:footer="0" w:header="0"/>
        </w:sectPr>
      </w:pPr>
    </w:p>
    <w:p>
      <w:pPr>
        <w:spacing w:after="0" w:line="148" w:lineRule="exact"/>
        <w:rPr>
          <w:sz w:val="20"/>
          <w:szCs w:val="20"/>
          <w:color w:val="auto"/>
        </w:rPr>
      </w:pPr>
    </w:p>
    <w:p>
      <w:pPr>
        <w:ind w:left="120" w:right="400"/>
        <w:spacing w:after="0" w:line="349" w:lineRule="auto"/>
        <w:rPr>
          <w:sz w:val="20"/>
          <w:szCs w:val="20"/>
          <w:color w:val="auto"/>
        </w:rPr>
      </w:pPr>
      <w:r>
        <w:rPr>
          <w:rFonts w:ascii="Arial" w:cs="Arial" w:eastAsia="Arial" w:hAnsi="Arial"/>
          <w:sz w:val="16"/>
          <w:szCs w:val="16"/>
          <w:b w:val="1"/>
          <w:bCs w:val="1"/>
          <w:color w:val="auto"/>
        </w:rPr>
        <w:t>Our board recommends a vote “FOR” this proposal.</w:t>
      </w:r>
    </w:p>
    <w:p>
      <w:pPr>
        <w:spacing w:after="0" w:line="18" w:lineRule="exact"/>
        <w:rPr>
          <w:sz w:val="20"/>
          <w:szCs w:val="20"/>
          <w:color w:val="auto"/>
        </w:rPr>
      </w:pPr>
    </w:p>
    <w:p>
      <w:pPr>
        <w:ind w:left="120"/>
        <w:spacing w:after="0" w:line="324" w:lineRule="auto"/>
        <w:rPr>
          <w:sz w:val="20"/>
          <w:szCs w:val="20"/>
          <w:color w:val="auto"/>
        </w:rPr>
      </w:pPr>
      <w:r>
        <w:rPr>
          <w:rFonts w:ascii="Arial" w:cs="Arial" w:eastAsia="Arial" w:hAnsi="Arial"/>
          <w:sz w:val="16"/>
          <w:szCs w:val="16"/>
          <w:b w:val="1"/>
          <w:bCs w:val="1"/>
          <w:color w:val="auto"/>
        </w:rPr>
        <w:t>Vote required for approval: Affirmative vote of 75% of the votes cast on the proposal.</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For more information,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see Proposal 5 starting on page 98.</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We are asking our shareholders to renew the authority granted to our board at the 2023 annual meeting of shareholders, or 2023 AGM, to opt out of the pre-emption rights provision in the event of an issuance of shares for cash up to the amount of 20% of our issued ordinary share capital in the aggregate, for a period expiring on the date being 18 months from the passing of the resolution set forth in Proposal 5, unless otherwise varied, renewed or revoked.</w:t>
      </w:r>
    </w:p>
    <w:p>
      <w:pPr>
        <w:spacing w:after="0" w:line="77"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In general, unless otherwise authorized by shareholders, before an Irish public limited company can issue shares for cash (including rights to subscribe for, convert into or otherwise acquire any shares) to any new shareholders, it must first offer the shares or rights to existing shareholders of the company pro-rata to their existing shareholdings. Under Irish law, the authority to opt-out of this pre-emption right, which we call the pre-emption opt-out authority, can be granted by shareholders for a maximum period of five years, at which point it lapses unless renewed by shareholders.</w:t>
      </w:r>
    </w:p>
    <w:p>
      <w:pPr>
        <w:spacing w:after="0" w:line="78"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Granting our board the pre-emption opt-out authority on the terms set forth in Proposal 5 is vital to the way we intend to advance our business. In this regard, our strategy for growth is rooted in executing commercial launches and ongoing commercialization initiatives; advancing robust research and development programs and delivering impactful clinical results; effectively deploying capital to strengthen the prospects of achieving our short- and long-term goals through strategic corporate development; and delivering strong financial performance. In January 2022, we announced our Vision 2025, which aims to deliver sustainable growth and enhanced value, driving our continued transformation to an innovative, high-growth global pharmaceutical leader. The three core components of our Vision 2025 focus on commercial execution, pipeline productivity and operational excellence. In this regard, strategic capital allocation will continue to be an important driver of our growth, including investing in our current pipeline and facilitating our ability to continue corporate development.</w:t>
      </w:r>
    </w:p>
    <w:p>
      <w:pPr>
        <w:spacing w:after="0" w:line="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strategy for growth depends in part on our ability to quickly take advantage of strategic opportunities, including potential acquisitions and other capital-intensive transactions that we believe would increase shareholder value. Many of these opportunities are highly competitive, with multiple parties often offering comparable or even the same economics. If Proposal 5 is not approved, in each case where we propose to issue shares for cash consideration after February 3, 2025 and/or beyond the limits of our current pre-emption opt-out authority, we would first have to offer those shares on the same or more favorable terms to our existing shareholders pro-rata following a specific Irish statutory procedure and timeline in the absence of a new shareholder approval to dis-apply the pre-emption rights provision to the issuance of those shares. This could put us at a distinct disadvantage vis-à-vis many of our peers in competing for acquisitions and similar transactions (particularly since many of the companies with which we compete strategically are listed and incorporated in the U.S. and are not subject to similar pre-emption right restrictions), and might make it difficult for us to complete such transactions in a timely manner or at all, thus potentially limiting our ability to further our strategy for growth by deploying capital to meet strategic goals that are in the best interests of our shareholders. And importantly, we remain, like all U.S.-incorporated companies listed on The Nasdaq Stock Market LLC, or Nasdaq, subject to compliance with Nasdaq listing rules, including the Nasdaq shareholder approval requirements related to equity issuances.</w:t>
      </w:r>
    </w:p>
    <w:p>
      <w:pPr>
        <w:spacing w:after="0" w:line="84" w:lineRule="exact"/>
        <w:rPr>
          <w:sz w:val="20"/>
          <w:szCs w:val="20"/>
          <w:color w:val="auto"/>
        </w:rPr>
      </w:pPr>
    </w:p>
    <w:p>
      <w:pPr>
        <w:ind w:right="200"/>
        <w:spacing w:after="0" w:line="339" w:lineRule="auto"/>
        <w:rPr>
          <w:sz w:val="20"/>
          <w:szCs w:val="20"/>
          <w:color w:val="auto"/>
        </w:rPr>
      </w:pPr>
      <w:r>
        <w:rPr>
          <w:rFonts w:ascii="Arial" w:cs="Arial" w:eastAsia="Arial" w:hAnsi="Arial"/>
          <w:sz w:val="16"/>
          <w:szCs w:val="16"/>
          <w:color w:val="auto"/>
        </w:rPr>
        <w:t>We expect to next propose renewal of our board’s pre-emption opt-out authority at our 2025 annual general meeting of shareholders.</w:t>
      </w:r>
    </w:p>
    <w:p>
      <w:pPr>
        <w:spacing w:after="0" w:line="200" w:lineRule="exact"/>
        <w:rPr>
          <w:sz w:val="20"/>
          <w:szCs w:val="20"/>
          <w:color w:val="auto"/>
        </w:rPr>
      </w:pPr>
    </w:p>
    <w:p>
      <w:pPr>
        <w:sectPr>
          <w:pgSz w:w="11900" w:h="16838" w:orient="portrait"/>
          <w:cols w:equalWidth="0" w:num="2">
            <w:col w:w="2880" w:space="440"/>
            <w:col w:w="7880"/>
          </w:cols>
          <w:pgMar w:left="340" w:top="114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400"/>
        <w:spacing w:after="0"/>
        <w:tabs>
          <w:tab w:leader="none" w:pos="11040" w:val="left"/>
        </w:tabs>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r>
        <w:rPr>
          <w:sz w:val="20"/>
          <w:szCs w:val="20"/>
          <w:color w:val="auto"/>
        </w:rPr>
        <w:tab/>
      </w: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250825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44" w:right="3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697865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t>Proposal 6 — Adjournment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32320" cy="1423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23035"/>
                    </a:xfrm>
                    <a:prstGeom prst="rect">
                      <a:avLst/>
                    </a:prstGeom>
                    <a:noFill/>
                  </pic:spPr>
                </pic:pic>
              </a:graphicData>
            </a:graphic>
          </wp:anchor>
        </w:drawing>
      </w:r>
    </w:p>
    <w:p>
      <w:pPr>
        <w:sectPr>
          <w:pgSz w:w="11900" w:h="16838" w:orient="portrait"/>
          <w:cols w:equalWidth="0" w:num="1">
            <w:col w:w="11080"/>
          </w:cols>
          <w:pgMar w:left="340" w:top="1103" w:right="479" w:bottom="1440" w:gutter="0" w:footer="0" w:header="0"/>
        </w:sectPr>
      </w:pPr>
    </w:p>
    <w:p>
      <w:pPr>
        <w:spacing w:after="0" w:line="383" w:lineRule="exact"/>
        <w:rPr>
          <w:sz w:val="20"/>
          <w:szCs w:val="20"/>
          <w:color w:val="auto"/>
        </w:rPr>
      </w:pPr>
    </w:p>
    <w:p>
      <w:pPr>
        <w:ind w:left="120" w:right="460"/>
        <w:spacing w:after="0" w:line="349" w:lineRule="auto"/>
        <w:rPr>
          <w:sz w:val="20"/>
          <w:szCs w:val="20"/>
          <w:color w:val="auto"/>
        </w:rPr>
      </w:pPr>
      <w:r>
        <w:rPr>
          <w:rFonts w:ascii="Arial" w:cs="Arial" w:eastAsia="Arial" w:hAnsi="Arial"/>
          <w:sz w:val="16"/>
          <w:szCs w:val="16"/>
          <w:b w:val="1"/>
          <w:bCs w:val="1"/>
          <w:color w:val="auto"/>
        </w:rPr>
        <w:t>Our board recommends a vote “FOR” this proposal.</w:t>
      </w:r>
    </w:p>
    <w:p>
      <w:pPr>
        <w:spacing w:after="0" w:line="18" w:lineRule="exact"/>
        <w:rPr>
          <w:sz w:val="20"/>
          <w:szCs w:val="20"/>
          <w:color w:val="auto"/>
        </w:rPr>
      </w:pPr>
    </w:p>
    <w:p>
      <w:pPr>
        <w:ind w:left="120" w:right="100"/>
        <w:spacing w:after="0" w:line="324" w:lineRule="auto"/>
        <w:rPr>
          <w:sz w:val="20"/>
          <w:szCs w:val="20"/>
          <w:color w:val="auto"/>
        </w:rPr>
      </w:pPr>
      <w:r>
        <w:rPr>
          <w:rFonts w:ascii="Arial" w:cs="Arial" w:eastAsia="Arial" w:hAnsi="Arial"/>
          <w:sz w:val="16"/>
          <w:szCs w:val="16"/>
          <w:b w:val="1"/>
          <w:bCs w:val="1"/>
          <w:color w:val="auto"/>
        </w:rPr>
        <w:t>Vote required for approval: Affirmative vote of a majority of the votes cast on the proposal.</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For more information,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see Proposal 6 starting on page 100.</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color w:val="auto"/>
        </w:rPr>
        <w:t>We are asking our shareholders to vote on a proposal to approve any motion to adjourn the annual meeting, or any adjournments thereof, to another time and place to solicit additional proxies if there are insufficient votes at the time of the annual meeting to approve Proposal 5.</w:t>
      </w:r>
    </w:p>
    <w:p>
      <w:pPr>
        <w:spacing w:after="0" w:line="70"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Under Irish law, Proposal 5 is a special resolution, which requires no less than 75% of the votes of shareholders cast (in person or by proxy) at a general meeting to be voted “FOR” the proposal in order to be passed. Given the high vote threshold associated with Proposal 5, we are seeking your authority to adjourn the meeting to solicit additional proxies if there are insufficient votes at the time of the annual meeting to approve Proposal 5.</w:t>
      </w:r>
    </w:p>
    <w:p>
      <w:pPr>
        <w:spacing w:after="0" w:line="200" w:lineRule="exact"/>
        <w:rPr>
          <w:sz w:val="20"/>
          <w:szCs w:val="20"/>
          <w:color w:val="auto"/>
        </w:rPr>
      </w:pPr>
    </w:p>
    <w:p>
      <w:pPr>
        <w:sectPr>
          <w:pgSz w:w="11900" w:h="16838" w:orient="portrait"/>
          <w:cols w:equalWidth="0" w:num="2">
            <w:col w:w="2940" w:space="380"/>
            <w:col w:w="7760"/>
          </w:cols>
          <w:pgMar w:left="340" w:top="1103"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250825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103" w:right="479" w:bottom="1440" w:gutter="0" w:footer="0" w:header="0"/>
          <w:type w:val="continuous"/>
        </w:sectPr>
      </w:pPr>
    </w:p>
    <w:bookmarkStart w:id="16" w:name="page17"/>
    <w:bookmarkEnd w:id="16"/>
    <w:p>
      <w:pPr>
        <w:spacing w:after="0" w:line="2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2856865</wp:posOffset>
            </wp:positionH>
            <wp:positionV relativeFrom="page">
              <wp:posOffset>680720</wp:posOffset>
            </wp:positionV>
            <wp:extent cx="1834515" cy="308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834515" cy="3086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40"/>
          <w:szCs w:val="40"/>
          <w:b w:val="1"/>
          <w:bCs w:val="1"/>
          <w:color w:val="852166"/>
        </w:rPr>
        <w:t>PROXY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852166"/>
        </w:rPr>
        <w:t>FOR THE 2024 ANNUAL GENERAL MEETING OF SHAREHOLDERS TO BE HELD ON JULY 25, 2024</w:t>
      </w:r>
    </w:p>
    <w:p>
      <w:pPr>
        <w:spacing w:after="0" w:line="155" w:lineRule="exact"/>
        <w:rPr>
          <w:sz w:val="20"/>
          <w:szCs w:val="20"/>
          <w:color w:val="auto"/>
        </w:rPr>
      </w:pPr>
    </w:p>
    <w:p>
      <w:pPr>
        <w:ind w:left="4840"/>
        <w:spacing w:after="0"/>
        <w:rPr>
          <w:sz w:val="20"/>
          <w:szCs w:val="20"/>
          <w:color w:val="auto"/>
        </w:rPr>
      </w:pPr>
      <w:r>
        <w:rPr>
          <w:rFonts w:ascii="Arial" w:cs="Arial" w:eastAsia="Arial" w:hAnsi="Arial"/>
          <w:sz w:val="32"/>
          <w:szCs w:val="32"/>
          <w:b w:val="1"/>
          <w:bCs w:val="1"/>
          <w:color w:val="852166"/>
        </w:rPr>
        <w:t>GENERAL</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Purpose of this Proxy Statement and Other General Information</w:t>
      </w:r>
    </w:p>
    <w:p>
      <w:pPr>
        <w:spacing w:after="0" w:line="144"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auto"/>
        </w:rPr>
        <w:t>Our board is soliciting proxies for use at our 2024 annual general meeting of shareholders, or the annual meeting. This proxy statement contains important information for you to consider when deciding how to vote on the matters brought before the annual meeting. Please read it carefully. The Notice of Internet Availability of Proxy Materials and our proxy materials, which include this proxy statement, our annual letter to shareholders and our 2023 Annual Report on Form 10-K, are first being mailed to shareholders on or about June 14, 2024. Our proxy materials are also available online at https://materials.proxyvote.com/G50871. The specific proposals to be considered and acted upon at the annual meeting are summarized in the accompanying Notice of 2024 Annual General Meeting of Shareholders. Each proposal is described in more detail in this proxy statement.</w:t>
      </w:r>
    </w:p>
    <w:p>
      <w:pPr>
        <w:spacing w:after="0" w:line="64" w:lineRule="exact"/>
        <w:rPr>
          <w:sz w:val="20"/>
          <w:szCs w:val="20"/>
          <w:color w:val="auto"/>
        </w:rPr>
      </w:pPr>
    </w:p>
    <w:p>
      <w:pPr>
        <w:ind w:right="240"/>
        <w:spacing w:after="0" w:line="309" w:lineRule="auto"/>
        <w:rPr>
          <w:sz w:val="20"/>
          <w:szCs w:val="20"/>
          <w:color w:val="auto"/>
        </w:rPr>
      </w:pPr>
      <w:r>
        <w:rPr>
          <w:rFonts w:ascii="Arial" w:cs="Arial" w:eastAsia="Arial" w:hAnsi="Arial"/>
          <w:sz w:val="16"/>
          <w:szCs w:val="16"/>
          <w:color w:val="auto"/>
        </w:rPr>
        <w:t>This solicitation is made on behalf of our board and all solicitation expenses, including costs of preparing, assembling and mailing proxy materials and notices, will be borne by us.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 In addition, we have retained Alliance Advisors, a proxy solicitation firm, to assist in the solicitation of proxies for a fee of approximately $28,000 plus reimbursement of expenses.</w:t>
      </w:r>
    </w:p>
    <w:p>
      <w:pPr>
        <w:spacing w:after="0" w:line="58" w:lineRule="exact"/>
        <w:rPr>
          <w:sz w:val="20"/>
          <w:szCs w:val="20"/>
          <w:color w:val="auto"/>
        </w:rPr>
      </w:pPr>
    </w:p>
    <w:p>
      <w:pPr>
        <w:jc w:val="both"/>
        <w:ind w:right="80"/>
        <w:spacing w:after="0" w:line="319" w:lineRule="auto"/>
        <w:rPr>
          <w:sz w:val="20"/>
          <w:szCs w:val="20"/>
          <w:color w:val="auto"/>
        </w:rPr>
      </w:pPr>
      <w:r>
        <w:rPr>
          <w:rFonts w:ascii="Arial" w:cs="Arial" w:eastAsia="Arial" w:hAnsi="Arial"/>
          <w:sz w:val="16"/>
          <w:szCs w:val="16"/>
          <w:color w:val="auto"/>
        </w:rPr>
        <w:t>Our board has set the close of business on May 29, 2024 as the record date for the annual meeting. Shareholders of record who owned our ordinary shares on that date are entitled to vote at and attend the annual meeting. Each ordinary share is entitled to one vote. There were 63,062,356 of our ordinary shares outstanding and entitled to vote on the record date.</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407"/>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rPr>
          <w:sz w:val="20"/>
          <w:szCs w:val="20"/>
          <w:color w:val="auto"/>
        </w:rPr>
      </w:pPr>
      <w:r>
        <w:rPr>
          <w:rFonts w:ascii="Arial" w:cs="Arial" w:eastAsia="Arial" w:hAnsi="Arial"/>
          <w:sz w:val="32"/>
          <w:szCs w:val="32"/>
          <w:b w:val="1"/>
          <w:bCs w:val="1"/>
          <w:color w:val="852166"/>
        </w:rPr>
        <w:t>PROPOSAL 1</w:t>
      </w:r>
    </w:p>
    <w:p>
      <w:pPr>
        <w:spacing w:after="0" w:line="58" w:lineRule="exact"/>
        <w:rPr>
          <w:sz w:val="20"/>
          <w:szCs w:val="20"/>
          <w:color w:val="auto"/>
        </w:rPr>
      </w:pPr>
    </w:p>
    <w:p>
      <w:pPr>
        <w:spacing w:after="0"/>
        <w:rPr>
          <w:sz w:val="20"/>
          <w:szCs w:val="20"/>
          <w:color w:val="auto"/>
        </w:rPr>
      </w:pPr>
      <w:r>
        <w:rPr>
          <w:rFonts w:ascii="Arial" w:cs="Arial" w:eastAsia="Arial" w:hAnsi="Arial"/>
          <w:sz w:val="32"/>
          <w:szCs w:val="32"/>
          <w:b w:val="1"/>
          <w:bCs w:val="1"/>
          <w:color w:val="852166"/>
        </w:rPr>
        <w:t>ELECTION OF DIRECTORS</w:t>
      </w:r>
    </w:p>
    <w:p>
      <w:pPr>
        <w:spacing w:after="0" w:line="168"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Our board is divided into three classes, designated Class I, Class II and Class III. The term of the Class I directors will expire on the date of the annual meeting; the term of the Class II directors will expire on the date of the 2025 annual meeting of shareholders; and the term of the Class III directors will expire on the date of the 2026 annual meeting of shareholders. At each annual meeting of shareholders, successors to the directors whose term expires at that annual meeting are put forward for election for a three-year term.</w:t>
      </w:r>
    </w:p>
    <w:p>
      <w:pPr>
        <w:spacing w:after="0" w:line="6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Our board currently has 13 members and there are no vacancies. There are currently five directors in Class I whose term of office expires at the annual meeting. Three of the current Class I directors, Patrick Kennedy, Kenneth W. O’Keefe and Mark D. Smith, M.D., in addition to Class I nominee Laura J. Hamill, are standing for election at the annual meeting. All four Class I director nominees were nominated for election by our board upon the recommendation of our nominating committee. Mr. O’Keefe and Dr. Smith were previously elected to our board by our shareholders. Mr. Kennedy, who was identified by a third-party search firm, joined our board in March 2024 after being considered and recommended by our nominating committee. Ms. Hamill, who was identified by a third-party search firm, is standing for election at the annual meeting after being considered and recommended by our nominating committee.</w:t>
      </w:r>
    </w:p>
    <w:p>
      <w:pPr>
        <w:spacing w:after="0" w:line="303"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 xml:space="preserve">On February 23, 2024, Peter Gray, a current Class I director, notified us that he would not stand for re-election to our board upon the completion of his current term, which expires at the annual meeting. On May 31, 2024, Catherine A. Sohn, Pharm.D., a current Class I director, notified us that she would not stand for re-election to our board upon the completion of her current term, which expires at the annual meeting. As a result, our board will reduce to 12 members effective immediately prior to the annual meeting. Director departures bring into focus our continuing efforts with respect to our board refreshment strategy. For more information see </w:t>
      </w:r>
      <w:r>
        <w:rPr>
          <w:rFonts w:ascii="Arial" w:cs="Arial" w:eastAsia="Arial" w:hAnsi="Arial"/>
          <w:sz w:val="16"/>
          <w:szCs w:val="16"/>
          <w:i w:val="1"/>
          <w:iCs w:val="1"/>
          <w:color w:val="auto"/>
        </w:rPr>
        <w:t>Corporate Governance and Board Matters—Board Refreshment.</w:t>
      </w:r>
    </w:p>
    <w:p>
      <w:pPr>
        <w:spacing w:after="0" w:line="7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order to be elected as a director at the annual meeting to hold office until the 2027 annual meeting of shareholders, each nominee must be appointed by an ordinary resolution, meaning each must individually receive the affirmative vote of a majority of the votes cast by the holders of ordinary shares represented in person or by proxy at the annual meeting (including any adjournment thereof). Under our constitution, if, at any annual meeting of shareholders, the number of directors is reduced below the minimum prescribed by our board pursuant to our constitution due to the failure of any incumbent director nominee to receive the affirmative vote of a majority of the votes cast, then in those circumstances, the nominee or nominees (excluding Ms. Hamill, who is not an incumbent director) who receive the highest number of votes in favor of election will be elected in order to maintain such prescribed minimum number of directors. Each such incumbent director would remain a director (subject to the provisions of the 2014 Act and our constitution) only until the conclusion of the next annual meeting of shareholders unless he or she is re-elected at such time.</w:t>
      </w:r>
    </w:p>
    <w:p>
      <w:pPr>
        <w:spacing w:after="0" w:line="78" w:lineRule="exact"/>
        <w:rPr>
          <w:sz w:val="20"/>
          <w:szCs w:val="20"/>
          <w:color w:val="auto"/>
        </w:rPr>
      </w:pPr>
    </w:p>
    <w:p>
      <w:pPr>
        <w:ind w:right="100"/>
        <w:spacing w:after="0" w:line="300" w:lineRule="auto"/>
        <w:rPr>
          <w:sz w:val="20"/>
          <w:szCs w:val="20"/>
          <w:color w:val="auto"/>
        </w:rPr>
      </w:pPr>
      <w:r>
        <w:rPr>
          <w:rFonts w:ascii="Arial" w:cs="Arial" w:eastAsia="Arial" w:hAnsi="Arial"/>
          <w:sz w:val="16"/>
          <w:szCs w:val="16"/>
          <w:color w:val="auto"/>
        </w:rPr>
        <w:t>If any nominee becomes unavailable for election as a result of an unexpected occurrence, the proxy holders will vote your proxy for the election of any substitute nominee as may be proposed by our nominating committee. Each nominee has consented to being named as a nominee in this proxy statement and has agreed to serve if elected, and we have no reason to believe that any nominee will be unable to serve. If elected at the annual meeting by the affirmative vote of a majority of the votes cast on his election, each nominee would serve as a director until the 2027 annual meeting of shareholders and until his successor has been elected and qualified, or, if sooner, until his death, resignation, retirement, disqualification or removal. It is our policy to invite directors and nominees for director to attend annual meetings of shareholders. All twelve of our then-serving directors attended our 2023 annual meeting of shareholders.</w:t>
      </w:r>
    </w:p>
    <w:p>
      <w:pPr>
        <w:spacing w:after="0" w:line="78"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Vacancies on our board, including a vacancy that results from an increase in the authorized number of directors, may be filled only by the affirmative vote of a majority of the directors then in office, provided that a quorum is present at the relevant board meeting. A director elected by our board to fill a vacancy in a class will serve for the remainder of the full term of that class and until the director’s successor is elected and qualified, or, if sooner, until his or her death, resignation, retirement, disqualification or removal. Under our constitution, if the number of directors is increased, directors are apportioned among the classes to maintain the number of directors in each class as nearly equal as possible, or as the Chairperson of our board may otherwise direct.</w:t>
      </w:r>
    </w:p>
    <w:p>
      <w:pPr>
        <w:spacing w:after="0" w:line="77"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We believe our director nominees bring a variety of expertise, qualifications and skills. The table below summarizes some of the expertise, qualifications and skills of each individual director and director nominee. Further information on each director and director nominee, including some of their specific experience, qualifications or skills, is set forth in their biographies below.</w:t>
      </w:r>
    </w:p>
    <w:p>
      <w:pPr>
        <w:spacing w:after="0" w:line="200" w:lineRule="exact"/>
        <w:rPr>
          <w:sz w:val="20"/>
          <w:szCs w:val="20"/>
          <w:color w:val="auto"/>
        </w:rPr>
      </w:pPr>
    </w:p>
    <w:p>
      <w:pPr>
        <w:spacing w:after="0" w:line="354"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852166"/>
        </w:rPr>
        <w:t>Jazz Pharmaceuticals Board Skills and Experience Matrix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shd w:val="clear" w:color="auto" w:fill="852166"/>
          </w:tcPr>
          <w:p>
            <w:pPr>
              <w:spacing w:after="0"/>
              <w:rPr>
                <w:sz w:val="14"/>
                <w:szCs w:val="14"/>
                <w:color w:val="auto"/>
              </w:rPr>
            </w:pPr>
          </w:p>
        </w:tc>
        <w:tc>
          <w:tcPr>
            <w:tcW w:w="280" w:type="dxa"/>
            <w:vAlign w:val="bottom"/>
            <w:shd w:val="clear" w:color="auto" w:fill="852166"/>
          </w:tcPr>
          <w:p>
            <w:pPr>
              <w:spacing w:after="0"/>
              <w:rPr>
                <w:sz w:val="14"/>
                <w:szCs w:val="14"/>
                <w:color w:val="auto"/>
              </w:rPr>
            </w:pPr>
          </w:p>
        </w:tc>
        <w:tc>
          <w:tcPr>
            <w:tcW w:w="680" w:type="dxa"/>
            <w:vAlign w:val="bottom"/>
            <w:vMerge w:val="restart"/>
            <w:shd w:val="clear" w:color="auto" w:fill="852166"/>
          </w:tcPr>
          <w:p>
            <w:pPr>
              <w:jc w:val="center"/>
              <w:ind w:right="189"/>
              <w:spacing w:after="0"/>
              <w:rPr>
                <w:sz w:val="20"/>
                <w:szCs w:val="20"/>
                <w:color w:val="auto"/>
              </w:rPr>
            </w:pPr>
            <w:r>
              <w:rPr>
                <w:rFonts w:ascii="Arial" w:cs="Arial" w:eastAsia="Arial" w:hAnsi="Arial"/>
                <w:sz w:val="13"/>
                <w:szCs w:val="13"/>
                <w:b w:val="1"/>
                <w:bCs w:val="1"/>
                <w:color w:val="FFFFFF"/>
                <w:w w:val="97"/>
              </w:rPr>
              <w:t>Public</w:t>
            </w:r>
          </w:p>
        </w:tc>
        <w:tc>
          <w:tcPr>
            <w:tcW w:w="1040" w:type="dxa"/>
            <w:vAlign w:val="bottom"/>
            <w:shd w:val="clear" w:color="auto" w:fill="852166"/>
          </w:tcPr>
          <w:p>
            <w:pPr>
              <w:spacing w:after="0"/>
              <w:rPr>
                <w:sz w:val="14"/>
                <w:szCs w:val="14"/>
                <w:color w:val="auto"/>
              </w:rPr>
            </w:pPr>
          </w:p>
        </w:tc>
        <w:tc>
          <w:tcPr>
            <w:tcW w:w="820" w:type="dxa"/>
            <w:vAlign w:val="bottom"/>
            <w:shd w:val="clear" w:color="auto" w:fill="852166"/>
          </w:tcPr>
          <w:p>
            <w:pPr>
              <w:spacing w:after="0"/>
              <w:rPr>
                <w:sz w:val="14"/>
                <w:szCs w:val="14"/>
                <w:color w:val="auto"/>
              </w:rPr>
            </w:pPr>
          </w:p>
        </w:tc>
        <w:tc>
          <w:tcPr>
            <w:tcW w:w="920" w:type="dxa"/>
            <w:vAlign w:val="bottom"/>
            <w:shd w:val="clear" w:color="auto" w:fill="852166"/>
          </w:tcPr>
          <w:p>
            <w:pPr>
              <w:spacing w:after="0"/>
              <w:rPr>
                <w:sz w:val="14"/>
                <w:szCs w:val="14"/>
                <w:color w:val="auto"/>
              </w:rPr>
            </w:pPr>
          </w:p>
        </w:tc>
        <w:tc>
          <w:tcPr>
            <w:tcW w:w="1060" w:type="dxa"/>
            <w:vAlign w:val="bottom"/>
            <w:vMerge w:val="restart"/>
            <w:shd w:val="clear" w:color="auto" w:fill="852166"/>
          </w:tcPr>
          <w:p>
            <w:pPr>
              <w:jc w:val="center"/>
              <w:spacing w:after="0"/>
              <w:rPr>
                <w:sz w:val="20"/>
                <w:szCs w:val="20"/>
                <w:color w:val="auto"/>
              </w:rPr>
            </w:pPr>
            <w:r>
              <w:rPr>
                <w:rFonts w:ascii="Arial" w:cs="Arial" w:eastAsia="Arial" w:hAnsi="Arial"/>
                <w:sz w:val="13"/>
                <w:szCs w:val="13"/>
                <w:b w:val="1"/>
                <w:bCs w:val="1"/>
                <w:color w:val="FFFFFF"/>
                <w:w w:val="96"/>
              </w:rPr>
              <w:t>Merger and</w:t>
            </w:r>
          </w:p>
        </w:tc>
        <w:tc>
          <w:tcPr>
            <w:tcW w:w="980" w:type="dxa"/>
            <w:vAlign w:val="bottom"/>
            <w:shd w:val="clear" w:color="auto" w:fill="852166"/>
          </w:tcPr>
          <w:p>
            <w:pPr>
              <w:spacing w:after="0"/>
              <w:rPr>
                <w:sz w:val="14"/>
                <w:szCs w:val="14"/>
                <w:color w:val="auto"/>
              </w:rPr>
            </w:pPr>
          </w:p>
        </w:tc>
        <w:tc>
          <w:tcPr>
            <w:tcW w:w="1080" w:type="dxa"/>
            <w:vAlign w:val="bottom"/>
            <w:shd w:val="clear" w:color="auto" w:fill="852166"/>
          </w:tcPr>
          <w:p>
            <w:pPr>
              <w:jc w:val="center"/>
              <w:spacing w:after="0"/>
              <w:rPr>
                <w:sz w:val="20"/>
                <w:szCs w:val="20"/>
                <w:color w:val="auto"/>
              </w:rPr>
            </w:pPr>
            <w:r>
              <w:rPr>
                <w:rFonts w:ascii="Arial" w:cs="Arial" w:eastAsia="Arial" w:hAnsi="Arial"/>
                <w:sz w:val="13"/>
                <w:szCs w:val="13"/>
                <w:b w:val="1"/>
                <w:bCs w:val="1"/>
                <w:color w:val="FFFFFF"/>
                <w:w w:val="96"/>
              </w:rPr>
              <w:t>Scientific</w:t>
            </w:r>
          </w:p>
        </w:tc>
        <w:tc>
          <w:tcPr>
            <w:tcW w:w="980" w:type="dxa"/>
            <w:vAlign w:val="bottom"/>
            <w:shd w:val="clear" w:color="auto" w:fill="852166"/>
          </w:tcPr>
          <w:p>
            <w:pPr>
              <w:spacing w:after="0"/>
              <w:rPr>
                <w:sz w:val="14"/>
                <w:szCs w:val="14"/>
                <w:color w:val="auto"/>
              </w:rPr>
            </w:pPr>
          </w:p>
        </w:tc>
        <w:tc>
          <w:tcPr>
            <w:tcW w:w="980" w:type="dxa"/>
            <w:vAlign w:val="bottom"/>
            <w:shd w:val="clear" w:color="auto" w:fill="852166"/>
          </w:tcPr>
          <w:p>
            <w:pPr>
              <w:spacing w:after="0"/>
              <w:rPr>
                <w:sz w:val="14"/>
                <w:szCs w:val="14"/>
                <w:color w:val="auto"/>
              </w:rPr>
            </w:pPr>
          </w:p>
        </w:tc>
        <w:tc>
          <w:tcPr>
            <w:tcW w:w="700" w:type="dxa"/>
            <w:vAlign w:val="bottom"/>
            <w:shd w:val="clear" w:color="auto" w:fill="852166"/>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852166"/>
          </w:tcPr>
          <w:p>
            <w:pPr>
              <w:spacing w:after="0"/>
              <w:rPr>
                <w:sz w:val="12"/>
                <w:szCs w:val="12"/>
                <w:color w:val="auto"/>
              </w:rPr>
            </w:pPr>
          </w:p>
        </w:tc>
        <w:tc>
          <w:tcPr>
            <w:tcW w:w="280" w:type="dxa"/>
            <w:vAlign w:val="bottom"/>
            <w:shd w:val="clear" w:color="auto" w:fill="852166"/>
          </w:tcPr>
          <w:p>
            <w:pPr>
              <w:spacing w:after="0"/>
              <w:rPr>
                <w:sz w:val="12"/>
                <w:szCs w:val="12"/>
                <w:color w:val="auto"/>
              </w:rPr>
            </w:pPr>
          </w:p>
        </w:tc>
        <w:tc>
          <w:tcPr>
            <w:tcW w:w="680" w:type="dxa"/>
            <w:vAlign w:val="bottom"/>
            <w:vMerge w:val="continue"/>
            <w:shd w:val="clear" w:color="auto" w:fill="852166"/>
          </w:tcPr>
          <w:p>
            <w:pPr>
              <w:spacing w:after="0"/>
              <w:rPr>
                <w:sz w:val="12"/>
                <w:szCs w:val="12"/>
                <w:color w:val="auto"/>
              </w:rPr>
            </w:pPr>
          </w:p>
        </w:tc>
        <w:tc>
          <w:tcPr>
            <w:tcW w:w="1040" w:type="dxa"/>
            <w:vAlign w:val="bottom"/>
            <w:vMerge w:val="restart"/>
            <w:shd w:val="clear" w:color="auto" w:fill="852166"/>
          </w:tcPr>
          <w:p>
            <w:pPr>
              <w:jc w:val="center"/>
              <w:spacing w:after="0"/>
              <w:rPr>
                <w:sz w:val="20"/>
                <w:szCs w:val="20"/>
                <w:color w:val="auto"/>
              </w:rPr>
            </w:pPr>
            <w:r>
              <w:rPr>
                <w:rFonts w:ascii="Arial" w:cs="Arial" w:eastAsia="Arial" w:hAnsi="Arial"/>
                <w:sz w:val="13"/>
                <w:szCs w:val="13"/>
                <w:b w:val="1"/>
                <w:bCs w:val="1"/>
                <w:color w:val="FFFFFF"/>
                <w:w w:val="94"/>
              </w:rPr>
              <w:t>C-Suite /</w:t>
            </w:r>
          </w:p>
        </w:tc>
        <w:tc>
          <w:tcPr>
            <w:tcW w:w="820" w:type="dxa"/>
            <w:vAlign w:val="bottom"/>
            <w:shd w:val="clear" w:color="auto" w:fill="852166"/>
          </w:tcPr>
          <w:p>
            <w:pPr>
              <w:spacing w:after="0"/>
              <w:rPr>
                <w:sz w:val="12"/>
                <w:szCs w:val="12"/>
                <w:color w:val="auto"/>
              </w:rPr>
            </w:pPr>
          </w:p>
        </w:tc>
        <w:tc>
          <w:tcPr>
            <w:tcW w:w="920" w:type="dxa"/>
            <w:vAlign w:val="bottom"/>
            <w:shd w:val="clear" w:color="auto" w:fill="852166"/>
          </w:tcPr>
          <w:p>
            <w:pPr>
              <w:spacing w:after="0"/>
              <w:rPr>
                <w:sz w:val="12"/>
                <w:szCs w:val="12"/>
                <w:color w:val="auto"/>
              </w:rPr>
            </w:pPr>
          </w:p>
        </w:tc>
        <w:tc>
          <w:tcPr>
            <w:tcW w:w="1060" w:type="dxa"/>
            <w:vAlign w:val="bottom"/>
            <w:vMerge w:val="continue"/>
            <w:shd w:val="clear" w:color="auto" w:fill="852166"/>
          </w:tcPr>
          <w:p>
            <w:pPr>
              <w:spacing w:after="0"/>
              <w:rPr>
                <w:sz w:val="12"/>
                <w:szCs w:val="12"/>
                <w:color w:val="auto"/>
              </w:rPr>
            </w:pPr>
          </w:p>
        </w:tc>
        <w:tc>
          <w:tcPr>
            <w:tcW w:w="980" w:type="dxa"/>
            <w:vAlign w:val="bottom"/>
            <w:shd w:val="clear" w:color="auto" w:fill="852166"/>
          </w:tcPr>
          <w:p>
            <w:pPr>
              <w:spacing w:after="0"/>
              <w:rPr>
                <w:sz w:val="12"/>
                <w:szCs w:val="12"/>
                <w:color w:val="auto"/>
              </w:rPr>
            </w:pPr>
          </w:p>
        </w:tc>
        <w:tc>
          <w:tcPr>
            <w:tcW w:w="1080" w:type="dxa"/>
            <w:vAlign w:val="bottom"/>
            <w:shd w:val="clear" w:color="auto" w:fill="852166"/>
          </w:tcPr>
          <w:p>
            <w:pPr>
              <w:jc w:val="center"/>
              <w:spacing w:after="0"/>
              <w:rPr>
                <w:sz w:val="20"/>
                <w:szCs w:val="20"/>
                <w:color w:val="auto"/>
              </w:rPr>
            </w:pPr>
            <w:r>
              <w:rPr>
                <w:rFonts w:ascii="Arial" w:cs="Arial" w:eastAsia="Arial" w:hAnsi="Arial"/>
                <w:sz w:val="13"/>
                <w:szCs w:val="13"/>
                <w:b w:val="1"/>
                <w:bCs w:val="1"/>
                <w:color w:val="FFFFFF"/>
                <w:w w:val="98"/>
              </w:rPr>
              <w:t>Research and</w:t>
            </w:r>
          </w:p>
        </w:tc>
        <w:tc>
          <w:tcPr>
            <w:tcW w:w="980" w:type="dxa"/>
            <w:vAlign w:val="bottom"/>
            <w:shd w:val="clear" w:color="auto" w:fill="852166"/>
          </w:tcPr>
          <w:p>
            <w:pPr>
              <w:spacing w:after="0"/>
              <w:rPr>
                <w:sz w:val="12"/>
                <w:szCs w:val="12"/>
                <w:color w:val="auto"/>
              </w:rPr>
            </w:pPr>
          </w:p>
        </w:tc>
        <w:tc>
          <w:tcPr>
            <w:tcW w:w="980" w:type="dxa"/>
            <w:vAlign w:val="bottom"/>
            <w:vMerge w:val="restart"/>
            <w:shd w:val="clear" w:color="auto" w:fill="852166"/>
          </w:tcPr>
          <w:p>
            <w:pPr>
              <w:jc w:val="center"/>
              <w:spacing w:after="0"/>
              <w:rPr>
                <w:sz w:val="20"/>
                <w:szCs w:val="20"/>
                <w:color w:val="auto"/>
              </w:rPr>
            </w:pPr>
            <w:r>
              <w:rPr>
                <w:rFonts w:ascii="Arial" w:cs="Arial" w:eastAsia="Arial" w:hAnsi="Arial"/>
                <w:sz w:val="13"/>
                <w:szCs w:val="13"/>
                <w:b w:val="1"/>
                <w:bCs w:val="1"/>
                <w:color w:val="FFFFFF"/>
                <w:w w:val="98"/>
              </w:rPr>
              <w:t>Public Policy</w:t>
            </w:r>
          </w:p>
        </w:tc>
        <w:tc>
          <w:tcPr>
            <w:tcW w:w="700" w:type="dxa"/>
            <w:vAlign w:val="bottom"/>
            <w:shd w:val="clear" w:color="auto" w:fill="852166"/>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852166"/>
          </w:tcPr>
          <w:p>
            <w:pPr>
              <w:spacing w:after="0"/>
              <w:rPr>
                <w:sz w:val="12"/>
                <w:szCs w:val="12"/>
                <w:color w:val="auto"/>
              </w:rPr>
            </w:pPr>
          </w:p>
        </w:tc>
        <w:tc>
          <w:tcPr>
            <w:tcW w:w="960" w:type="dxa"/>
            <w:vAlign w:val="bottom"/>
            <w:gridSpan w:val="2"/>
            <w:shd w:val="clear" w:color="auto" w:fill="852166"/>
          </w:tcPr>
          <w:p>
            <w:pPr>
              <w:jc w:val="center"/>
              <w:spacing w:after="0"/>
              <w:rPr>
                <w:sz w:val="20"/>
                <w:szCs w:val="20"/>
                <w:color w:val="auto"/>
              </w:rPr>
            </w:pPr>
            <w:r>
              <w:rPr>
                <w:rFonts w:ascii="Arial" w:cs="Arial" w:eastAsia="Arial" w:hAnsi="Arial"/>
                <w:sz w:val="13"/>
                <w:szCs w:val="13"/>
                <w:b w:val="1"/>
                <w:bCs w:val="1"/>
                <w:color w:val="FFFFFF"/>
                <w:w w:val="97"/>
              </w:rPr>
              <w:t>Company</w:t>
            </w:r>
          </w:p>
        </w:tc>
        <w:tc>
          <w:tcPr>
            <w:tcW w:w="1040" w:type="dxa"/>
            <w:vAlign w:val="bottom"/>
            <w:vMerge w:val="continue"/>
            <w:shd w:val="clear" w:color="auto" w:fill="852166"/>
          </w:tcPr>
          <w:p>
            <w:pPr>
              <w:spacing w:after="0"/>
              <w:rPr>
                <w:sz w:val="12"/>
                <w:szCs w:val="12"/>
                <w:color w:val="auto"/>
              </w:rPr>
            </w:pPr>
          </w:p>
        </w:tc>
        <w:tc>
          <w:tcPr>
            <w:tcW w:w="820" w:type="dxa"/>
            <w:vAlign w:val="bottom"/>
            <w:shd w:val="clear" w:color="auto" w:fill="852166"/>
          </w:tcPr>
          <w:p>
            <w:pPr>
              <w:spacing w:after="0"/>
              <w:rPr>
                <w:sz w:val="12"/>
                <w:szCs w:val="12"/>
                <w:color w:val="auto"/>
              </w:rPr>
            </w:pPr>
          </w:p>
        </w:tc>
        <w:tc>
          <w:tcPr>
            <w:tcW w:w="920" w:type="dxa"/>
            <w:vAlign w:val="bottom"/>
            <w:shd w:val="clear" w:color="auto" w:fill="852166"/>
          </w:tcPr>
          <w:p>
            <w:pPr>
              <w:spacing w:after="0"/>
              <w:rPr>
                <w:sz w:val="12"/>
                <w:szCs w:val="12"/>
                <w:color w:val="auto"/>
              </w:rPr>
            </w:pPr>
          </w:p>
        </w:tc>
        <w:tc>
          <w:tcPr>
            <w:tcW w:w="1060" w:type="dxa"/>
            <w:vAlign w:val="bottom"/>
            <w:shd w:val="clear" w:color="auto" w:fill="852166"/>
          </w:tcPr>
          <w:p>
            <w:pPr>
              <w:jc w:val="center"/>
              <w:spacing w:after="0"/>
              <w:rPr>
                <w:sz w:val="20"/>
                <w:szCs w:val="20"/>
                <w:color w:val="auto"/>
              </w:rPr>
            </w:pPr>
            <w:r>
              <w:rPr>
                <w:rFonts w:ascii="Arial" w:cs="Arial" w:eastAsia="Arial" w:hAnsi="Arial"/>
                <w:sz w:val="13"/>
                <w:szCs w:val="13"/>
                <w:b w:val="1"/>
                <w:bCs w:val="1"/>
                <w:color w:val="FFFFFF"/>
                <w:w w:val="97"/>
              </w:rPr>
              <w:t>Acquisition /</w:t>
            </w:r>
          </w:p>
        </w:tc>
        <w:tc>
          <w:tcPr>
            <w:tcW w:w="980" w:type="dxa"/>
            <w:vAlign w:val="bottom"/>
            <w:shd w:val="clear" w:color="auto" w:fill="852166"/>
          </w:tcPr>
          <w:p>
            <w:pPr>
              <w:spacing w:after="0"/>
              <w:rPr>
                <w:sz w:val="12"/>
                <w:szCs w:val="12"/>
                <w:color w:val="auto"/>
              </w:rPr>
            </w:pPr>
          </w:p>
        </w:tc>
        <w:tc>
          <w:tcPr>
            <w:tcW w:w="1080" w:type="dxa"/>
            <w:vAlign w:val="bottom"/>
            <w:shd w:val="clear" w:color="auto" w:fill="852166"/>
          </w:tcPr>
          <w:p>
            <w:pPr>
              <w:jc w:val="center"/>
              <w:spacing w:after="0"/>
              <w:rPr>
                <w:sz w:val="20"/>
                <w:szCs w:val="20"/>
                <w:color w:val="auto"/>
              </w:rPr>
            </w:pPr>
            <w:r>
              <w:rPr>
                <w:rFonts w:ascii="Arial" w:cs="Arial" w:eastAsia="Arial" w:hAnsi="Arial"/>
                <w:sz w:val="13"/>
                <w:szCs w:val="13"/>
                <w:b w:val="1"/>
                <w:bCs w:val="1"/>
                <w:color w:val="FFFFFF"/>
                <w:w w:val="92"/>
              </w:rPr>
              <w:t>Drug</w:t>
            </w:r>
          </w:p>
        </w:tc>
        <w:tc>
          <w:tcPr>
            <w:tcW w:w="980" w:type="dxa"/>
            <w:vAlign w:val="bottom"/>
            <w:shd w:val="clear" w:color="auto" w:fill="852166"/>
          </w:tcPr>
          <w:p>
            <w:pPr>
              <w:spacing w:after="0"/>
              <w:rPr>
                <w:sz w:val="12"/>
                <w:szCs w:val="12"/>
                <w:color w:val="auto"/>
              </w:rPr>
            </w:pPr>
          </w:p>
        </w:tc>
        <w:tc>
          <w:tcPr>
            <w:tcW w:w="980" w:type="dxa"/>
            <w:vAlign w:val="bottom"/>
            <w:vMerge w:val="continue"/>
            <w:shd w:val="clear" w:color="auto" w:fill="852166"/>
          </w:tcPr>
          <w:p>
            <w:pPr>
              <w:spacing w:after="0"/>
              <w:rPr>
                <w:sz w:val="12"/>
                <w:szCs w:val="12"/>
                <w:color w:val="auto"/>
              </w:rPr>
            </w:pPr>
          </w:p>
        </w:tc>
        <w:tc>
          <w:tcPr>
            <w:tcW w:w="700" w:type="dxa"/>
            <w:vAlign w:val="bottom"/>
            <w:shd w:val="clear" w:color="auto" w:fill="852166"/>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852166"/>
          </w:tcPr>
          <w:p>
            <w:pPr>
              <w:spacing w:after="0"/>
              <w:rPr>
                <w:sz w:val="12"/>
                <w:szCs w:val="12"/>
                <w:color w:val="auto"/>
              </w:rPr>
            </w:pPr>
          </w:p>
        </w:tc>
        <w:tc>
          <w:tcPr>
            <w:tcW w:w="280" w:type="dxa"/>
            <w:vAlign w:val="bottom"/>
            <w:shd w:val="clear" w:color="auto" w:fill="852166"/>
          </w:tcPr>
          <w:p>
            <w:pPr>
              <w:spacing w:after="0"/>
              <w:rPr>
                <w:sz w:val="12"/>
                <w:szCs w:val="12"/>
                <w:color w:val="auto"/>
              </w:rPr>
            </w:pPr>
          </w:p>
        </w:tc>
        <w:tc>
          <w:tcPr>
            <w:tcW w:w="680" w:type="dxa"/>
            <w:vAlign w:val="bottom"/>
            <w:shd w:val="clear" w:color="auto" w:fill="852166"/>
          </w:tcPr>
          <w:p>
            <w:pPr>
              <w:jc w:val="center"/>
              <w:ind w:right="189"/>
              <w:spacing w:after="0"/>
              <w:rPr>
                <w:sz w:val="20"/>
                <w:szCs w:val="20"/>
                <w:color w:val="auto"/>
              </w:rPr>
            </w:pPr>
            <w:r>
              <w:rPr>
                <w:rFonts w:ascii="Arial" w:cs="Arial" w:eastAsia="Arial" w:hAnsi="Arial"/>
                <w:sz w:val="13"/>
                <w:szCs w:val="13"/>
                <w:b w:val="1"/>
                <w:bCs w:val="1"/>
                <w:color w:val="FFFFFF"/>
              </w:rPr>
              <w:t>Board</w:t>
            </w:r>
          </w:p>
        </w:tc>
        <w:tc>
          <w:tcPr>
            <w:tcW w:w="1040" w:type="dxa"/>
            <w:vAlign w:val="bottom"/>
            <w:shd w:val="clear" w:color="auto" w:fill="852166"/>
          </w:tcPr>
          <w:p>
            <w:pPr>
              <w:jc w:val="center"/>
              <w:spacing w:after="0"/>
              <w:rPr>
                <w:sz w:val="20"/>
                <w:szCs w:val="20"/>
                <w:color w:val="auto"/>
              </w:rPr>
            </w:pPr>
            <w:r>
              <w:rPr>
                <w:rFonts w:ascii="Arial" w:cs="Arial" w:eastAsia="Arial" w:hAnsi="Arial"/>
                <w:sz w:val="13"/>
                <w:szCs w:val="13"/>
                <w:b w:val="1"/>
                <w:bCs w:val="1"/>
                <w:color w:val="FFFFFF"/>
                <w:w w:val="98"/>
              </w:rPr>
              <w:t>Management</w:t>
            </w:r>
          </w:p>
        </w:tc>
        <w:tc>
          <w:tcPr>
            <w:tcW w:w="820" w:type="dxa"/>
            <w:vAlign w:val="bottom"/>
            <w:shd w:val="clear" w:color="auto" w:fill="852166"/>
          </w:tcPr>
          <w:p>
            <w:pPr>
              <w:jc w:val="center"/>
              <w:spacing w:after="0"/>
              <w:rPr>
                <w:sz w:val="20"/>
                <w:szCs w:val="20"/>
                <w:color w:val="auto"/>
              </w:rPr>
            </w:pPr>
            <w:r>
              <w:rPr>
                <w:rFonts w:ascii="Arial" w:cs="Arial" w:eastAsia="Arial" w:hAnsi="Arial"/>
                <w:sz w:val="13"/>
                <w:szCs w:val="13"/>
                <w:b w:val="1"/>
                <w:bCs w:val="1"/>
                <w:color w:val="FFFFFF"/>
                <w:w w:val="97"/>
              </w:rPr>
              <w:t>Industry</w:t>
            </w:r>
          </w:p>
        </w:tc>
        <w:tc>
          <w:tcPr>
            <w:tcW w:w="920" w:type="dxa"/>
            <w:vAlign w:val="bottom"/>
            <w:shd w:val="clear" w:color="auto" w:fill="852166"/>
          </w:tcPr>
          <w:p>
            <w:pPr>
              <w:jc w:val="center"/>
              <w:spacing w:after="0"/>
              <w:rPr>
                <w:sz w:val="20"/>
                <w:szCs w:val="20"/>
                <w:color w:val="auto"/>
              </w:rPr>
            </w:pPr>
            <w:r>
              <w:rPr>
                <w:rFonts w:ascii="Arial" w:cs="Arial" w:eastAsia="Arial" w:hAnsi="Arial"/>
                <w:sz w:val="13"/>
                <w:szCs w:val="13"/>
                <w:b w:val="1"/>
                <w:bCs w:val="1"/>
                <w:color w:val="FFFFFF"/>
                <w:w w:val="95"/>
              </w:rPr>
              <w:t>Financial</w:t>
            </w:r>
          </w:p>
        </w:tc>
        <w:tc>
          <w:tcPr>
            <w:tcW w:w="1060" w:type="dxa"/>
            <w:vAlign w:val="bottom"/>
            <w:shd w:val="clear" w:color="auto" w:fill="852166"/>
          </w:tcPr>
          <w:p>
            <w:pPr>
              <w:jc w:val="center"/>
              <w:spacing w:after="0"/>
              <w:rPr>
                <w:sz w:val="20"/>
                <w:szCs w:val="20"/>
                <w:color w:val="auto"/>
              </w:rPr>
            </w:pPr>
            <w:r>
              <w:rPr>
                <w:rFonts w:ascii="Arial" w:cs="Arial" w:eastAsia="Arial" w:hAnsi="Arial"/>
                <w:sz w:val="13"/>
                <w:szCs w:val="13"/>
                <w:b w:val="1"/>
                <w:bCs w:val="1"/>
                <w:color w:val="FFFFFF"/>
                <w:w w:val="96"/>
              </w:rPr>
              <w:t>Corporate</w:t>
            </w:r>
          </w:p>
        </w:tc>
        <w:tc>
          <w:tcPr>
            <w:tcW w:w="980" w:type="dxa"/>
            <w:vAlign w:val="bottom"/>
            <w:shd w:val="clear" w:color="auto" w:fill="852166"/>
          </w:tcPr>
          <w:p>
            <w:pPr>
              <w:jc w:val="center"/>
              <w:spacing w:after="0"/>
              <w:rPr>
                <w:sz w:val="20"/>
                <w:szCs w:val="20"/>
                <w:color w:val="auto"/>
              </w:rPr>
            </w:pPr>
            <w:r>
              <w:rPr>
                <w:rFonts w:ascii="Arial" w:cs="Arial" w:eastAsia="Arial" w:hAnsi="Arial"/>
                <w:sz w:val="13"/>
                <w:szCs w:val="13"/>
                <w:b w:val="1"/>
                <w:bCs w:val="1"/>
                <w:color w:val="FFFFFF"/>
                <w:w w:val="96"/>
              </w:rPr>
              <w:t>Commercial</w:t>
            </w:r>
          </w:p>
        </w:tc>
        <w:tc>
          <w:tcPr>
            <w:tcW w:w="1080" w:type="dxa"/>
            <w:vAlign w:val="bottom"/>
            <w:shd w:val="clear" w:color="auto" w:fill="852166"/>
          </w:tcPr>
          <w:p>
            <w:pPr>
              <w:jc w:val="center"/>
              <w:spacing w:after="0"/>
              <w:rPr>
                <w:sz w:val="20"/>
                <w:szCs w:val="20"/>
                <w:color w:val="auto"/>
              </w:rPr>
            </w:pPr>
            <w:r>
              <w:rPr>
                <w:rFonts w:ascii="Arial" w:cs="Arial" w:eastAsia="Arial" w:hAnsi="Arial"/>
                <w:sz w:val="13"/>
                <w:szCs w:val="13"/>
                <w:b w:val="1"/>
                <w:bCs w:val="1"/>
                <w:color w:val="FFFFFF"/>
                <w:w w:val="97"/>
              </w:rPr>
              <w:t>Development</w:t>
            </w:r>
          </w:p>
        </w:tc>
        <w:tc>
          <w:tcPr>
            <w:tcW w:w="980" w:type="dxa"/>
            <w:vAlign w:val="bottom"/>
            <w:shd w:val="clear" w:color="auto" w:fill="852166"/>
          </w:tcPr>
          <w:p>
            <w:pPr>
              <w:jc w:val="center"/>
              <w:spacing w:after="0"/>
              <w:rPr>
                <w:sz w:val="20"/>
                <w:szCs w:val="20"/>
                <w:color w:val="auto"/>
              </w:rPr>
            </w:pPr>
            <w:r>
              <w:rPr>
                <w:rFonts w:ascii="Arial" w:cs="Arial" w:eastAsia="Arial" w:hAnsi="Arial"/>
                <w:sz w:val="13"/>
                <w:szCs w:val="13"/>
                <w:b w:val="1"/>
                <w:bCs w:val="1"/>
                <w:color w:val="FFFFFF"/>
                <w:w w:val="97"/>
              </w:rPr>
              <w:t>International</w:t>
            </w:r>
          </w:p>
        </w:tc>
        <w:tc>
          <w:tcPr>
            <w:tcW w:w="980" w:type="dxa"/>
            <w:vAlign w:val="bottom"/>
            <w:shd w:val="clear" w:color="auto" w:fill="852166"/>
          </w:tcPr>
          <w:p>
            <w:pPr>
              <w:jc w:val="center"/>
              <w:spacing w:after="0"/>
              <w:rPr>
                <w:sz w:val="20"/>
                <w:szCs w:val="20"/>
                <w:color w:val="auto"/>
              </w:rPr>
            </w:pPr>
            <w:r>
              <w:rPr>
                <w:rFonts w:ascii="Arial" w:cs="Arial" w:eastAsia="Arial" w:hAnsi="Arial"/>
                <w:sz w:val="13"/>
                <w:szCs w:val="13"/>
                <w:b w:val="1"/>
                <w:bCs w:val="1"/>
                <w:color w:val="FFFFFF"/>
              </w:rPr>
              <w:t>and</w:t>
            </w:r>
          </w:p>
        </w:tc>
        <w:tc>
          <w:tcPr>
            <w:tcW w:w="700" w:type="dxa"/>
            <w:vAlign w:val="bottom"/>
            <w:shd w:val="clear" w:color="auto" w:fill="852166"/>
          </w:tcPr>
          <w:p>
            <w:pPr>
              <w:jc w:val="center"/>
              <w:ind w:right="49"/>
              <w:spacing w:after="0"/>
              <w:rPr>
                <w:sz w:val="20"/>
                <w:szCs w:val="20"/>
                <w:color w:val="auto"/>
              </w:rPr>
            </w:pPr>
            <w:r>
              <w:rPr>
                <w:rFonts w:ascii="Arial" w:cs="Arial" w:eastAsia="Arial" w:hAnsi="Arial"/>
                <w:sz w:val="13"/>
                <w:szCs w:val="13"/>
                <w:b w:val="1"/>
                <w:bCs w:val="1"/>
                <w:color w:val="FFFFFF"/>
                <w:w w:val="95"/>
              </w:rPr>
              <w:t>Human</w:t>
            </w:r>
          </w:p>
        </w:tc>
        <w:tc>
          <w:tcPr>
            <w:tcW w:w="0" w:type="dxa"/>
            <w:vAlign w:val="bottom"/>
          </w:tcPr>
          <w:p>
            <w:pPr>
              <w:spacing w:after="0"/>
              <w:rPr>
                <w:sz w:val="1"/>
                <w:szCs w:val="1"/>
                <w:color w:val="auto"/>
              </w:rPr>
            </w:pPr>
          </w:p>
        </w:tc>
      </w:tr>
      <w:tr>
        <w:trPr>
          <w:trHeight w:val="185"/>
        </w:trPr>
        <w:tc>
          <w:tcPr>
            <w:tcW w:w="1720" w:type="dxa"/>
            <w:vAlign w:val="bottom"/>
            <w:shd w:val="clear" w:color="auto" w:fill="852166"/>
          </w:tcPr>
          <w:p>
            <w:pPr>
              <w:spacing w:after="0"/>
              <w:rPr>
                <w:sz w:val="16"/>
                <w:szCs w:val="16"/>
                <w:color w:val="auto"/>
              </w:rPr>
            </w:pPr>
          </w:p>
        </w:tc>
        <w:tc>
          <w:tcPr>
            <w:tcW w:w="960" w:type="dxa"/>
            <w:vAlign w:val="bottom"/>
            <w:gridSpan w:val="2"/>
            <w:shd w:val="clear" w:color="auto" w:fill="852166"/>
          </w:tcPr>
          <w:p>
            <w:pPr>
              <w:jc w:val="center"/>
              <w:spacing w:after="0"/>
              <w:rPr>
                <w:sz w:val="20"/>
                <w:szCs w:val="20"/>
                <w:color w:val="auto"/>
              </w:rPr>
            </w:pPr>
            <w:r>
              <w:rPr>
                <w:rFonts w:ascii="Arial" w:cs="Arial" w:eastAsia="Arial" w:hAnsi="Arial"/>
                <w:sz w:val="13"/>
                <w:szCs w:val="13"/>
                <w:b w:val="1"/>
                <w:bCs w:val="1"/>
                <w:color w:val="FFFFFF"/>
                <w:w w:val="95"/>
              </w:rPr>
              <w:t>Experience</w:t>
            </w:r>
          </w:p>
        </w:tc>
        <w:tc>
          <w:tcPr>
            <w:tcW w:w="1040" w:type="dxa"/>
            <w:vAlign w:val="bottom"/>
            <w:shd w:val="clear" w:color="auto" w:fill="852166"/>
          </w:tcPr>
          <w:p>
            <w:pPr>
              <w:jc w:val="center"/>
              <w:spacing w:after="0"/>
              <w:rPr>
                <w:sz w:val="20"/>
                <w:szCs w:val="20"/>
                <w:color w:val="auto"/>
              </w:rPr>
            </w:pPr>
            <w:r>
              <w:rPr>
                <w:rFonts w:ascii="Arial" w:cs="Arial" w:eastAsia="Arial" w:hAnsi="Arial"/>
                <w:sz w:val="13"/>
                <w:szCs w:val="13"/>
                <w:b w:val="1"/>
                <w:bCs w:val="1"/>
                <w:color w:val="FFFFFF"/>
                <w:w w:val="97"/>
              </w:rPr>
              <w:t>Experience</w:t>
            </w:r>
          </w:p>
        </w:tc>
        <w:tc>
          <w:tcPr>
            <w:tcW w:w="820" w:type="dxa"/>
            <w:vAlign w:val="bottom"/>
            <w:shd w:val="clear" w:color="auto" w:fill="852166"/>
          </w:tcPr>
          <w:p>
            <w:pPr>
              <w:jc w:val="center"/>
              <w:spacing w:after="0"/>
              <w:rPr>
                <w:sz w:val="20"/>
                <w:szCs w:val="20"/>
                <w:color w:val="auto"/>
              </w:rPr>
            </w:pPr>
            <w:r>
              <w:rPr>
                <w:rFonts w:ascii="Arial" w:cs="Arial" w:eastAsia="Arial" w:hAnsi="Arial"/>
                <w:sz w:val="13"/>
                <w:szCs w:val="13"/>
                <w:b w:val="1"/>
                <w:bCs w:val="1"/>
                <w:color w:val="FFFFFF"/>
                <w:w w:val="99"/>
              </w:rPr>
              <w:t>Expertise</w:t>
            </w:r>
          </w:p>
        </w:tc>
        <w:tc>
          <w:tcPr>
            <w:tcW w:w="920" w:type="dxa"/>
            <w:vAlign w:val="bottom"/>
            <w:shd w:val="clear" w:color="auto" w:fill="852166"/>
          </w:tcPr>
          <w:p>
            <w:pPr>
              <w:jc w:val="center"/>
              <w:spacing w:after="0"/>
              <w:rPr>
                <w:sz w:val="20"/>
                <w:szCs w:val="20"/>
                <w:color w:val="auto"/>
              </w:rPr>
            </w:pPr>
            <w:r>
              <w:rPr>
                <w:rFonts w:ascii="Arial" w:cs="Arial" w:eastAsia="Arial" w:hAnsi="Arial"/>
                <w:sz w:val="13"/>
                <w:szCs w:val="13"/>
                <w:b w:val="1"/>
                <w:bCs w:val="1"/>
                <w:color w:val="FFFFFF"/>
                <w:w w:val="95"/>
              </w:rPr>
              <w:t>Experience</w:t>
            </w:r>
          </w:p>
        </w:tc>
        <w:tc>
          <w:tcPr>
            <w:tcW w:w="1060" w:type="dxa"/>
            <w:vAlign w:val="bottom"/>
            <w:shd w:val="clear" w:color="auto" w:fill="852166"/>
          </w:tcPr>
          <w:p>
            <w:pPr>
              <w:jc w:val="center"/>
              <w:spacing w:after="0"/>
              <w:rPr>
                <w:sz w:val="20"/>
                <w:szCs w:val="20"/>
                <w:color w:val="auto"/>
              </w:rPr>
            </w:pPr>
            <w:r>
              <w:rPr>
                <w:rFonts w:ascii="Arial" w:cs="Arial" w:eastAsia="Arial" w:hAnsi="Arial"/>
                <w:sz w:val="13"/>
                <w:szCs w:val="13"/>
                <w:b w:val="1"/>
                <w:bCs w:val="1"/>
                <w:color w:val="FFFFFF"/>
                <w:w w:val="97"/>
              </w:rPr>
              <w:t>Development</w:t>
            </w:r>
          </w:p>
        </w:tc>
        <w:tc>
          <w:tcPr>
            <w:tcW w:w="980" w:type="dxa"/>
            <w:vAlign w:val="bottom"/>
            <w:shd w:val="clear" w:color="auto" w:fill="852166"/>
          </w:tcPr>
          <w:p>
            <w:pPr>
              <w:jc w:val="center"/>
              <w:spacing w:after="0"/>
              <w:rPr>
                <w:sz w:val="20"/>
                <w:szCs w:val="20"/>
                <w:color w:val="auto"/>
              </w:rPr>
            </w:pPr>
            <w:r>
              <w:rPr>
                <w:rFonts w:ascii="Arial" w:cs="Arial" w:eastAsia="Arial" w:hAnsi="Arial"/>
                <w:sz w:val="13"/>
                <w:szCs w:val="13"/>
                <w:b w:val="1"/>
                <w:bCs w:val="1"/>
                <w:color w:val="FFFFFF"/>
                <w:w w:val="95"/>
              </w:rPr>
              <w:t>Experience</w:t>
            </w:r>
          </w:p>
        </w:tc>
        <w:tc>
          <w:tcPr>
            <w:tcW w:w="1080" w:type="dxa"/>
            <w:vAlign w:val="bottom"/>
            <w:shd w:val="clear" w:color="auto" w:fill="852166"/>
          </w:tcPr>
          <w:p>
            <w:pPr>
              <w:jc w:val="center"/>
              <w:spacing w:after="0"/>
              <w:rPr>
                <w:sz w:val="20"/>
                <w:szCs w:val="20"/>
                <w:color w:val="auto"/>
              </w:rPr>
            </w:pPr>
            <w:r>
              <w:rPr>
                <w:rFonts w:ascii="Arial" w:cs="Arial" w:eastAsia="Arial" w:hAnsi="Arial"/>
                <w:sz w:val="13"/>
                <w:szCs w:val="13"/>
                <w:b w:val="1"/>
                <w:bCs w:val="1"/>
                <w:color w:val="FFFFFF"/>
                <w:w w:val="97"/>
              </w:rPr>
              <w:t>Experience</w:t>
            </w:r>
          </w:p>
        </w:tc>
        <w:tc>
          <w:tcPr>
            <w:tcW w:w="980" w:type="dxa"/>
            <w:vAlign w:val="bottom"/>
            <w:shd w:val="clear" w:color="auto" w:fill="852166"/>
          </w:tcPr>
          <w:p>
            <w:pPr>
              <w:jc w:val="center"/>
              <w:spacing w:after="0"/>
              <w:rPr>
                <w:sz w:val="20"/>
                <w:szCs w:val="20"/>
                <w:color w:val="auto"/>
              </w:rPr>
            </w:pPr>
            <w:r>
              <w:rPr>
                <w:rFonts w:ascii="Arial" w:cs="Arial" w:eastAsia="Arial" w:hAnsi="Arial"/>
                <w:sz w:val="13"/>
                <w:szCs w:val="13"/>
                <w:b w:val="1"/>
                <w:bCs w:val="1"/>
                <w:color w:val="FFFFFF"/>
                <w:w w:val="95"/>
              </w:rPr>
              <w:t>Perspective</w:t>
            </w:r>
          </w:p>
        </w:tc>
        <w:tc>
          <w:tcPr>
            <w:tcW w:w="980" w:type="dxa"/>
            <w:vAlign w:val="bottom"/>
            <w:shd w:val="clear" w:color="auto" w:fill="852166"/>
          </w:tcPr>
          <w:p>
            <w:pPr>
              <w:jc w:val="center"/>
              <w:spacing w:after="0"/>
              <w:rPr>
                <w:sz w:val="20"/>
                <w:szCs w:val="20"/>
                <w:color w:val="auto"/>
              </w:rPr>
            </w:pPr>
            <w:r>
              <w:rPr>
                <w:rFonts w:ascii="Arial" w:cs="Arial" w:eastAsia="Arial" w:hAnsi="Arial"/>
                <w:sz w:val="13"/>
                <w:szCs w:val="13"/>
                <w:b w:val="1"/>
                <w:bCs w:val="1"/>
                <w:color w:val="FFFFFF"/>
                <w:w w:val="95"/>
              </w:rPr>
              <w:t>Regulation</w:t>
            </w:r>
          </w:p>
        </w:tc>
        <w:tc>
          <w:tcPr>
            <w:tcW w:w="700" w:type="dxa"/>
            <w:vAlign w:val="bottom"/>
            <w:shd w:val="clear" w:color="auto" w:fill="852166"/>
          </w:tcPr>
          <w:p>
            <w:pPr>
              <w:jc w:val="center"/>
              <w:ind w:right="49"/>
              <w:spacing w:after="0"/>
              <w:rPr>
                <w:sz w:val="20"/>
                <w:szCs w:val="20"/>
                <w:color w:val="auto"/>
              </w:rPr>
            </w:pPr>
            <w:r>
              <w:rPr>
                <w:rFonts w:ascii="Arial" w:cs="Arial" w:eastAsia="Arial" w:hAnsi="Arial"/>
                <w:sz w:val="13"/>
                <w:szCs w:val="13"/>
                <w:b w:val="1"/>
                <w:bCs w:val="1"/>
                <w:color w:val="FFFFFF"/>
                <w:w w:val="96"/>
              </w:rPr>
              <w:t>Capital</w:t>
            </w:r>
          </w:p>
        </w:tc>
        <w:tc>
          <w:tcPr>
            <w:tcW w:w="0" w:type="dxa"/>
            <w:vAlign w:val="bottom"/>
          </w:tcPr>
          <w:p>
            <w:pPr>
              <w:spacing w:after="0"/>
              <w:rPr>
                <w:sz w:val="1"/>
                <w:szCs w:val="1"/>
                <w:color w:val="auto"/>
              </w:rPr>
            </w:pPr>
          </w:p>
        </w:tc>
      </w:tr>
      <w:tr>
        <w:trPr>
          <w:trHeight w:val="351"/>
        </w:trPr>
        <w:tc>
          <w:tcPr>
            <w:tcW w:w="1720" w:type="dxa"/>
            <w:vAlign w:val="bottom"/>
            <w:shd w:val="clear" w:color="auto" w:fill="852166"/>
          </w:tcPr>
          <w:p>
            <w:pPr>
              <w:ind w:left="100"/>
              <w:spacing w:after="0"/>
              <w:rPr>
                <w:sz w:val="20"/>
                <w:szCs w:val="20"/>
                <w:color w:val="auto"/>
              </w:rPr>
            </w:pPr>
            <w:r>
              <w:rPr>
                <w:rFonts w:ascii="Arial" w:cs="Arial" w:eastAsia="Arial" w:hAnsi="Arial"/>
                <w:sz w:val="13"/>
                <w:szCs w:val="13"/>
                <w:b w:val="1"/>
                <w:bCs w:val="1"/>
                <w:color w:val="FFFFFF"/>
              </w:rPr>
              <w:t>Director</w:t>
            </w:r>
          </w:p>
        </w:tc>
        <w:tc>
          <w:tcPr>
            <w:tcW w:w="280" w:type="dxa"/>
            <w:vAlign w:val="bottom"/>
            <w:shd w:val="clear" w:color="auto" w:fill="852166"/>
          </w:tcPr>
          <w:p>
            <w:pPr>
              <w:spacing w:after="0"/>
              <w:rPr>
                <w:sz w:val="24"/>
                <w:szCs w:val="24"/>
                <w:color w:val="auto"/>
              </w:rPr>
            </w:pPr>
          </w:p>
        </w:tc>
        <w:tc>
          <w:tcPr>
            <w:tcW w:w="680" w:type="dxa"/>
            <w:vAlign w:val="bottom"/>
            <w:shd w:val="clear" w:color="auto" w:fill="852166"/>
          </w:tcPr>
          <w:p>
            <w:pPr>
              <w:spacing w:after="0"/>
              <w:rPr>
                <w:sz w:val="24"/>
                <w:szCs w:val="24"/>
                <w:color w:val="auto"/>
              </w:rPr>
            </w:pPr>
          </w:p>
        </w:tc>
        <w:tc>
          <w:tcPr>
            <w:tcW w:w="1040" w:type="dxa"/>
            <w:vAlign w:val="bottom"/>
            <w:shd w:val="clear" w:color="auto" w:fill="852166"/>
          </w:tcPr>
          <w:p>
            <w:pPr>
              <w:spacing w:after="0"/>
              <w:rPr>
                <w:sz w:val="24"/>
                <w:szCs w:val="24"/>
                <w:color w:val="auto"/>
              </w:rPr>
            </w:pPr>
          </w:p>
        </w:tc>
        <w:tc>
          <w:tcPr>
            <w:tcW w:w="820" w:type="dxa"/>
            <w:vAlign w:val="bottom"/>
            <w:shd w:val="clear" w:color="auto" w:fill="852166"/>
          </w:tcPr>
          <w:p>
            <w:pPr>
              <w:spacing w:after="0"/>
              <w:rPr>
                <w:sz w:val="24"/>
                <w:szCs w:val="24"/>
                <w:color w:val="auto"/>
              </w:rPr>
            </w:pPr>
          </w:p>
        </w:tc>
        <w:tc>
          <w:tcPr>
            <w:tcW w:w="920" w:type="dxa"/>
            <w:vAlign w:val="bottom"/>
            <w:shd w:val="clear" w:color="auto" w:fill="852166"/>
          </w:tcPr>
          <w:p>
            <w:pPr>
              <w:spacing w:after="0"/>
              <w:rPr>
                <w:sz w:val="24"/>
                <w:szCs w:val="24"/>
                <w:color w:val="auto"/>
              </w:rPr>
            </w:pPr>
          </w:p>
        </w:tc>
        <w:tc>
          <w:tcPr>
            <w:tcW w:w="1060" w:type="dxa"/>
            <w:vAlign w:val="bottom"/>
            <w:shd w:val="clear" w:color="auto" w:fill="852166"/>
          </w:tcPr>
          <w:p>
            <w:pPr>
              <w:spacing w:after="0"/>
              <w:rPr>
                <w:sz w:val="24"/>
                <w:szCs w:val="24"/>
                <w:color w:val="auto"/>
              </w:rPr>
            </w:pPr>
          </w:p>
        </w:tc>
        <w:tc>
          <w:tcPr>
            <w:tcW w:w="980" w:type="dxa"/>
            <w:vAlign w:val="bottom"/>
            <w:shd w:val="clear" w:color="auto" w:fill="852166"/>
          </w:tcPr>
          <w:p>
            <w:pPr>
              <w:spacing w:after="0"/>
              <w:rPr>
                <w:sz w:val="24"/>
                <w:szCs w:val="24"/>
                <w:color w:val="auto"/>
              </w:rPr>
            </w:pPr>
          </w:p>
        </w:tc>
        <w:tc>
          <w:tcPr>
            <w:tcW w:w="1080" w:type="dxa"/>
            <w:vAlign w:val="bottom"/>
            <w:shd w:val="clear" w:color="auto" w:fill="852166"/>
          </w:tcPr>
          <w:p>
            <w:pPr>
              <w:spacing w:after="0"/>
              <w:rPr>
                <w:sz w:val="24"/>
                <w:szCs w:val="24"/>
                <w:color w:val="auto"/>
              </w:rPr>
            </w:pPr>
          </w:p>
        </w:tc>
        <w:tc>
          <w:tcPr>
            <w:tcW w:w="980" w:type="dxa"/>
            <w:vAlign w:val="bottom"/>
            <w:shd w:val="clear" w:color="auto" w:fill="852166"/>
          </w:tcPr>
          <w:p>
            <w:pPr>
              <w:spacing w:after="0"/>
              <w:rPr>
                <w:sz w:val="24"/>
                <w:szCs w:val="24"/>
                <w:color w:val="auto"/>
              </w:rPr>
            </w:pPr>
          </w:p>
        </w:tc>
        <w:tc>
          <w:tcPr>
            <w:tcW w:w="980" w:type="dxa"/>
            <w:vAlign w:val="bottom"/>
            <w:shd w:val="clear" w:color="auto" w:fill="852166"/>
          </w:tcPr>
          <w:p>
            <w:pPr>
              <w:spacing w:after="0"/>
              <w:rPr>
                <w:sz w:val="24"/>
                <w:szCs w:val="24"/>
                <w:color w:val="auto"/>
              </w:rPr>
            </w:pPr>
          </w:p>
        </w:tc>
        <w:tc>
          <w:tcPr>
            <w:tcW w:w="700" w:type="dxa"/>
            <w:vAlign w:val="bottom"/>
            <w:shd w:val="clear" w:color="auto" w:fill="852166"/>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720" w:type="dxa"/>
            <w:vAlign w:val="bottom"/>
            <w:shd w:val="clear" w:color="auto" w:fill="852166"/>
          </w:tcPr>
          <w:p>
            <w:pPr>
              <w:spacing w:after="0"/>
              <w:rPr>
                <w:sz w:val="6"/>
                <w:szCs w:val="6"/>
                <w:color w:val="auto"/>
              </w:rPr>
            </w:pPr>
          </w:p>
        </w:tc>
        <w:tc>
          <w:tcPr>
            <w:tcW w:w="280" w:type="dxa"/>
            <w:vAlign w:val="bottom"/>
            <w:shd w:val="clear" w:color="auto" w:fill="852166"/>
          </w:tcPr>
          <w:p>
            <w:pPr>
              <w:spacing w:after="0"/>
              <w:rPr>
                <w:sz w:val="6"/>
                <w:szCs w:val="6"/>
                <w:color w:val="auto"/>
              </w:rPr>
            </w:pPr>
          </w:p>
        </w:tc>
        <w:tc>
          <w:tcPr>
            <w:tcW w:w="680" w:type="dxa"/>
            <w:vAlign w:val="bottom"/>
            <w:shd w:val="clear" w:color="auto" w:fill="852166"/>
          </w:tcPr>
          <w:p>
            <w:pPr>
              <w:spacing w:after="0"/>
              <w:rPr>
                <w:sz w:val="6"/>
                <w:szCs w:val="6"/>
                <w:color w:val="auto"/>
              </w:rPr>
            </w:pPr>
          </w:p>
        </w:tc>
        <w:tc>
          <w:tcPr>
            <w:tcW w:w="1040" w:type="dxa"/>
            <w:vAlign w:val="bottom"/>
            <w:shd w:val="clear" w:color="auto" w:fill="852166"/>
          </w:tcPr>
          <w:p>
            <w:pPr>
              <w:spacing w:after="0"/>
              <w:rPr>
                <w:sz w:val="6"/>
                <w:szCs w:val="6"/>
                <w:color w:val="auto"/>
              </w:rPr>
            </w:pPr>
          </w:p>
        </w:tc>
        <w:tc>
          <w:tcPr>
            <w:tcW w:w="820" w:type="dxa"/>
            <w:vAlign w:val="bottom"/>
            <w:shd w:val="clear" w:color="auto" w:fill="852166"/>
          </w:tcPr>
          <w:p>
            <w:pPr>
              <w:spacing w:after="0"/>
              <w:rPr>
                <w:sz w:val="6"/>
                <w:szCs w:val="6"/>
                <w:color w:val="auto"/>
              </w:rPr>
            </w:pPr>
          </w:p>
        </w:tc>
        <w:tc>
          <w:tcPr>
            <w:tcW w:w="920" w:type="dxa"/>
            <w:vAlign w:val="bottom"/>
            <w:shd w:val="clear" w:color="auto" w:fill="852166"/>
          </w:tcPr>
          <w:p>
            <w:pPr>
              <w:spacing w:after="0"/>
              <w:rPr>
                <w:sz w:val="6"/>
                <w:szCs w:val="6"/>
                <w:color w:val="auto"/>
              </w:rPr>
            </w:pPr>
          </w:p>
        </w:tc>
        <w:tc>
          <w:tcPr>
            <w:tcW w:w="1060" w:type="dxa"/>
            <w:vAlign w:val="bottom"/>
            <w:shd w:val="clear" w:color="auto" w:fill="852166"/>
          </w:tcPr>
          <w:p>
            <w:pPr>
              <w:spacing w:after="0"/>
              <w:rPr>
                <w:sz w:val="6"/>
                <w:szCs w:val="6"/>
                <w:color w:val="auto"/>
              </w:rPr>
            </w:pPr>
          </w:p>
        </w:tc>
        <w:tc>
          <w:tcPr>
            <w:tcW w:w="980" w:type="dxa"/>
            <w:vAlign w:val="bottom"/>
            <w:shd w:val="clear" w:color="auto" w:fill="852166"/>
          </w:tcPr>
          <w:p>
            <w:pPr>
              <w:spacing w:after="0"/>
              <w:rPr>
                <w:sz w:val="6"/>
                <w:szCs w:val="6"/>
                <w:color w:val="auto"/>
              </w:rPr>
            </w:pPr>
          </w:p>
        </w:tc>
        <w:tc>
          <w:tcPr>
            <w:tcW w:w="1080" w:type="dxa"/>
            <w:vAlign w:val="bottom"/>
            <w:shd w:val="clear" w:color="auto" w:fill="852166"/>
          </w:tcPr>
          <w:p>
            <w:pPr>
              <w:spacing w:after="0"/>
              <w:rPr>
                <w:sz w:val="6"/>
                <w:szCs w:val="6"/>
                <w:color w:val="auto"/>
              </w:rPr>
            </w:pPr>
          </w:p>
        </w:tc>
        <w:tc>
          <w:tcPr>
            <w:tcW w:w="980" w:type="dxa"/>
            <w:vAlign w:val="bottom"/>
            <w:shd w:val="clear" w:color="auto" w:fill="852166"/>
          </w:tcPr>
          <w:p>
            <w:pPr>
              <w:spacing w:after="0"/>
              <w:rPr>
                <w:sz w:val="6"/>
                <w:szCs w:val="6"/>
                <w:color w:val="auto"/>
              </w:rPr>
            </w:pPr>
          </w:p>
        </w:tc>
        <w:tc>
          <w:tcPr>
            <w:tcW w:w="980" w:type="dxa"/>
            <w:vAlign w:val="bottom"/>
            <w:shd w:val="clear" w:color="auto" w:fill="852166"/>
          </w:tcPr>
          <w:p>
            <w:pPr>
              <w:spacing w:after="0"/>
              <w:rPr>
                <w:sz w:val="6"/>
                <w:szCs w:val="6"/>
                <w:color w:val="auto"/>
              </w:rPr>
            </w:pPr>
          </w:p>
        </w:tc>
        <w:tc>
          <w:tcPr>
            <w:tcW w:w="700" w:type="dxa"/>
            <w:vAlign w:val="bottom"/>
            <w:shd w:val="clear" w:color="auto" w:fill="852166"/>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1720" w:type="dxa"/>
            <w:vAlign w:val="bottom"/>
          </w:tcPr>
          <w:p>
            <w:pPr>
              <w:ind w:left="100"/>
              <w:spacing w:after="0"/>
              <w:rPr>
                <w:sz w:val="20"/>
                <w:szCs w:val="20"/>
                <w:color w:val="auto"/>
              </w:rPr>
            </w:pPr>
            <w:r>
              <w:rPr>
                <w:rFonts w:ascii="Arial" w:cs="Arial" w:eastAsia="Arial" w:hAnsi="Arial"/>
                <w:sz w:val="14"/>
                <w:szCs w:val="14"/>
                <w:color w:val="auto"/>
              </w:rPr>
              <w:t>Jennifer E. Cook</w:t>
            </w:r>
          </w:p>
        </w:tc>
        <w:tc>
          <w:tcPr>
            <w:tcW w:w="28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Wingdings" w:cs="Wingdings" w:eastAsia="Wingdings" w:hAnsi="Wingdings"/>
                <w:sz w:val="14"/>
                <w:szCs w:val="14"/>
                <w:b w:val="1"/>
                <w:bCs w:val="1"/>
                <w:color w:val="auto"/>
              </w:rPr>
              <w:t>l</w:t>
            </w:r>
          </w:p>
        </w:tc>
        <w:tc>
          <w:tcPr>
            <w:tcW w:w="1040" w:type="dxa"/>
            <w:vAlign w:val="bottom"/>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820" w:type="dxa"/>
            <w:vAlign w:val="bottom"/>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920" w:type="dxa"/>
            <w:vAlign w:val="bottom"/>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10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1080" w:type="dxa"/>
            <w:vAlign w:val="bottom"/>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980" w:type="dxa"/>
            <w:vAlign w:val="bottom"/>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980" w:type="dxa"/>
            <w:vAlign w:val="bottom"/>
          </w:tcPr>
          <w:p>
            <w:pPr>
              <w:spacing w:after="0"/>
              <w:rPr>
                <w:sz w:val="18"/>
                <w:szCs w:val="18"/>
                <w:color w:val="auto"/>
              </w:rPr>
            </w:pPr>
          </w:p>
        </w:tc>
        <w:tc>
          <w:tcPr>
            <w:tcW w:w="700" w:type="dxa"/>
            <w:vAlign w:val="bottom"/>
          </w:tcPr>
          <w:p>
            <w:pPr>
              <w:jc w:val="center"/>
              <w:ind w:right="49"/>
              <w:spacing w:after="0"/>
              <w:rPr>
                <w:sz w:val="20"/>
                <w:szCs w:val="20"/>
                <w:color w:val="auto"/>
              </w:rPr>
            </w:pPr>
            <w:r>
              <w:rPr>
                <w:rFonts w:ascii="Wingdings" w:cs="Wingdings" w:eastAsia="Wingdings" w:hAnsi="Wingdings"/>
                <w:sz w:val="14"/>
                <w:szCs w:val="14"/>
                <w:b w:val="1"/>
                <w:bCs w:val="1"/>
                <w:color w:val="auto"/>
                <w:w w:val="95"/>
              </w:rPr>
              <w:t>l</w:t>
            </w: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2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14"/>
                <w:szCs w:val="14"/>
                <w:color w:val="auto"/>
              </w:rPr>
              <w:t>Bruce C. Cozadd</w:t>
            </w:r>
          </w:p>
        </w:tc>
        <w:tc>
          <w:tcPr>
            <w:tcW w:w="280" w:type="dxa"/>
            <w:vAlign w:val="bottom"/>
            <w:tcBorders>
              <w:bottom w:val="single" w:sz="8" w:color="EAEAEA"/>
            </w:tcBorders>
            <w:shd w:val="clear" w:color="auto" w:fill="EAEAEA"/>
          </w:tcPr>
          <w:p>
            <w:pPr>
              <w:spacing w:after="0"/>
              <w:rPr>
                <w:sz w:val="18"/>
                <w:szCs w:val="18"/>
                <w:color w:val="auto"/>
              </w:rPr>
            </w:pPr>
          </w:p>
        </w:tc>
        <w:tc>
          <w:tcPr>
            <w:tcW w:w="680" w:type="dxa"/>
            <w:vAlign w:val="bottom"/>
            <w:tcBorders>
              <w:bottom w:val="single" w:sz="8" w:color="EAEAEA"/>
            </w:tcBorders>
            <w:shd w:val="clear" w:color="auto" w:fill="EAEAEA"/>
          </w:tcPr>
          <w:p>
            <w:pPr>
              <w:ind w:left="180"/>
              <w:spacing w:after="0"/>
              <w:rPr>
                <w:sz w:val="20"/>
                <w:szCs w:val="20"/>
                <w:color w:val="auto"/>
              </w:rPr>
            </w:pPr>
            <w:r>
              <w:rPr>
                <w:rFonts w:ascii="Wingdings" w:cs="Wingdings" w:eastAsia="Wingdings" w:hAnsi="Wingdings"/>
                <w:sz w:val="14"/>
                <w:szCs w:val="14"/>
                <w:b w:val="1"/>
                <w:bCs w:val="1"/>
                <w:color w:val="auto"/>
              </w:rPr>
              <w:t>l</w:t>
            </w:r>
          </w:p>
        </w:tc>
        <w:tc>
          <w:tcPr>
            <w:tcW w:w="104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82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92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106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98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1080" w:type="dxa"/>
            <w:vAlign w:val="bottom"/>
            <w:tcBorders>
              <w:bottom w:val="single" w:sz="8" w:color="EAEAEA"/>
            </w:tcBorders>
            <w:shd w:val="clear" w:color="auto" w:fill="EAEAEA"/>
          </w:tcPr>
          <w:p>
            <w:pPr>
              <w:spacing w:after="0"/>
              <w:rPr>
                <w:sz w:val="18"/>
                <w:szCs w:val="18"/>
                <w:color w:val="auto"/>
              </w:rPr>
            </w:pPr>
          </w:p>
        </w:tc>
        <w:tc>
          <w:tcPr>
            <w:tcW w:w="98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98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700" w:type="dxa"/>
            <w:vAlign w:val="bottom"/>
            <w:tcBorders>
              <w:bottom w:val="single" w:sz="8" w:color="EAEAEA"/>
            </w:tcBorders>
            <w:shd w:val="clear" w:color="auto" w:fill="EAEAEA"/>
          </w:tcPr>
          <w:p>
            <w:pPr>
              <w:jc w:val="center"/>
              <w:ind w:right="49"/>
              <w:spacing w:after="0"/>
              <w:rPr>
                <w:sz w:val="20"/>
                <w:szCs w:val="20"/>
                <w:color w:val="auto"/>
              </w:rPr>
            </w:pPr>
            <w:r>
              <w:rPr>
                <w:rFonts w:ascii="Wingdings" w:cs="Wingdings" w:eastAsia="Wingdings" w:hAnsi="Wingdings"/>
                <w:sz w:val="14"/>
                <w:szCs w:val="14"/>
                <w:b w:val="1"/>
                <w:bCs w:val="1"/>
                <w:color w:val="auto"/>
                <w:w w:val="95"/>
              </w:rPr>
              <w:t>l</w:t>
            </w:r>
          </w:p>
        </w:tc>
        <w:tc>
          <w:tcPr>
            <w:tcW w:w="0" w:type="dxa"/>
            <w:vAlign w:val="bottom"/>
          </w:tcPr>
          <w:p>
            <w:pPr>
              <w:spacing w:after="0"/>
              <w:rPr>
                <w:sz w:val="1"/>
                <w:szCs w:val="1"/>
                <w:color w:val="auto"/>
              </w:rPr>
            </w:pPr>
          </w:p>
        </w:tc>
      </w:tr>
      <w:tr>
        <w:trPr>
          <w:trHeight w:val="208"/>
        </w:trPr>
        <w:tc>
          <w:tcPr>
            <w:tcW w:w="1720" w:type="dxa"/>
            <w:vAlign w:val="bottom"/>
          </w:tcPr>
          <w:p>
            <w:pPr>
              <w:ind w:left="100"/>
              <w:spacing w:after="0"/>
              <w:rPr>
                <w:sz w:val="20"/>
                <w:szCs w:val="20"/>
                <w:color w:val="auto"/>
              </w:rPr>
            </w:pPr>
            <w:r>
              <w:rPr>
                <w:rFonts w:ascii="Arial" w:cs="Arial" w:eastAsia="Arial" w:hAnsi="Arial"/>
                <w:sz w:val="14"/>
                <w:szCs w:val="14"/>
                <w:color w:val="auto"/>
              </w:rPr>
              <w:t>Patrick G. Enright</w:t>
            </w:r>
          </w:p>
        </w:tc>
        <w:tc>
          <w:tcPr>
            <w:tcW w:w="28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Wingdings" w:cs="Wingdings" w:eastAsia="Wingdings" w:hAnsi="Wingdings"/>
                <w:sz w:val="14"/>
                <w:szCs w:val="14"/>
                <w:b w:val="1"/>
                <w:bCs w:val="1"/>
                <w:color w:val="auto"/>
              </w:rPr>
              <w:t>l</w:t>
            </w:r>
          </w:p>
        </w:tc>
        <w:tc>
          <w:tcPr>
            <w:tcW w:w="1040" w:type="dxa"/>
            <w:vAlign w:val="bottom"/>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820" w:type="dxa"/>
            <w:vAlign w:val="bottom"/>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920" w:type="dxa"/>
            <w:vAlign w:val="bottom"/>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1060" w:type="dxa"/>
            <w:vAlign w:val="bottom"/>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980" w:type="dxa"/>
            <w:vAlign w:val="bottom"/>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1080" w:type="dxa"/>
            <w:vAlign w:val="bottom"/>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980" w:type="dxa"/>
            <w:vAlign w:val="bottom"/>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980" w:type="dxa"/>
            <w:vAlign w:val="bottom"/>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700" w:type="dxa"/>
            <w:vAlign w:val="bottom"/>
          </w:tcPr>
          <w:p>
            <w:pPr>
              <w:jc w:val="center"/>
              <w:ind w:right="49"/>
              <w:spacing w:after="0"/>
              <w:rPr>
                <w:sz w:val="20"/>
                <w:szCs w:val="20"/>
                <w:color w:val="auto"/>
              </w:rPr>
            </w:pPr>
            <w:r>
              <w:rPr>
                <w:rFonts w:ascii="Wingdings" w:cs="Wingdings" w:eastAsia="Wingdings" w:hAnsi="Wingdings"/>
                <w:sz w:val="14"/>
                <w:szCs w:val="14"/>
                <w:b w:val="1"/>
                <w:bCs w:val="1"/>
                <w:color w:val="auto"/>
                <w:w w:val="95"/>
              </w:rPr>
              <w:t>l</w:t>
            </w: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720" w:type="dxa"/>
            <w:vAlign w:val="bottom"/>
            <w:shd w:val="clear" w:color="auto" w:fill="EAEAEA"/>
          </w:tcPr>
          <w:p>
            <w:pPr>
              <w:ind w:left="100"/>
              <w:spacing w:after="0"/>
              <w:rPr>
                <w:sz w:val="20"/>
                <w:szCs w:val="20"/>
                <w:color w:val="auto"/>
              </w:rPr>
            </w:pPr>
            <w:r>
              <w:rPr>
                <w:rFonts w:ascii="Arial" w:cs="Arial" w:eastAsia="Arial" w:hAnsi="Arial"/>
                <w:sz w:val="14"/>
                <w:szCs w:val="14"/>
                <w:color w:val="auto"/>
              </w:rPr>
              <w:t>Peter Gray</w:t>
            </w:r>
            <w:r>
              <w:rPr>
                <w:rFonts w:ascii="Arial" w:cs="Arial" w:eastAsia="Arial" w:hAnsi="Arial"/>
                <w:sz w:val="9"/>
                <w:szCs w:val="9"/>
                <w:color w:val="auto"/>
              </w:rPr>
              <w:t>(1)</w:t>
            </w:r>
          </w:p>
        </w:tc>
        <w:tc>
          <w:tcPr>
            <w:tcW w:w="280" w:type="dxa"/>
            <w:vAlign w:val="bottom"/>
            <w:shd w:val="clear" w:color="auto" w:fill="EAEAEA"/>
          </w:tcPr>
          <w:p>
            <w:pPr>
              <w:spacing w:after="0"/>
              <w:rPr>
                <w:sz w:val="19"/>
                <w:szCs w:val="19"/>
                <w:color w:val="auto"/>
              </w:rPr>
            </w:pPr>
          </w:p>
        </w:tc>
        <w:tc>
          <w:tcPr>
            <w:tcW w:w="680" w:type="dxa"/>
            <w:vAlign w:val="bottom"/>
            <w:shd w:val="clear" w:color="auto" w:fill="EAEAEA"/>
          </w:tcPr>
          <w:p>
            <w:pPr>
              <w:ind w:left="180"/>
              <w:spacing w:after="0"/>
              <w:rPr>
                <w:sz w:val="20"/>
                <w:szCs w:val="20"/>
                <w:color w:val="auto"/>
              </w:rPr>
            </w:pPr>
            <w:r>
              <w:rPr>
                <w:rFonts w:ascii="Wingdings" w:cs="Wingdings" w:eastAsia="Wingdings" w:hAnsi="Wingdings"/>
                <w:sz w:val="14"/>
                <w:szCs w:val="14"/>
                <w:b w:val="1"/>
                <w:bCs w:val="1"/>
                <w:color w:val="auto"/>
              </w:rPr>
              <w:t>l</w:t>
            </w:r>
          </w:p>
        </w:tc>
        <w:tc>
          <w:tcPr>
            <w:tcW w:w="1040" w:type="dxa"/>
            <w:vAlign w:val="bottom"/>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820" w:type="dxa"/>
            <w:vAlign w:val="bottom"/>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920" w:type="dxa"/>
            <w:vAlign w:val="bottom"/>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1060" w:type="dxa"/>
            <w:vAlign w:val="bottom"/>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980" w:type="dxa"/>
            <w:vAlign w:val="bottom"/>
            <w:shd w:val="clear" w:color="auto" w:fill="EAEAEA"/>
          </w:tcPr>
          <w:p>
            <w:pPr>
              <w:spacing w:after="0"/>
              <w:rPr>
                <w:sz w:val="19"/>
                <w:szCs w:val="19"/>
                <w:color w:val="auto"/>
              </w:rPr>
            </w:pPr>
          </w:p>
        </w:tc>
        <w:tc>
          <w:tcPr>
            <w:tcW w:w="1080" w:type="dxa"/>
            <w:vAlign w:val="bottom"/>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980" w:type="dxa"/>
            <w:vAlign w:val="bottom"/>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980" w:type="dxa"/>
            <w:vAlign w:val="bottom"/>
            <w:shd w:val="clear" w:color="auto" w:fill="EAEAEA"/>
          </w:tcPr>
          <w:p>
            <w:pPr>
              <w:spacing w:after="0"/>
              <w:rPr>
                <w:sz w:val="19"/>
                <w:szCs w:val="19"/>
                <w:color w:val="auto"/>
              </w:rPr>
            </w:pPr>
          </w:p>
        </w:tc>
        <w:tc>
          <w:tcPr>
            <w:tcW w:w="700" w:type="dxa"/>
            <w:vAlign w:val="bottom"/>
            <w:shd w:val="clear" w:color="auto" w:fill="EAEAEA"/>
          </w:tcPr>
          <w:p>
            <w:pPr>
              <w:jc w:val="center"/>
              <w:ind w:right="49"/>
              <w:spacing w:after="0"/>
              <w:rPr>
                <w:sz w:val="20"/>
                <w:szCs w:val="20"/>
                <w:color w:val="auto"/>
              </w:rPr>
            </w:pPr>
            <w:r>
              <w:rPr>
                <w:rFonts w:ascii="Wingdings" w:cs="Wingdings" w:eastAsia="Wingdings" w:hAnsi="Wingdings"/>
                <w:sz w:val="14"/>
                <w:szCs w:val="14"/>
                <w:b w:val="1"/>
                <w:bCs w:val="1"/>
                <w:color w:val="auto"/>
                <w:w w:val="95"/>
              </w:rPr>
              <w:t>l</w:t>
            </w:r>
          </w:p>
        </w:tc>
        <w:tc>
          <w:tcPr>
            <w:tcW w:w="0" w:type="dxa"/>
            <w:vAlign w:val="bottom"/>
          </w:tcPr>
          <w:p>
            <w:pPr>
              <w:spacing w:after="0"/>
              <w:rPr>
                <w:sz w:val="1"/>
                <w:szCs w:val="1"/>
                <w:color w:val="auto"/>
              </w:rPr>
            </w:pPr>
          </w:p>
        </w:tc>
      </w:tr>
      <w:tr>
        <w:trPr>
          <w:trHeight w:val="65"/>
        </w:trPr>
        <w:tc>
          <w:tcPr>
            <w:tcW w:w="1720" w:type="dxa"/>
            <w:vAlign w:val="bottom"/>
            <w:shd w:val="clear" w:color="auto" w:fill="EAEAEA"/>
          </w:tcPr>
          <w:p>
            <w:pPr>
              <w:spacing w:after="0"/>
              <w:rPr>
                <w:sz w:val="5"/>
                <w:szCs w:val="5"/>
                <w:color w:val="auto"/>
              </w:rPr>
            </w:pPr>
          </w:p>
        </w:tc>
        <w:tc>
          <w:tcPr>
            <w:tcW w:w="280" w:type="dxa"/>
            <w:vAlign w:val="bottom"/>
            <w:shd w:val="clear" w:color="auto" w:fill="EAEAEA"/>
          </w:tcPr>
          <w:p>
            <w:pPr>
              <w:spacing w:after="0"/>
              <w:rPr>
                <w:sz w:val="5"/>
                <w:szCs w:val="5"/>
                <w:color w:val="auto"/>
              </w:rPr>
            </w:pPr>
          </w:p>
        </w:tc>
        <w:tc>
          <w:tcPr>
            <w:tcW w:w="680" w:type="dxa"/>
            <w:vAlign w:val="bottom"/>
            <w:shd w:val="clear" w:color="auto" w:fill="EAEAEA"/>
          </w:tcPr>
          <w:p>
            <w:pPr>
              <w:spacing w:after="0"/>
              <w:rPr>
                <w:sz w:val="5"/>
                <w:szCs w:val="5"/>
                <w:color w:val="auto"/>
              </w:rPr>
            </w:pPr>
          </w:p>
        </w:tc>
        <w:tc>
          <w:tcPr>
            <w:tcW w:w="1040" w:type="dxa"/>
            <w:vAlign w:val="bottom"/>
            <w:shd w:val="clear" w:color="auto" w:fill="EAEAEA"/>
          </w:tcPr>
          <w:p>
            <w:pPr>
              <w:spacing w:after="0"/>
              <w:rPr>
                <w:sz w:val="5"/>
                <w:szCs w:val="5"/>
                <w:color w:val="auto"/>
              </w:rPr>
            </w:pPr>
          </w:p>
        </w:tc>
        <w:tc>
          <w:tcPr>
            <w:tcW w:w="820" w:type="dxa"/>
            <w:vAlign w:val="bottom"/>
            <w:shd w:val="clear" w:color="auto" w:fill="EAEAEA"/>
          </w:tcPr>
          <w:p>
            <w:pPr>
              <w:spacing w:after="0"/>
              <w:rPr>
                <w:sz w:val="5"/>
                <w:szCs w:val="5"/>
                <w:color w:val="auto"/>
              </w:rPr>
            </w:pPr>
          </w:p>
        </w:tc>
        <w:tc>
          <w:tcPr>
            <w:tcW w:w="920" w:type="dxa"/>
            <w:vAlign w:val="bottom"/>
            <w:shd w:val="clear" w:color="auto" w:fill="EAEAEA"/>
          </w:tcPr>
          <w:p>
            <w:pPr>
              <w:spacing w:after="0"/>
              <w:rPr>
                <w:sz w:val="5"/>
                <w:szCs w:val="5"/>
                <w:color w:val="auto"/>
              </w:rPr>
            </w:pPr>
          </w:p>
        </w:tc>
        <w:tc>
          <w:tcPr>
            <w:tcW w:w="1060" w:type="dxa"/>
            <w:vAlign w:val="bottom"/>
            <w:shd w:val="clear" w:color="auto" w:fill="EAEAEA"/>
          </w:tcPr>
          <w:p>
            <w:pPr>
              <w:spacing w:after="0"/>
              <w:rPr>
                <w:sz w:val="5"/>
                <w:szCs w:val="5"/>
                <w:color w:val="auto"/>
              </w:rPr>
            </w:pPr>
          </w:p>
        </w:tc>
        <w:tc>
          <w:tcPr>
            <w:tcW w:w="980" w:type="dxa"/>
            <w:vAlign w:val="bottom"/>
            <w:shd w:val="clear" w:color="auto" w:fill="EAEAEA"/>
          </w:tcPr>
          <w:p>
            <w:pPr>
              <w:spacing w:after="0"/>
              <w:rPr>
                <w:sz w:val="5"/>
                <w:szCs w:val="5"/>
                <w:color w:val="auto"/>
              </w:rPr>
            </w:pPr>
          </w:p>
        </w:tc>
        <w:tc>
          <w:tcPr>
            <w:tcW w:w="1080" w:type="dxa"/>
            <w:vAlign w:val="bottom"/>
            <w:shd w:val="clear" w:color="auto" w:fill="EAEAEA"/>
          </w:tcPr>
          <w:p>
            <w:pPr>
              <w:spacing w:after="0"/>
              <w:rPr>
                <w:sz w:val="5"/>
                <w:szCs w:val="5"/>
                <w:color w:val="auto"/>
              </w:rPr>
            </w:pPr>
          </w:p>
        </w:tc>
        <w:tc>
          <w:tcPr>
            <w:tcW w:w="980" w:type="dxa"/>
            <w:vAlign w:val="bottom"/>
            <w:shd w:val="clear" w:color="auto" w:fill="EAEAEA"/>
          </w:tcPr>
          <w:p>
            <w:pPr>
              <w:spacing w:after="0"/>
              <w:rPr>
                <w:sz w:val="5"/>
                <w:szCs w:val="5"/>
                <w:color w:val="auto"/>
              </w:rPr>
            </w:pPr>
          </w:p>
        </w:tc>
        <w:tc>
          <w:tcPr>
            <w:tcW w:w="980" w:type="dxa"/>
            <w:vAlign w:val="bottom"/>
            <w:shd w:val="clear" w:color="auto" w:fill="EAEAEA"/>
          </w:tcPr>
          <w:p>
            <w:pPr>
              <w:spacing w:after="0"/>
              <w:rPr>
                <w:sz w:val="5"/>
                <w:szCs w:val="5"/>
                <w:color w:val="auto"/>
              </w:rPr>
            </w:pPr>
          </w:p>
        </w:tc>
        <w:tc>
          <w:tcPr>
            <w:tcW w:w="700" w:type="dxa"/>
            <w:vAlign w:val="bottom"/>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1720" w:type="dxa"/>
            <w:vAlign w:val="bottom"/>
          </w:tcPr>
          <w:p>
            <w:pPr>
              <w:ind w:left="100"/>
              <w:spacing w:after="0"/>
              <w:rPr>
                <w:sz w:val="20"/>
                <w:szCs w:val="20"/>
                <w:color w:val="auto"/>
              </w:rPr>
            </w:pPr>
            <w:r>
              <w:rPr>
                <w:rFonts w:ascii="Arial" w:cs="Arial" w:eastAsia="Arial" w:hAnsi="Arial"/>
                <w:sz w:val="14"/>
                <w:szCs w:val="14"/>
                <w:color w:val="auto"/>
              </w:rPr>
              <w:t>Laura J. Hamill</w:t>
            </w:r>
          </w:p>
        </w:tc>
        <w:tc>
          <w:tcPr>
            <w:tcW w:w="28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Wingdings" w:cs="Wingdings" w:eastAsia="Wingdings" w:hAnsi="Wingdings"/>
                <w:sz w:val="14"/>
                <w:szCs w:val="14"/>
                <w:b w:val="1"/>
                <w:bCs w:val="1"/>
                <w:color w:val="auto"/>
              </w:rPr>
              <w:t>l</w:t>
            </w:r>
          </w:p>
        </w:tc>
        <w:tc>
          <w:tcPr>
            <w:tcW w:w="1040" w:type="dxa"/>
            <w:vAlign w:val="bottom"/>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820" w:type="dxa"/>
            <w:vAlign w:val="bottom"/>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10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980" w:type="dxa"/>
            <w:vAlign w:val="bottom"/>
          </w:tcPr>
          <w:p>
            <w:pPr>
              <w:spacing w:after="0"/>
              <w:rPr>
                <w:sz w:val="18"/>
                <w:szCs w:val="18"/>
                <w:color w:val="auto"/>
              </w:rPr>
            </w:pPr>
          </w:p>
        </w:tc>
        <w:tc>
          <w:tcPr>
            <w:tcW w:w="700" w:type="dxa"/>
            <w:vAlign w:val="bottom"/>
          </w:tcPr>
          <w:p>
            <w:pPr>
              <w:jc w:val="center"/>
              <w:ind w:right="49"/>
              <w:spacing w:after="0"/>
              <w:rPr>
                <w:sz w:val="20"/>
                <w:szCs w:val="20"/>
                <w:color w:val="auto"/>
              </w:rPr>
            </w:pPr>
            <w:r>
              <w:rPr>
                <w:rFonts w:ascii="Wingdings" w:cs="Wingdings" w:eastAsia="Wingdings" w:hAnsi="Wingdings"/>
                <w:sz w:val="14"/>
                <w:szCs w:val="14"/>
                <w:b w:val="1"/>
                <w:bCs w:val="1"/>
                <w:color w:val="auto"/>
                <w:w w:val="95"/>
              </w:rPr>
              <w:t>l</w:t>
            </w: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2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14"/>
                <w:szCs w:val="14"/>
                <w:color w:val="auto"/>
              </w:rPr>
              <w:t>Patrick Kennedy</w:t>
            </w:r>
          </w:p>
        </w:tc>
        <w:tc>
          <w:tcPr>
            <w:tcW w:w="280" w:type="dxa"/>
            <w:vAlign w:val="bottom"/>
            <w:tcBorders>
              <w:bottom w:val="single" w:sz="8" w:color="EAEAEA"/>
            </w:tcBorders>
            <w:shd w:val="clear" w:color="auto" w:fill="EAEAEA"/>
          </w:tcPr>
          <w:p>
            <w:pPr>
              <w:spacing w:after="0"/>
              <w:rPr>
                <w:sz w:val="18"/>
                <w:szCs w:val="18"/>
                <w:color w:val="auto"/>
              </w:rPr>
            </w:pPr>
          </w:p>
        </w:tc>
        <w:tc>
          <w:tcPr>
            <w:tcW w:w="680" w:type="dxa"/>
            <w:vAlign w:val="bottom"/>
            <w:tcBorders>
              <w:bottom w:val="single" w:sz="8" w:color="EAEAEA"/>
            </w:tcBorders>
            <w:shd w:val="clear" w:color="auto" w:fill="EAEAEA"/>
          </w:tcPr>
          <w:p>
            <w:pPr>
              <w:ind w:left="180"/>
              <w:spacing w:after="0"/>
              <w:rPr>
                <w:sz w:val="20"/>
                <w:szCs w:val="20"/>
                <w:color w:val="auto"/>
              </w:rPr>
            </w:pPr>
            <w:r>
              <w:rPr>
                <w:rFonts w:ascii="Wingdings" w:cs="Wingdings" w:eastAsia="Wingdings" w:hAnsi="Wingdings"/>
                <w:sz w:val="14"/>
                <w:szCs w:val="14"/>
                <w:b w:val="1"/>
                <w:bCs w:val="1"/>
                <w:color w:val="auto"/>
              </w:rPr>
              <w:t>l</w:t>
            </w:r>
          </w:p>
        </w:tc>
        <w:tc>
          <w:tcPr>
            <w:tcW w:w="104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82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92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106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98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1080" w:type="dxa"/>
            <w:vAlign w:val="bottom"/>
            <w:tcBorders>
              <w:bottom w:val="single" w:sz="8" w:color="EAEAEA"/>
            </w:tcBorders>
            <w:shd w:val="clear" w:color="auto" w:fill="EAEAEA"/>
          </w:tcPr>
          <w:p>
            <w:pPr>
              <w:spacing w:after="0"/>
              <w:rPr>
                <w:sz w:val="18"/>
                <w:szCs w:val="18"/>
                <w:color w:val="auto"/>
              </w:rPr>
            </w:pPr>
          </w:p>
        </w:tc>
        <w:tc>
          <w:tcPr>
            <w:tcW w:w="98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98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700" w:type="dxa"/>
            <w:vAlign w:val="bottom"/>
            <w:tcBorders>
              <w:bottom w:val="single" w:sz="8" w:color="EAEAEA"/>
            </w:tcBorders>
            <w:shd w:val="clear" w:color="auto" w:fill="EAEAEA"/>
          </w:tcPr>
          <w:p>
            <w:pPr>
              <w:jc w:val="center"/>
              <w:ind w:right="49"/>
              <w:spacing w:after="0"/>
              <w:rPr>
                <w:sz w:val="20"/>
                <w:szCs w:val="20"/>
                <w:color w:val="auto"/>
              </w:rPr>
            </w:pPr>
            <w:r>
              <w:rPr>
                <w:rFonts w:ascii="Wingdings" w:cs="Wingdings" w:eastAsia="Wingdings" w:hAnsi="Wingdings"/>
                <w:sz w:val="14"/>
                <w:szCs w:val="14"/>
                <w:b w:val="1"/>
                <w:bCs w:val="1"/>
                <w:color w:val="auto"/>
                <w:w w:val="95"/>
              </w:rPr>
              <w:t>l</w:t>
            </w:r>
          </w:p>
        </w:tc>
        <w:tc>
          <w:tcPr>
            <w:tcW w:w="0" w:type="dxa"/>
            <w:vAlign w:val="bottom"/>
          </w:tcPr>
          <w:p>
            <w:pPr>
              <w:spacing w:after="0"/>
              <w:rPr>
                <w:sz w:val="1"/>
                <w:szCs w:val="1"/>
                <w:color w:val="auto"/>
              </w:rPr>
            </w:pPr>
          </w:p>
        </w:tc>
      </w:tr>
      <w:tr>
        <w:trPr>
          <w:trHeight w:val="208"/>
        </w:trPr>
        <w:tc>
          <w:tcPr>
            <w:tcW w:w="1720" w:type="dxa"/>
            <w:vAlign w:val="bottom"/>
          </w:tcPr>
          <w:p>
            <w:pPr>
              <w:ind w:left="100"/>
              <w:spacing w:after="0"/>
              <w:rPr>
                <w:sz w:val="20"/>
                <w:szCs w:val="20"/>
                <w:color w:val="auto"/>
              </w:rPr>
            </w:pPr>
            <w:r>
              <w:rPr>
                <w:rFonts w:ascii="Arial" w:cs="Arial" w:eastAsia="Arial" w:hAnsi="Arial"/>
                <w:sz w:val="14"/>
                <w:szCs w:val="14"/>
                <w:color w:val="auto"/>
              </w:rPr>
              <w:t>Heather Ann McSharry</w:t>
            </w:r>
          </w:p>
        </w:tc>
        <w:tc>
          <w:tcPr>
            <w:tcW w:w="28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Wingdings" w:cs="Wingdings" w:eastAsia="Wingdings" w:hAnsi="Wingdings"/>
                <w:sz w:val="14"/>
                <w:szCs w:val="14"/>
                <w:b w:val="1"/>
                <w:bCs w:val="1"/>
                <w:color w:val="auto"/>
              </w:rPr>
              <w:t>l</w:t>
            </w:r>
          </w:p>
        </w:tc>
        <w:tc>
          <w:tcPr>
            <w:tcW w:w="1040" w:type="dxa"/>
            <w:vAlign w:val="bottom"/>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820" w:type="dxa"/>
            <w:vAlign w:val="bottom"/>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920" w:type="dxa"/>
            <w:vAlign w:val="bottom"/>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1060" w:type="dxa"/>
            <w:vAlign w:val="bottom"/>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980" w:type="dxa"/>
            <w:vAlign w:val="bottom"/>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10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980" w:type="dxa"/>
            <w:vAlign w:val="bottom"/>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700" w:type="dxa"/>
            <w:vAlign w:val="bottom"/>
          </w:tcPr>
          <w:p>
            <w:pPr>
              <w:jc w:val="center"/>
              <w:ind w:right="49"/>
              <w:spacing w:after="0"/>
              <w:rPr>
                <w:sz w:val="20"/>
                <w:szCs w:val="20"/>
                <w:color w:val="auto"/>
              </w:rPr>
            </w:pPr>
            <w:r>
              <w:rPr>
                <w:rFonts w:ascii="Wingdings" w:cs="Wingdings" w:eastAsia="Wingdings" w:hAnsi="Wingdings"/>
                <w:sz w:val="14"/>
                <w:szCs w:val="14"/>
                <w:b w:val="1"/>
                <w:bCs w:val="1"/>
                <w:color w:val="auto"/>
                <w:w w:val="95"/>
              </w:rPr>
              <w:t>l</w:t>
            </w: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2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14"/>
                <w:szCs w:val="14"/>
                <w:color w:val="auto"/>
              </w:rPr>
              <w:t>Seamus Mulligan</w:t>
            </w:r>
          </w:p>
        </w:tc>
        <w:tc>
          <w:tcPr>
            <w:tcW w:w="280" w:type="dxa"/>
            <w:vAlign w:val="bottom"/>
            <w:tcBorders>
              <w:bottom w:val="single" w:sz="8" w:color="EAEAEA"/>
            </w:tcBorders>
            <w:shd w:val="clear" w:color="auto" w:fill="EAEAEA"/>
          </w:tcPr>
          <w:p>
            <w:pPr>
              <w:spacing w:after="0"/>
              <w:rPr>
                <w:sz w:val="18"/>
                <w:szCs w:val="18"/>
                <w:color w:val="auto"/>
              </w:rPr>
            </w:pPr>
          </w:p>
        </w:tc>
        <w:tc>
          <w:tcPr>
            <w:tcW w:w="680" w:type="dxa"/>
            <w:vAlign w:val="bottom"/>
            <w:tcBorders>
              <w:bottom w:val="single" w:sz="8" w:color="EAEAEA"/>
            </w:tcBorders>
            <w:shd w:val="clear" w:color="auto" w:fill="EAEAEA"/>
          </w:tcPr>
          <w:p>
            <w:pPr>
              <w:ind w:left="180"/>
              <w:spacing w:after="0"/>
              <w:rPr>
                <w:sz w:val="20"/>
                <w:szCs w:val="20"/>
                <w:color w:val="auto"/>
              </w:rPr>
            </w:pPr>
            <w:r>
              <w:rPr>
                <w:rFonts w:ascii="Wingdings" w:cs="Wingdings" w:eastAsia="Wingdings" w:hAnsi="Wingdings"/>
                <w:sz w:val="14"/>
                <w:szCs w:val="14"/>
                <w:b w:val="1"/>
                <w:bCs w:val="1"/>
                <w:color w:val="auto"/>
              </w:rPr>
              <w:t>l</w:t>
            </w:r>
          </w:p>
        </w:tc>
        <w:tc>
          <w:tcPr>
            <w:tcW w:w="104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82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920" w:type="dxa"/>
            <w:vAlign w:val="bottom"/>
            <w:tcBorders>
              <w:bottom w:val="single" w:sz="8" w:color="EAEAEA"/>
            </w:tcBorders>
            <w:shd w:val="clear" w:color="auto" w:fill="EAEAEA"/>
          </w:tcPr>
          <w:p>
            <w:pPr>
              <w:spacing w:after="0"/>
              <w:rPr>
                <w:sz w:val="18"/>
                <w:szCs w:val="18"/>
                <w:color w:val="auto"/>
              </w:rPr>
            </w:pPr>
          </w:p>
        </w:tc>
        <w:tc>
          <w:tcPr>
            <w:tcW w:w="106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98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108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98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980" w:type="dxa"/>
            <w:vAlign w:val="bottom"/>
            <w:tcBorders>
              <w:bottom w:val="single" w:sz="8" w:color="EAEAEA"/>
            </w:tcBorders>
            <w:shd w:val="clear" w:color="auto" w:fill="EAEAEA"/>
          </w:tcPr>
          <w:p>
            <w:pPr>
              <w:spacing w:after="0"/>
              <w:rPr>
                <w:sz w:val="18"/>
                <w:szCs w:val="18"/>
                <w:color w:val="auto"/>
              </w:rPr>
            </w:pPr>
          </w:p>
        </w:tc>
        <w:tc>
          <w:tcPr>
            <w:tcW w:w="700" w:type="dxa"/>
            <w:vAlign w:val="bottom"/>
            <w:tcBorders>
              <w:bottom w:val="single" w:sz="8" w:color="EAEAEA"/>
            </w:tcBorders>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20" w:type="dxa"/>
            <w:vAlign w:val="bottom"/>
          </w:tcPr>
          <w:p>
            <w:pPr>
              <w:ind w:left="100"/>
              <w:spacing w:after="0"/>
              <w:rPr>
                <w:sz w:val="20"/>
                <w:szCs w:val="20"/>
                <w:color w:val="auto"/>
              </w:rPr>
            </w:pPr>
            <w:r>
              <w:rPr>
                <w:rFonts w:ascii="Arial" w:cs="Arial" w:eastAsia="Arial" w:hAnsi="Arial"/>
                <w:sz w:val="14"/>
                <w:szCs w:val="14"/>
                <w:color w:val="auto"/>
              </w:rPr>
              <w:t>Kenneth W. O’Keefe</w:t>
            </w:r>
          </w:p>
        </w:tc>
        <w:tc>
          <w:tcPr>
            <w:tcW w:w="28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Wingdings" w:cs="Wingdings" w:eastAsia="Wingdings" w:hAnsi="Wingdings"/>
                <w:sz w:val="14"/>
                <w:szCs w:val="14"/>
                <w:b w:val="1"/>
                <w:bCs w:val="1"/>
                <w:color w:val="auto"/>
              </w:rPr>
              <w:t>l</w:t>
            </w:r>
          </w:p>
        </w:tc>
        <w:tc>
          <w:tcPr>
            <w:tcW w:w="1040" w:type="dxa"/>
            <w:vAlign w:val="bottom"/>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820" w:type="dxa"/>
            <w:vAlign w:val="bottom"/>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920" w:type="dxa"/>
            <w:vAlign w:val="bottom"/>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1060" w:type="dxa"/>
            <w:vAlign w:val="bottom"/>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2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14"/>
                <w:szCs w:val="14"/>
                <w:color w:val="auto"/>
              </w:rPr>
              <w:t>Anne O’Riordan</w:t>
            </w:r>
          </w:p>
        </w:tc>
        <w:tc>
          <w:tcPr>
            <w:tcW w:w="280" w:type="dxa"/>
            <w:vAlign w:val="bottom"/>
            <w:tcBorders>
              <w:bottom w:val="single" w:sz="8" w:color="EAEAEA"/>
            </w:tcBorders>
            <w:shd w:val="clear" w:color="auto" w:fill="EAEAEA"/>
          </w:tcPr>
          <w:p>
            <w:pPr>
              <w:spacing w:after="0"/>
              <w:rPr>
                <w:sz w:val="18"/>
                <w:szCs w:val="18"/>
                <w:color w:val="auto"/>
              </w:rPr>
            </w:pPr>
          </w:p>
        </w:tc>
        <w:tc>
          <w:tcPr>
            <w:tcW w:w="680" w:type="dxa"/>
            <w:vAlign w:val="bottom"/>
            <w:tcBorders>
              <w:bottom w:val="single" w:sz="8" w:color="EAEAEA"/>
            </w:tcBorders>
            <w:shd w:val="clear" w:color="auto" w:fill="EAEAEA"/>
          </w:tcPr>
          <w:p>
            <w:pPr>
              <w:ind w:left="180"/>
              <w:spacing w:after="0"/>
              <w:rPr>
                <w:sz w:val="20"/>
                <w:szCs w:val="20"/>
                <w:color w:val="auto"/>
              </w:rPr>
            </w:pPr>
            <w:r>
              <w:rPr>
                <w:rFonts w:ascii="Wingdings" w:cs="Wingdings" w:eastAsia="Wingdings" w:hAnsi="Wingdings"/>
                <w:sz w:val="14"/>
                <w:szCs w:val="14"/>
                <w:b w:val="1"/>
                <w:bCs w:val="1"/>
                <w:color w:val="auto"/>
              </w:rPr>
              <w:t>l</w:t>
            </w:r>
          </w:p>
        </w:tc>
        <w:tc>
          <w:tcPr>
            <w:tcW w:w="104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82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92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1060" w:type="dxa"/>
            <w:vAlign w:val="bottom"/>
            <w:tcBorders>
              <w:bottom w:val="single" w:sz="8" w:color="EAEAEA"/>
            </w:tcBorders>
            <w:shd w:val="clear" w:color="auto" w:fill="EAEAEA"/>
          </w:tcPr>
          <w:p>
            <w:pPr>
              <w:spacing w:after="0"/>
              <w:rPr>
                <w:sz w:val="18"/>
                <w:szCs w:val="18"/>
                <w:color w:val="auto"/>
              </w:rPr>
            </w:pPr>
          </w:p>
        </w:tc>
        <w:tc>
          <w:tcPr>
            <w:tcW w:w="980" w:type="dxa"/>
            <w:vAlign w:val="bottom"/>
            <w:tcBorders>
              <w:bottom w:val="single" w:sz="8" w:color="EAEAEA"/>
            </w:tcBorders>
            <w:shd w:val="clear" w:color="auto" w:fill="EAEAEA"/>
          </w:tcPr>
          <w:p>
            <w:pPr>
              <w:spacing w:after="0"/>
              <w:rPr>
                <w:sz w:val="18"/>
                <w:szCs w:val="18"/>
                <w:color w:val="auto"/>
              </w:rPr>
            </w:pPr>
          </w:p>
        </w:tc>
        <w:tc>
          <w:tcPr>
            <w:tcW w:w="1080" w:type="dxa"/>
            <w:vAlign w:val="bottom"/>
            <w:tcBorders>
              <w:bottom w:val="single" w:sz="8" w:color="EAEAEA"/>
            </w:tcBorders>
            <w:shd w:val="clear" w:color="auto" w:fill="EAEAEA"/>
          </w:tcPr>
          <w:p>
            <w:pPr>
              <w:spacing w:after="0"/>
              <w:rPr>
                <w:sz w:val="18"/>
                <w:szCs w:val="18"/>
                <w:color w:val="auto"/>
              </w:rPr>
            </w:pPr>
          </w:p>
        </w:tc>
        <w:tc>
          <w:tcPr>
            <w:tcW w:w="98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980" w:type="dxa"/>
            <w:vAlign w:val="bottom"/>
            <w:tcBorders>
              <w:bottom w:val="single" w:sz="8" w:color="EAEAEA"/>
            </w:tcBorders>
            <w:shd w:val="clear" w:color="auto" w:fill="EAEAEA"/>
          </w:tcPr>
          <w:p>
            <w:pPr>
              <w:spacing w:after="0"/>
              <w:rPr>
                <w:sz w:val="18"/>
                <w:szCs w:val="18"/>
                <w:color w:val="auto"/>
              </w:rPr>
            </w:pPr>
          </w:p>
        </w:tc>
        <w:tc>
          <w:tcPr>
            <w:tcW w:w="700" w:type="dxa"/>
            <w:vAlign w:val="bottom"/>
            <w:tcBorders>
              <w:bottom w:val="single" w:sz="8" w:color="EAEAEA"/>
            </w:tcBorders>
            <w:shd w:val="clear" w:color="auto" w:fill="EAEAEA"/>
          </w:tcPr>
          <w:p>
            <w:pPr>
              <w:jc w:val="center"/>
              <w:ind w:right="49"/>
              <w:spacing w:after="0"/>
              <w:rPr>
                <w:sz w:val="20"/>
                <w:szCs w:val="20"/>
                <w:color w:val="auto"/>
              </w:rPr>
            </w:pPr>
            <w:r>
              <w:rPr>
                <w:rFonts w:ascii="Wingdings" w:cs="Wingdings" w:eastAsia="Wingdings" w:hAnsi="Wingdings"/>
                <w:sz w:val="14"/>
                <w:szCs w:val="14"/>
                <w:b w:val="1"/>
                <w:bCs w:val="1"/>
                <w:color w:val="auto"/>
                <w:w w:val="95"/>
              </w:rPr>
              <w:t>l</w:t>
            </w:r>
          </w:p>
        </w:tc>
        <w:tc>
          <w:tcPr>
            <w:tcW w:w="0" w:type="dxa"/>
            <w:vAlign w:val="bottom"/>
          </w:tcPr>
          <w:p>
            <w:pPr>
              <w:spacing w:after="0"/>
              <w:rPr>
                <w:sz w:val="1"/>
                <w:szCs w:val="1"/>
                <w:color w:val="auto"/>
              </w:rPr>
            </w:pPr>
          </w:p>
        </w:tc>
      </w:tr>
      <w:tr>
        <w:trPr>
          <w:trHeight w:val="208"/>
        </w:trPr>
        <w:tc>
          <w:tcPr>
            <w:tcW w:w="1720" w:type="dxa"/>
            <w:vAlign w:val="bottom"/>
          </w:tcPr>
          <w:p>
            <w:pPr>
              <w:ind w:left="100"/>
              <w:spacing w:after="0"/>
              <w:rPr>
                <w:sz w:val="20"/>
                <w:szCs w:val="20"/>
                <w:color w:val="auto"/>
              </w:rPr>
            </w:pPr>
            <w:r>
              <w:rPr>
                <w:rFonts w:ascii="Arial" w:cs="Arial" w:eastAsia="Arial" w:hAnsi="Arial"/>
                <w:sz w:val="14"/>
                <w:szCs w:val="14"/>
                <w:color w:val="auto"/>
              </w:rPr>
              <w:t>Norbert G. Riedel, Ph.D.</w:t>
            </w:r>
          </w:p>
        </w:tc>
        <w:tc>
          <w:tcPr>
            <w:tcW w:w="28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Wingdings" w:cs="Wingdings" w:eastAsia="Wingdings" w:hAnsi="Wingdings"/>
                <w:sz w:val="14"/>
                <w:szCs w:val="14"/>
                <w:b w:val="1"/>
                <w:bCs w:val="1"/>
                <w:color w:val="auto"/>
              </w:rPr>
              <w:t>l</w:t>
            </w:r>
          </w:p>
        </w:tc>
        <w:tc>
          <w:tcPr>
            <w:tcW w:w="1040" w:type="dxa"/>
            <w:vAlign w:val="bottom"/>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820" w:type="dxa"/>
            <w:vAlign w:val="bottom"/>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920" w:type="dxa"/>
            <w:vAlign w:val="bottom"/>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1060" w:type="dxa"/>
            <w:vAlign w:val="bottom"/>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980" w:type="dxa"/>
            <w:vAlign w:val="bottom"/>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1080" w:type="dxa"/>
            <w:vAlign w:val="bottom"/>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980" w:type="dxa"/>
            <w:vAlign w:val="bottom"/>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980" w:type="dxa"/>
            <w:vAlign w:val="bottom"/>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700" w:type="dxa"/>
            <w:vAlign w:val="bottom"/>
          </w:tcPr>
          <w:p>
            <w:pPr>
              <w:jc w:val="center"/>
              <w:ind w:right="49"/>
              <w:spacing w:after="0"/>
              <w:rPr>
                <w:sz w:val="20"/>
                <w:szCs w:val="20"/>
                <w:color w:val="auto"/>
              </w:rPr>
            </w:pPr>
            <w:r>
              <w:rPr>
                <w:rFonts w:ascii="Wingdings" w:cs="Wingdings" w:eastAsia="Wingdings" w:hAnsi="Wingdings"/>
                <w:sz w:val="14"/>
                <w:szCs w:val="14"/>
                <w:b w:val="1"/>
                <w:bCs w:val="1"/>
                <w:color w:val="auto"/>
                <w:w w:val="95"/>
              </w:rPr>
              <w:t>l</w:t>
            </w: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14"/>
                <w:szCs w:val="14"/>
                <w:color w:val="auto"/>
              </w:rPr>
              <w:t>Mark D. Smith, M.D.</w:t>
            </w:r>
          </w:p>
        </w:tc>
        <w:tc>
          <w:tcPr>
            <w:tcW w:w="280" w:type="dxa"/>
            <w:vAlign w:val="bottom"/>
            <w:tcBorders>
              <w:bottom w:val="single" w:sz="8" w:color="EAEAEA"/>
            </w:tcBorders>
            <w:shd w:val="clear" w:color="auto" w:fill="EAEAEA"/>
          </w:tcPr>
          <w:p>
            <w:pPr>
              <w:spacing w:after="0"/>
              <w:rPr>
                <w:sz w:val="18"/>
                <w:szCs w:val="18"/>
                <w:color w:val="auto"/>
              </w:rPr>
            </w:pPr>
          </w:p>
        </w:tc>
        <w:tc>
          <w:tcPr>
            <w:tcW w:w="680" w:type="dxa"/>
            <w:vAlign w:val="bottom"/>
            <w:tcBorders>
              <w:bottom w:val="single" w:sz="8" w:color="EAEAEA"/>
            </w:tcBorders>
            <w:shd w:val="clear" w:color="auto" w:fill="EAEAEA"/>
          </w:tcPr>
          <w:p>
            <w:pPr>
              <w:ind w:left="180"/>
              <w:spacing w:after="0"/>
              <w:rPr>
                <w:sz w:val="20"/>
                <w:szCs w:val="20"/>
                <w:color w:val="auto"/>
              </w:rPr>
            </w:pPr>
            <w:r>
              <w:rPr>
                <w:rFonts w:ascii="Wingdings" w:cs="Wingdings" w:eastAsia="Wingdings" w:hAnsi="Wingdings"/>
                <w:sz w:val="14"/>
                <w:szCs w:val="14"/>
                <w:b w:val="1"/>
                <w:bCs w:val="1"/>
                <w:color w:val="auto"/>
              </w:rPr>
              <w:t>l</w:t>
            </w:r>
          </w:p>
        </w:tc>
        <w:tc>
          <w:tcPr>
            <w:tcW w:w="104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820" w:type="dxa"/>
            <w:vAlign w:val="bottom"/>
            <w:tcBorders>
              <w:bottom w:val="single" w:sz="8" w:color="EAEAEA"/>
            </w:tcBorders>
            <w:shd w:val="clear" w:color="auto" w:fill="EAEAEA"/>
          </w:tcPr>
          <w:p>
            <w:pPr>
              <w:spacing w:after="0"/>
              <w:rPr>
                <w:sz w:val="18"/>
                <w:szCs w:val="18"/>
                <w:color w:val="auto"/>
              </w:rPr>
            </w:pPr>
          </w:p>
        </w:tc>
        <w:tc>
          <w:tcPr>
            <w:tcW w:w="920" w:type="dxa"/>
            <w:vAlign w:val="bottom"/>
            <w:tcBorders>
              <w:bottom w:val="single" w:sz="8" w:color="EAEAEA"/>
            </w:tcBorders>
            <w:shd w:val="clear" w:color="auto" w:fill="EAEAEA"/>
          </w:tcPr>
          <w:p>
            <w:pPr>
              <w:spacing w:after="0"/>
              <w:rPr>
                <w:sz w:val="18"/>
                <w:szCs w:val="18"/>
                <w:color w:val="auto"/>
              </w:rPr>
            </w:pPr>
          </w:p>
        </w:tc>
        <w:tc>
          <w:tcPr>
            <w:tcW w:w="1060" w:type="dxa"/>
            <w:vAlign w:val="bottom"/>
            <w:tcBorders>
              <w:bottom w:val="single" w:sz="8" w:color="EAEAEA"/>
            </w:tcBorders>
            <w:shd w:val="clear" w:color="auto" w:fill="EAEAEA"/>
          </w:tcPr>
          <w:p>
            <w:pPr>
              <w:spacing w:after="0"/>
              <w:rPr>
                <w:sz w:val="18"/>
                <w:szCs w:val="18"/>
                <w:color w:val="auto"/>
              </w:rPr>
            </w:pPr>
          </w:p>
        </w:tc>
        <w:tc>
          <w:tcPr>
            <w:tcW w:w="980" w:type="dxa"/>
            <w:vAlign w:val="bottom"/>
            <w:tcBorders>
              <w:bottom w:val="single" w:sz="8" w:color="EAEAEA"/>
            </w:tcBorders>
            <w:shd w:val="clear" w:color="auto" w:fill="EAEAEA"/>
          </w:tcPr>
          <w:p>
            <w:pPr>
              <w:spacing w:after="0"/>
              <w:rPr>
                <w:sz w:val="18"/>
                <w:szCs w:val="18"/>
                <w:color w:val="auto"/>
              </w:rPr>
            </w:pPr>
          </w:p>
        </w:tc>
        <w:tc>
          <w:tcPr>
            <w:tcW w:w="108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980" w:type="dxa"/>
            <w:vAlign w:val="bottom"/>
            <w:tcBorders>
              <w:bottom w:val="single" w:sz="8" w:color="EAEAEA"/>
            </w:tcBorders>
            <w:shd w:val="clear" w:color="auto" w:fill="EAEAEA"/>
          </w:tcPr>
          <w:p>
            <w:pPr>
              <w:spacing w:after="0"/>
              <w:rPr>
                <w:sz w:val="18"/>
                <w:szCs w:val="18"/>
                <w:color w:val="auto"/>
              </w:rPr>
            </w:pPr>
          </w:p>
        </w:tc>
        <w:tc>
          <w:tcPr>
            <w:tcW w:w="98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700" w:type="dxa"/>
            <w:vAlign w:val="bottom"/>
            <w:tcBorders>
              <w:bottom w:val="single" w:sz="8" w:color="EAEAEA"/>
            </w:tcBorders>
            <w:shd w:val="clear" w:color="auto" w:fill="EAEAEA"/>
          </w:tcPr>
          <w:p>
            <w:pPr>
              <w:jc w:val="center"/>
              <w:ind w:right="49"/>
              <w:spacing w:after="0"/>
              <w:rPr>
                <w:sz w:val="20"/>
                <w:szCs w:val="20"/>
                <w:color w:val="auto"/>
              </w:rPr>
            </w:pPr>
            <w:r>
              <w:rPr>
                <w:rFonts w:ascii="Wingdings" w:cs="Wingdings" w:eastAsia="Wingdings" w:hAnsi="Wingdings"/>
                <w:sz w:val="14"/>
                <w:szCs w:val="14"/>
                <w:b w:val="1"/>
                <w:bCs w:val="1"/>
                <w:color w:val="auto"/>
                <w:w w:val="95"/>
              </w:rPr>
              <w:t>l</w:t>
            </w:r>
          </w:p>
        </w:tc>
        <w:tc>
          <w:tcPr>
            <w:tcW w:w="0" w:type="dxa"/>
            <w:vAlign w:val="bottom"/>
          </w:tcPr>
          <w:p>
            <w:pPr>
              <w:spacing w:after="0"/>
              <w:rPr>
                <w:sz w:val="1"/>
                <w:szCs w:val="1"/>
                <w:color w:val="auto"/>
              </w:rPr>
            </w:pPr>
          </w:p>
        </w:tc>
      </w:tr>
      <w:tr>
        <w:trPr>
          <w:trHeight w:val="162"/>
        </w:trPr>
        <w:tc>
          <w:tcPr>
            <w:tcW w:w="2000" w:type="dxa"/>
            <w:vAlign w:val="bottom"/>
            <w:gridSpan w:val="2"/>
          </w:tcPr>
          <w:p>
            <w:pPr>
              <w:ind w:left="100"/>
              <w:spacing w:after="0"/>
              <w:rPr>
                <w:sz w:val="20"/>
                <w:szCs w:val="20"/>
                <w:color w:val="auto"/>
              </w:rPr>
            </w:pPr>
            <w:r>
              <w:rPr>
                <w:rFonts w:ascii="Arial" w:cs="Arial" w:eastAsia="Arial" w:hAnsi="Arial"/>
                <w:sz w:val="14"/>
                <w:szCs w:val="14"/>
                <w:color w:val="auto"/>
              </w:rPr>
              <w:t>Catherine A. Sohn, Pharm D.</w:t>
            </w:r>
          </w:p>
        </w:tc>
        <w:tc>
          <w:tcPr>
            <w:tcW w:w="680" w:type="dxa"/>
            <w:vAlign w:val="bottom"/>
            <w:vMerge w:val="restart"/>
          </w:tcPr>
          <w:p>
            <w:pPr>
              <w:ind w:left="180"/>
              <w:spacing w:after="0"/>
              <w:rPr>
                <w:sz w:val="20"/>
                <w:szCs w:val="20"/>
                <w:color w:val="auto"/>
              </w:rPr>
            </w:pPr>
            <w:r>
              <w:rPr>
                <w:rFonts w:ascii="Wingdings" w:cs="Wingdings" w:eastAsia="Wingdings" w:hAnsi="Wingdings"/>
                <w:sz w:val="14"/>
                <w:szCs w:val="14"/>
                <w:b w:val="1"/>
                <w:bCs w:val="1"/>
                <w:color w:val="auto"/>
              </w:rPr>
              <w:t>l</w:t>
            </w:r>
          </w:p>
        </w:tc>
        <w:tc>
          <w:tcPr>
            <w:tcW w:w="1040" w:type="dxa"/>
            <w:vAlign w:val="bottom"/>
            <w:vMerge w:val="restart"/>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820" w:type="dxa"/>
            <w:vAlign w:val="bottom"/>
            <w:vMerge w:val="restart"/>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920" w:type="dxa"/>
            <w:vAlign w:val="bottom"/>
            <w:vMerge w:val="restart"/>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1060" w:type="dxa"/>
            <w:vAlign w:val="bottom"/>
            <w:vMerge w:val="restart"/>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980" w:type="dxa"/>
            <w:vAlign w:val="bottom"/>
            <w:vMerge w:val="restart"/>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1080" w:type="dxa"/>
            <w:vAlign w:val="bottom"/>
            <w:vMerge w:val="restart"/>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980" w:type="dxa"/>
            <w:vAlign w:val="bottom"/>
            <w:vMerge w:val="restart"/>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980" w:type="dxa"/>
            <w:vAlign w:val="bottom"/>
            <w:vMerge w:val="restart"/>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700" w:type="dxa"/>
            <w:vAlign w:val="bottom"/>
            <w:vMerge w:val="restart"/>
          </w:tcPr>
          <w:p>
            <w:pPr>
              <w:jc w:val="center"/>
              <w:ind w:right="49"/>
              <w:spacing w:after="0"/>
              <w:rPr>
                <w:sz w:val="20"/>
                <w:szCs w:val="20"/>
                <w:color w:val="auto"/>
              </w:rPr>
            </w:pPr>
            <w:r>
              <w:rPr>
                <w:rFonts w:ascii="Wingdings" w:cs="Wingdings" w:eastAsia="Wingdings" w:hAnsi="Wingdings"/>
                <w:sz w:val="14"/>
                <w:szCs w:val="14"/>
                <w:b w:val="1"/>
                <w:bCs w:val="1"/>
                <w:color w:val="auto"/>
                <w:w w:val="95"/>
              </w:rPr>
              <w:t>l</w:t>
            </w:r>
          </w:p>
        </w:tc>
        <w:tc>
          <w:tcPr>
            <w:tcW w:w="0" w:type="dxa"/>
            <w:vAlign w:val="bottom"/>
          </w:tcPr>
          <w:p>
            <w:pPr>
              <w:spacing w:after="0"/>
              <w:rPr>
                <w:sz w:val="1"/>
                <w:szCs w:val="1"/>
                <w:color w:val="auto"/>
              </w:rPr>
            </w:pPr>
          </w:p>
        </w:tc>
      </w:tr>
      <w:tr>
        <w:trPr>
          <w:trHeight w:val="123"/>
        </w:trPr>
        <w:tc>
          <w:tcPr>
            <w:tcW w:w="1720" w:type="dxa"/>
            <w:vAlign w:val="bottom"/>
          </w:tcPr>
          <w:p>
            <w:pPr>
              <w:ind w:left="100"/>
              <w:spacing w:after="0"/>
              <w:rPr>
                <w:sz w:val="20"/>
                <w:szCs w:val="20"/>
                <w:color w:val="auto"/>
              </w:rPr>
            </w:pPr>
            <w:r>
              <w:rPr>
                <w:rFonts w:ascii="Arial" w:cs="Arial" w:eastAsia="Arial" w:hAnsi="Arial"/>
                <w:sz w:val="9"/>
                <w:szCs w:val="9"/>
                <w:color w:val="auto"/>
              </w:rPr>
              <w:t>(2)</w:t>
            </w:r>
          </w:p>
        </w:tc>
        <w:tc>
          <w:tcPr>
            <w:tcW w:w="2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72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14"/>
                <w:szCs w:val="14"/>
                <w:color w:val="auto"/>
              </w:rPr>
              <w:t>Rick E Winningham</w:t>
            </w:r>
          </w:p>
        </w:tc>
        <w:tc>
          <w:tcPr>
            <w:tcW w:w="280" w:type="dxa"/>
            <w:vAlign w:val="bottom"/>
            <w:tcBorders>
              <w:bottom w:val="single" w:sz="8" w:color="EAEAEA"/>
            </w:tcBorders>
            <w:shd w:val="clear" w:color="auto" w:fill="EAEAEA"/>
          </w:tcPr>
          <w:p>
            <w:pPr>
              <w:spacing w:after="0"/>
              <w:rPr>
                <w:sz w:val="18"/>
                <w:szCs w:val="18"/>
                <w:color w:val="auto"/>
              </w:rPr>
            </w:pPr>
          </w:p>
        </w:tc>
        <w:tc>
          <w:tcPr>
            <w:tcW w:w="680" w:type="dxa"/>
            <w:vAlign w:val="bottom"/>
            <w:tcBorders>
              <w:bottom w:val="single" w:sz="8" w:color="EAEAEA"/>
            </w:tcBorders>
            <w:shd w:val="clear" w:color="auto" w:fill="EAEAEA"/>
          </w:tcPr>
          <w:p>
            <w:pPr>
              <w:ind w:left="180"/>
              <w:spacing w:after="0"/>
              <w:rPr>
                <w:sz w:val="20"/>
                <w:szCs w:val="20"/>
                <w:color w:val="auto"/>
              </w:rPr>
            </w:pPr>
            <w:r>
              <w:rPr>
                <w:rFonts w:ascii="Wingdings" w:cs="Wingdings" w:eastAsia="Wingdings" w:hAnsi="Wingdings"/>
                <w:sz w:val="14"/>
                <w:szCs w:val="14"/>
                <w:b w:val="1"/>
                <w:bCs w:val="1"/>
                <w:color w:val="auto"/>
              </w:rPr>
              <w:t>l</w:t>
            </w:r>
          </w:p>
        </w:tc>
        <w:tc>
          <w:tcPr>
            <w:tcW w:w="104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82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92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106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98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108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98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980" w:type="dxa"/>
            <w:vAlign w:val="bottom"/>
            <w:tcBorders>
              <w:bottom w:val="single" w:sz="8" w:color="EAEAEA"/>
            </w:tcBorders>
            <w:shd w:val="clear" w:color="auto" w:fill="EAEAEA"/>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700" w:type="dxa"/>
            <w:vAlign w:val="bottom"/>
            <w:tcBorders>
              <w:bottom w:val="single" w:sz="8" w:color="EAEAEA"/>
            </w:tcBorders>
            <w:shd w:val="clear" w:color="auto" w:fill="EAEAEA"/>
          </w:tcPr>
          <w:p>
            <w:pPr>
              <w:jc w:val="center"/>
              <w:ind w:right="49"/>
              <w:spacing w:after="0"/>
              <w:rPr>
                <w:sz w:val="20"/>
                <w:szCs w:val="20"/>
                <w:color w:val="auto"/>
              </w:rPr>
            </w:pPr>
            <w:r>
              <w:rPr>
                <w:rFonts w:ascii="Wingdings" w:cs="Wingdings" w:eastAsia="Wingdings" w:hAnsi="Wingdings"/>
                <w:sz w:val="14"/>
                <w:szCs w:val="14"/>
                <w:b w:val="1"/>
                <w:bCs w:val="1"/>
                <w:color w:val="auto"/>
                <w:w w:val="95"/>
              </w:rPr>
              <w:t>l</w:t>
            </w:r>
          </w:p>
        </w:tc>
        <w:tc>
          <w:tcPr>
            <w:tcW w:w="0" w:type="dxa"/>
            <w:vAlign w:val="bottom"/>
          </w:tcPr>
          <w:p>
            <w:pPr>
              <w:spacing w:after="0"/>
              <w:rPr>
                <w:sz w:val="1"/>
                <w:szCs w:val="1"/>
                <w:color w:val="auto"/>
              </w:rPr>
            </w:pPr>
          </w:p>
        </w:tc>
      </w:tr>
      <w:tr>
        <w:trPr>
          <w:trHeight w:val="20"/>
        </w:trPr>
        <w:tc>
          <w:tcPr>
            <w:tcW w:w="1720" w:type="dxa"/>
            <w:vAlign w:val="bottom"/>
            <w:shd w:val="clear" w:color="auto" w:fill="852166"/>
          </w:tcPr>
          <w:p>
            <w:pPr>
              <w:spacing w:after="0" w:line="20" w:lineRule="exact"/>
              <w:rPr>
                <w:sz w:val="1"/>
                <w:szCs w:val="1"/>
                <w:color w:val="auto"/>
              </w:rPr>
            </w:pPr>
          </w:p>
        </w:tc>
        <w:tc>
          <w:tcPr>
            <w:tcW w:w="280" w:type="dxa"/>
            <w:vAlign w:val="bottom"/>
            <w:shd w:val="clear" w:color="auto" w:fill="852166"/>
          </w:tcPr>
          <w:p>
            <w:pPr>
              <w:spacing w:after="0" w:line="20" w:lineRule="exact"/>
              <w:rPr>
                <w:sz w:val="1"/>
                <w:szCs w:val="1"/>
                <w:color w:val="auto"/>
              </w:rPr>
            </w:pPr>
          </w:p>
        </w:tc>
        <w:tc>
          <w:tcPr>
            <w:tcW w:w="680" w:type="dxa"/>
            <w:vAlign w:val="bottom"/>
            <w:shd w:val="clear" w:color="auto" w:fill="852166"/>
          </w:tcPr>
          <w:p>
            <w:pPr>
              <w:spacing w:after="0" w:line="20" w:lineRule="exact"/>
              <w:rPr>
                <w:sz w:val="1"/>
                <w:szCs w:val="1"/>
                <w:color w:val="auto"/>
              </w:rPr>
            </w:pPr>
          </w:p>
        </w:tc>
        <w:tc>
          <w:tcPr>
            <w:tcW w:w="1040" w:type="dxa"/>
            <w:vAlign w:val="bottom"/>
            <w:shd w:val="clear" w:color="auto" w:fill="852166"/>
          </w:tcPr>
          <w:p>
            <w:pPr>
              <w:spacing w:after="0" w:line="20" w:lineRule="exact"/>
              <w:rPr>
                <w:sz w:val="1"/>
                <w:szCs w:val="1"/>
                <w:color w:val="auto"/>
              </w:rPr>
            </w:pPr>
          </w:p>
        </w:tc>
        <w:tc>
          <w:tcPr>
            <w:tcW w:w="820" w:type="dxa"/>
            <w:vAlign w:val="bottom"/>
            <w:shd w:val="clear" w:color="auto" w:fill="852166"/>
          </w:tcPr>
          <w:p>
            <w:pPr>
              <w:spacing w:after="0" w:line="20" w:lineRule="exact"/>
              <w:rPr>
                <w:sz w:val="1"/>
                <w:szCs w:val="1"/>
                <w:color w:val="auto"/>
              </w:rPr>
            </w:pPr>
          </w:p>
        </w:tc>
        <w:tc>
          <w:tcPr>
            <w:tcW w:w="920" w:type="dxa"/>
            <w:vAlign w:val="bottom"/>
            <w:shd w:val="clear" w:color="auto" w:fill="852166"/>
          </w:tcPr>
          <w:p>
            <w:pPr>
              <w:spacing w:after="0" w:line="20" w:lineRule="exact"/>
              <w:rPr>
                <w:sz w:val="1"/>
                <w:szCs w:val="1"/>
                <w:color w:val="auto"/>
              </w:rPr>
            </w:pPr>
          </w:p>
        </w:tc>
        <w:tc>
          <w:tcPr>
            <w:tcW w:w="1060" w:type="dxa"/>
            <w:vAlign w:val="bottom"/>
            <w:shd w:val="clear" w:color="auto" w:fill="852166"/>
          </w:tcPr>
          <w:p>
            <w:pPr>
              <w:spacing w:after="0" w:line="20" w:lineRule="exact"/>
              <w:rPr>
                <w:sz w:val="1"/>
                <w:szCs w:val="1"/>
                <w:color w:val="auto"/>
              </w:rPr>
            </w:pPr>
          </w:p>
        </w:tc>
        <w:tc>
          <w:tcPr>
            <w:tcW w:w="980" w:type="dxa"/>
            <w:vAlign w:val="bottom"/>
            <w:shd w:val="clear" w:color="auto" w:fill="852166"/>
          </w:tcPr>
          <w:p>
            <w:pPr>
              <w:spacing w:after="0" w:line="20" w:lineRule="exact"/>
              <w:rPr>
                <w:sz w:val="1"/>
                <w:szCs w:val="1"/>
                <w:color w:val="auto"/>
              </w:rPr>
            </w:pPr>
          </w:p>
        </w:tc>
        <w:tc>
          <w:tcPr>
            <w:tcW w:w="1080" w:type="dxa"/>
            <w:vAlign w:val="bottom"/>
            <w:shd w:val="clear" w:color="auto" w:fill="852166"/>
          </w:tcPr>
          <w:p>
            <w:pPr>
              <w:spacing w:after="0" w:line="20" w:lineRule="exact"/>
              <w:rPr>
                <w:sz w:val="1"/>
                <w:szCs w:val="1"/>
                <w:color w:val="auto"/>
              </w:rPr>
            </w:pPr>
          </w:p>
        </w:tc>
        <w:tc>
          <w:tcPr>
            <w:tcW w:w="980" w:type="dxa"/>
            <w:vAlign w:val="bottom"/>
            <w:shd w:val="clear" w:color="auto" w:fill="852166"/>
          </w:tcPr>
          <w:p>
            <w:pPr>
              <w:spacing w:after="0" w:line="20" w:lineRule="exact"/>
              <w:rPr>
                <w:sz w:val="1"/>
                <w:szCs w:val="1"/>
                <w:color w:val="auto"/>
              </w:rPr>
            </w:pPr>
          </w:p>
        </w:tc>
        <w:tc>
          <w:tcPr>
            <w:tcW w:w="980" w:type="dxa"/>
            <w:vAlign w:val="bottom"/>
            <w:shd w:val="clear" w:color="auto" w:fill="852166"/>
          </w:tcPr>
          <w:p>
            <w:pPr>
              <w:spacing w:after="0" w:line="20" w:lineRule="exact"/>
              <w:rPr>
                <w:sz w:val="1"/>
                <w:szCs w:val="1"/>
                <w:color w:val="auto"/>
              </w:rPr>
            </w:pPr>
          </w:p>
        </w:tc>
        <w:tc>
          <w:tcPr>
            <w:tcW w:w="700" w:type="dxa"/>
            <w:vAlign w:val="bottom"/>
            <w:shd w:val="clear" w:color="auto" w:fill="85216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-2442210</wp:posOffset>
            </wp:positionV>
            <wp:extent cx="188595"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8595" cy="17970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-2416810</wp:posOffset>
            </wp:positionV>
            <wp:extent cx="18859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8595" cy="12890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-2442210</wp:posOffset>
            </wp:positionV>
            <wp:extent cx="188595"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8595" cy="17970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-2442210</wp:posOffset>
            </wp:positionV>
            <wp:extent cx="163195"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3195" cy="18859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-2433955</wp:posOffset>
            </wp:positionV>
            <wp:extent cx="18859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8595" cy="17145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-2442210</wp:posOffset>
            </wp:positionV>
            <wp:extent cx="188595"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-2442210</wp:posOffset>
            </wp:positionV>
            <wp:extent cx="18034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0340" cy="18859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-2442210</wp:posOffset>
            </wp:positionV>
            <wp:extent cx="188595"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-2442210</wp:posOffset>
            </wp:positionV>
            <wp:extent cx="145415"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5415" cy="18859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-2433955</wp:posOffset>
            </wp:positionV>
            <wp:extent cx="19685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Indicates experience/expertise in subject matter.</w:t>
      </w:r>
    </w:p>
    <w:p>
      <w:pPr>
        <w:spacing w:after="0" w:line="82"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Mr. Gray is not standing for re-election at the annual meeting and his term of office as a director will expire at the annual meeting.</w:t>
      </w:r>
    </w:p>
    <w:p>
      <w:pPr>
        <w:spacing w:after="0" w:line="82" w:lineRule="exact"/>
        <w:rPr>
          <w:rFonts w:ascii="Arial" w:cs="Arial" w:eastAsia="Arial" w:hAnsi="Arial"/>
          <w:sz w:val="14"/>
          <w:szCs w:val="14"/>
          <w:color w:val="auto"/>
        </w:rPr>
      </w:pPr>
    </w:p>
    <w:p>
      <w:pPr>
        <w:ind w:left="380" w:hanging="372"/>
        <w:spacing w:after="0"/>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Dr. Sohn is not standing for re-election at the annual meeting and her term of office as a director will expire at the annual meeting.</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Capabilities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26917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69176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p>
      <w:pPr>
        <w:spacing w:after="0" w:line="199" w:lineRule="exact"/>
        <w:rPr>
          <w:sz w:val="20"/>
          <w:szCs w:val="20"/>
          <w:color w:val="auto"/>
        </w:rPr>
      </w:pPr>
    </w:p>
    <w:p>
      <w:pPr>
        <w:ind w:left="680" w:right="380"/>
        <w:spacing w:after="0" w:line="294" w:lineRule="auto"/>
        <w:rPr>
          <w:sz w:val="20"/>
          <w:szCs w:val="20"/>
          <w:color w:val="auto"/>
        </w:rPr>
      </w:pPr>
      <w:r>
        <w:rPr>
          <w:rFonts w:ascii="Arial" w:cs="Arial" w:eastAsia="Arial" w:hAnsi="Arial"/>
          <w:sz w:val="14"/>
          <w:szCs w:val="14"/>
          <w:b w:val="1"/>
          <w:bCs w:val="1"/>
          <w:color w:val="auto"/>
        </w:rPr>
        <w:t>Public Company Board Experience</w:t>
      </w:r>
    </w:p>
    <w:p>
      <w:pPr>
        <w:spacing w:after="0" w:line="11" w:lineRule="exact"/>
        <w:rPr>
          <w:sz w:val="20"/>
          <w:szCs w:val="20"/>
          <w:color w:val="auto"/>
        </w:rPr>
      </w:pPr>
    </w:p>
    <w:p>
      <w:pPr>
        <w:ind w:left="680" w:right="540"/>
        <w:spacing w:after="0" w:line="294" w:lineRule="auto"/>
        <w:rPr>
          <w:sz w:val="20"/>
          <w:szCs w:val="20"/>
          <w:color w:val="auto"/>
        </w:rPr>
      </w:pPr>
      <w:r>
        <w:rPr>
          <w:rFonts w:ascii="Arial" w:cs="Arial" w:eastAsia="Arial" w:hAnsi="Arial"/>
          <w:sz w:val="14"/>
          <w:szCs w:val="14"/>
          <w:b w:val="1"/>
          <w:bCs w:val="1"/>
          <w:color w:val="auto"/>
        </w:rPr>
        <w:t>C-Suite/Management Experience</w:t>
      </w:r>
    </w:p>
    <w:p>
      <w:pPr>
        <w:spacing w:after="0" w:line="9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Industry Expertise</w:t>
      </w:r>
    </w:p>
    <w:p>
      <w:pPr>
        <w:spacing w:after="0" w:line="24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Financial Experience</w:t>
      </w:r>
    </w:p>
    <w:p>
      <w:pPr>
        <w:spacing w:after="0" w:line="163" w:lineRule="exact"/>
        <w:rPr>
          <w:sz w:val="20"/>
          <w:szCs w:val="20"/>
          <w:color w:val="auto"/>
        </w:rPr>
      </w:pPr>
    </w:p>
    <w:p>
      <w:pPr>
        <w:ind w:left="680" w:right="340"/>
        <w:spacing w:after="0" w:line="294" w:lineRule="auto"/>
        <w:rPr>
          <w:sz w:val="20"/>
          <w:szCs w:val="20"/>
          <w:color w:val="auto"/>
        </w:rPr>
      </w:pPr>
      <w:r>
        <w:rPr>
          <w:rFonts w:ascii="Arial" w:cs="Arial" w:eastAsia="Arial" w:hAnsi="Arial"/>
          <w:sz w:val="14"/>
          <w:szCs w:val="14"/>
          <w:b w:val="1"/>
          <w:bCs w:val="1"/>
          <w:color w:val="auto"/>
        </w:rPr>
        <w:t>Merger &amp; Acquisition/ Corporate Development</w:t>
      </w:r>
    </w:p>
    <w:p>
      <w:pPr>
        <w:spacing w:after="0" w:line="9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Commercial Experience</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Scientific Research and</w:t>
      </w:r>
    </w:p>
    <w:p>
      <w:pPr>
        <w:spacing w:after="0" w:line="15" w:lineRule="exact"/>
        <w:rPr>
          <w:sz w:val="20"/>
          <w:szCs w:val="20"/>
          <w:color w:val="auto"/>
        </w:rPr>
      </w:pPr>
    </w:p>
    <w:p>
      <w:pPr>
        <w:ind w:left="680" w:right="700"/>
        <w:spacing w:after="0" w:line="293" w:lineRule="auto"/>
        <w:rPr>
          <w:sz w:val="20"/>
          <w:szCs w:val="20"/>
          <w:color w:val="auto"/>
        </w:rPr>
      </w:pPr>
      <w:r>
        <w:rPr>
          <w:rFonts w:ascii="Arial" w:cs="Arial" w:eastAsia="Arial" w:hAnsi="Arial"/>
          <w:sz w:val="14"/>
          <w:szCs w:val="14"/>
          <w:b w:val="1"/>
          <w:bCs w:val="1"/>
          <w:color w:val="auto"/>
        </w:rPr>
        <w:t>Drug Development Experience</w:t>
      </w:r>
    </w:p>
    <w:p>
      <w:pPr>
        <w:spacing w:after="0" w:line="7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International Perspective</w:t>
      </w:r>
    </w:p>
    <w:p>
      <w:pPr>
        <w:spacing w:after="0" w:line="24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Public Policy and Regulation</w:t>
      </w:r>
    </w:p>
    <w:p>
      <w:pPr>
        <w:spacing w:after="0" w:line="24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Human Capital</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Experience as a board member of a publicly-traded company</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Experience as a C-suite officer or as a member of senior management of a large or growing business</w:t>
      </w:r>
    </w:p>
    <w:p>
      <w:pPr>
        <w:spacing w:after="0" w:line="163" w:lineRule="exact"/>
        <w:rPr>
          <w:sz w:val="20"/>
          <w:szCs w:val="20"/>
          <w:color w:val="auto"/>
        </w:rPr>
      </w:pPr>
    </w:p>
    <w:p>
      <w:pPr>
        <w:ind w:right="760"/>
        <w:spacing w:after="0" w:line="285" w:lineRule="auto"/>
        <w:rPr>
          <w:sz w:val="20"/>
          <w:szCs w:val="20"/>
          <w:color w:val="auto"/>
        </w:rPr>
      </w:pPr>
      <w:r>
        <w:rPr>
          <w:rFonts w:ascii="Arial" w:cs="Arial" w:eastAsia="Arial" w:hAnsi="Arial"/>
          <w:sz w:val="14"/>
          <w:szCs w:val="14"/>
          <w:color w:val="auto"/>
        </w:rPr>
        <w:t>Knowledge of the healthcare and biopharmaceutical industry, including, as applicable, science, manufacturing, regulatory compliance and payer dynamics</w:t>
      </w:r>
    </w:p>
    <w:p>
      <w:pPr>
        <w:spacing w:after="0" w:line="23" w:lineRule="exact"/>
        <w:rPr>
          <w:sz w:val="20"/>
          <w:szCs w:val="20"/>
          <w:color w:val="auto"/>
        </w:rPr>
      </w:pPr>
    </w:p>
    <w:p>
      <w:pPr>
        <w:ind w:right="300"/>
        <w:spacing w:after="0" w:line="285" w:lineRule="auto"/>
        <w:rPr>
          <w:sz w:val="20"/>
          <w:szCs w:val="20"/>
          <w:color w:val="auto"/>
        </w:rPr>
      </w:pPr>
      <w:r>
        <w:rPr>
          <w:rFonts w:ascii="Arial" w:cs="Arial" w:eastAsia="Arial" w:hAnsi="Arial"/>
          <w:sz w:val="14"/>
          <w:szCs w:val="14"/>
          <w:color w:val="auto"/>
        </w:rPr>
        <w:t>Experience in positions requiring financial knowledge and analysis with expertise in the evaluation a large or growing company’s capital structure</w:t>
      </w:r>
    </w:p>
    <w:p>
      <w:pPr>
        <w:spacing w:after="0" w:line="23" w:lineRule="exact"/>
        <w:rPr>
          <w:sz w:val="20"/>
          <w:szCs w:val="20"/>
          <w:color w:val="auto"/>
        </w:rPr>
      </w:pPr>
    </w:p>
    <w:p>
      <w:pPr>
        <w:ind w:right="940"/>
        <w:spacing w:after="0" w:line="285" w:lineRule="auto"/>
        <w:rPr>
          <w:sz w:val="20"/>
          <w:szCs w:val="20"/>
          <w:color w:val="auto"/>
        </w:rPr>
      </w:pPr>
      <w:r>
        <w:rPr>
          <w:rFonts w:ascii="Arial" w:cs="Arial" w:eastAsia="Arial" w:hAnsi="Arial"/>
          <w:sz w:val="14"/>
          <w:szCs w:val="14"/>
          <w:color w:val="auto"/>
        </w:rPr>
        <w:t>Experience or expertise in structuring financing and executing strategic acquisitions, partnerships, and other corporate development activities</w:t>
      </w:r>
    </w:p>
    <w:p>
      <w:pPr>
        <w:spacing w:after="0" w:line="23" w:lineRule="exact"/>
        <w:rPr>
          <w:sz w:val="20"/>
          <w:szCs w:val="20"/>
          <w:color w:val="auto"/>
        </w:rPr>
      </w:pPr>
    </w:p>
    <w:p>
      <w:pPr>
        <w:ind w:right="320"/>
        <w:spacing w:after="0" w:line="285" w:lineRule="auto"/>
        <w:rPr>
          <w:sz w:val="20"/>
          <w:szCs w:val="20"/>
          <w:color w:val="auto"/>
        </w:rPr>
      </w:pPr>
      <w:r>
        <w:rPr>
          <w:rFonts w:ascii="Arial" w:cs="Arial" w:eastAsia="Arial" w:hAnsi="Arial"/>
          <w:sz w:val="14"/>
          <w:szCs w:val="14"/>
          <w:color w:val="auto"/>
        </w:rPr>
        <w:t>Experience or expertise in cultivating a large or growing business’s brand equity, the development and management of business relationships with customers and the process of reimbursement of pharma products</w:t>
      </w:r>
    </w:p>
    <w:p>
      <w:pPr>
        <w:spacing w:after="0" w:line="104" w:lineRule="exact"/>
        <w:rPr>
          <w:sz w:val="20"/>
          <w:szCs w:val="20"/>
          <w:color w:val="auto"/>
        </w:rPr>
      </w:pPr>
    </w:p>
    <w:p>
      <w:pPr>
        <w:ind w:right="280"/>
        <w:spacing w:after="0" w:line="285" w:lineRule="auto"/>
        <w:rPr>
          <w:sz w:val="20"/>
          <w:szCs w:val="20"/>
          <w:color w:val="auto"/>
        </w:rPr>
      </w:pPr>
      <w:r>
        <w:rPr>
          <w:rFonts w:ascii="Arial" w:cs="Arial" w:eastAsia="Arial" w:hAnsi="Arial"/>
          <w:sz w:val="14"/>
          <w:szCs w:val="14"/>
          <w:color w:val="auto"/>
        </w:rPr>
        <w:t>Relevant backgrounds in academia, clinical practice, science and technology and, in particular, the research and development of pharmaceutical products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Experience or expertise in the operation of complex multinational organizations</w:t>
      </w:r>
    </w:p>
    <w:p>
      <w:pPr>
        <w:spacing w:after="0" w:line="163" w:lineRule="exact"/>
        <w:rPr>
          <w:sz w:val="20"/>
          <w:szCs w:val="20"/>
          <w:color w:val="auto"/>
        </w:rPr>
      </w:pPr>
    </w:p>
    <w:p>
      <w:pPr>
        <w:ind w:right="300"/>
        <w:spacing w:after="0" w:line="285" w:lineRule="auto"/>
        <w:rPr>
          <w:sz w:val="20"/>
          <w:szCs w:val="20"/>
          <w:color w:val="auto"/>
        </w:rPr>
      </w:pPr>
      <w:r>
        <w:rPr>
          <w:rFonts w:ascii="Arial" w:cs="Arial" w:eastAsia="Arial" w:hAnsi="Arial"/>
          <w:sz w:val="14"/>
          <w:szCs w:val="14"/>
          <w:color w:val="auto"/>
        </w:rPr>
        <w:t>Experience operating in a highly regulated industry, navigating governmental or public policy matters in related to medicines and healthcare products</w:t>
      </w:r>
    </w:p>
    <w:p>
      <w:pPr>
        <w:spacing w:after="0" w:line="23" w:lineRule="exact"/>
        <w:rPr>
          <w:sz w:val="20"/>
          <w:szCs w:val="20"/>
          <w:color w:val="auto"/>
        </w:rPr>
      </w:pPr>
    </w:p>
    <w:p>
      <w:pPr>
        <w:ind w:right="260"/>
        <w:spacing w:after="0" w:line="285" w:lineRule="auto"/>
        <w:rPr>
          <w:sz w:val="20"/>
          <w:szCs w:val="20"/>
          <w:color w:val="auto"/>
        </w:rPr>
      </w:pPr>
      <w:r>
        <w:rPr>
          <w:rFonts w:ascii="Arial" w:cs="Arial" w:eastAsia="Arial" w:hAnsi="Arial"/>
          <w:sz w:val="14"/>
          <w:szCs w:val="14"/>
          <w:color w:val="auto"/>
        </w:rPr>
        <w:t>Experience leading larger, diverse teams and human capital management initiatives generally, including leadership development, succession planning, executive recruitment, oversight of corporate culture, diversity and inclusion, and compensation</w:t>
      </w:r>
    </w:p>
    <w:p>
      <w:pPr>
        <w:spacing w:after="0" w:line="200" w:lineRule="exact"/>
        <w:rPr>
          <w:sz w:val="20"/>
          <w:szCs w:val="20"/>
          <w:color w:val="auto"/>
        </w:rPr>
      </w:pPr>
    </w:p>
    <w:p>
      <w:pPr>
        <w:sectPr>
          <w:pgSz w:w="11900" w:h="16838" w:orient="portrait"/>
          <w:cols w:equalWidth="0" w:num="2">
            <w:col w:w="2660" w:space="140"/>
            <w:col w:w="8440"/>
          </w:cols>
          <w:pgMar w:left="320" w:top="1155"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39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type w:val="continuous"/>
        </w:sectPr>
      </w:pPr>
    </w:p>
    <w:bookmarkStart w:id="19" w:name="page20"/>
    <w:bookmarkEnd w:id="19"/>
    <w:p>
      <w:pPr>
        <w:spacing w:after="0" w:line="303" w:lineRule="auto"/>
        <w:rPr>
          <w:sz w:val="20"/>
          <w:szCs w:val="20"/>
          <w:color w:val="auto"/>
        </w:rPr>
      </w:pPr>
      <w:r>
        <w:rPr>
          <w:rFonts w:ascii="Arial" w:cs="Arial" w:eastAsia="Arial" w:hAnsi="Arial"/>
          <w:sz w:val="16"/>
          <w:szCs w:val="16"/>
          <w:color w:val="auto"/>
        </w:rPr>
        <w:t>The following includes a brief biography of each nominee for director and each of our other directors whose terms of office will continue following the annual meeting, including their respective ages, as of June 1, 2024. Each biography includes information regarding the specific experience, qualifications, attributes or skills that led our nominating committee and our board to determine that the applicable nominee or other current director should serve as a member of our board. We evaluate diversity considerations as well as the experience and expertise of our board as a whole to ensure alignment between the abilities and contributions of our board and our strategic priorities and long-range plan, emphasizing, among other things, expertise in global and U.S. sales and marketing, in product development, in financial management and in corporate development transactions.</w:t>
      </w:r>
    </w:p>
    <w:p>
      <w:pPr>
        <w:sectPr>
          <w:pgSz w:w="11900" w:h="16838" w:orient="portrait"/>
          <w:cols w:equalWidth="0" w:num="1">
            <w:col w:w="11200"/>
          </w:cols>
          <w:pgMar w:left="320" w:top="1070" w:right="379" w:bottom="1440" w:gutter="0" w:footer="0" w:header="0"/>
        </w:sectPr>
      </w:pP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2074545" cy="33000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74545" cy="330009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40"/>
        <w:spacing w:after="0"/>
        <w:rPr>
          <w:sz w:val="20"/>
          <w:szCs w:val="20"/>
          <w:color w:val="auto"/>
        </w:rPr>
      </w:pPr>
      <w:r>
        <w:rPr>
          <w:rFonts w:ascii="Arial" w:cs="Arial" w:eastAsia="Arial" w:hAnsi="Arial"/>
          <w:sz w:val="14"/>
          <w:szCs w:val="14"/>
          <w:color w:val="001C71"/>
        </w:rPr>
        <w:t xml:space="preserve">DIRECTOR SINCE: </w:t>
      </w:r>
      <w:r>
        <w:rPr>
          <w:rFonts w:ascii="Arial" w:cs="Arial" w:eastAsia="Arial" w:hAnsi="Arial"/>
          <w:sz w:val="17"/>
          <w:szCs w:val="17"/>
          <w:color w:val="000000"/>
        </w:rPr>
        <w:t>—</w:t>
      </w:r>
    </w:p>
    <w:p>
      <w:pPr>
        <w:spacing w:after="0" w:line="84" w:lineRule="exact"/>
        <w:rPr>
          <w:sz w:val="20"/>
          <w:szCs w:val="20"/>
          <w:color w:val="auto"/>
        </w:rPr>
      </w:pPr>
    </w:p>
    <w:p>
      <w:pPr>
        <w:ind w:left="140"/>
        <w:spacing w:after="0"/>
        <w:rPr>
          <w:sz w:val="20"/>
          <w:szCs w:val="20"/>
          <w:color w:val="auto"/>
        </w:rPr>
      </w:pPr>
      <w:r>
        <w:rPr>
          <w:rFonts w:ascii="Arial" w:cs="Arial" w:eastAsia="Arial" w:hAnsi="Arial"/>
          <w:sz w:val="14"/>
          <w:szCs w:val="14"/>
          <w:color w:val="001C71"/>
        </w:rPr>
        <w:t>INDEPENDENT</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4"/>
          <w:szCs w:val="14"/>
          <w:color w:val="001C71"/>
        </w:rPr>
        <w:t>KEY SKILLS:</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Public Company Board Experience</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C-Suite/Management Experience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Industry Expertise</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Commercial Experience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International Perspective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Human Capital</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4"/>
          <w:szCs w:val="14"/>
          <w:color w:val="001C71"/>
        </w:rPr>
        <w:t>OTHER CURRENT PUBLIC BOARDS:</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BB Biotech AG</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Y-mAbs Therapeutics,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tabs>
          <w:tab w:leader="none" w:pos="6960" w:val="left"/>
        </w:tabs>
        <w:rPr>
          <w:sz w:val="20"/>
          <w:szCs w:val="20"/>
          <w:color w:val="auto"/>
        </w:rPr>
      </w:pPr>
      <w:r>
        <w:rPr>
          <w:rFonts w:ascii="Arial" w:cs="Arial" w:eastAsia="Arial" w:hAnsi="Arial"/>
          <w:sz w:val="20"/>
          <w:szCs w:val="20"/>
          <w:b w:val="1"/>
          <w:bCs w:val="1"/>
          <w:color w:val="001C71"/>
        </w:rPr>
        <w:t>Laura J. Hamill</w:t>
      </w:r>
      <w:r>
        <w:rPr>
          <w:sz w:val="20"/>
          <w:szCs w:val="20"/>
          <w:color w:val="auto"/>
        </w:rPr>
        <w:tab/>
      </w:r>
      <w:r>
        <w:rPr>
          <w:rFonts w:ascii="Arial" w:cs="Arial" w:eastAsia="Arial" w:hAnsi="Arial"/>
          <w:sz w:val="14"/>
          <w:szCs w:val="14"/>
          <w:b w:val="1"/>
          <w:bCs w:val="1"/>
          <w:color w:val="001C71"/>
        </w:rPr>
        <w:t xml:space="preserve">Age: </w:t>
      </w:r>
      <w:r>
        <w:rPr>
          <w:rFonts w:ascii="Arial" w:cs="Arial" w:eastAsia="Arial" w:hAnsi="Arial"/>
          <w:sz w:val="14"/>
          <w:szCs w:val="14"/>
          <w:color w:val="001C71"/>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40640</wp:posOffset>
            </wp:positionV>
            <wp:extent cx="4911725" cy="5314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11725" cy="53149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001C71"/>
        </w:rPr>
        <w:t>SPECIFIC EXPERTISE:</w:t>
      </w:r>
    </w:p>
    <w:p>
      <w:pPr>
        <w:spacing w:after="0" w:line="69" w:lineRule="exact"/>
        <w:rPr>
          <w:sz w:val="20"/>
          <w:szCs w:val="20"/>
          <w:color w:val="auto"/>
        </w:rPr>
      </w:pPr>
    </w:p>
    <w:p>
      <w:pPr>
        <w:ind w:right="320"/>
        <w:spacing w:after="0" w:line="345" w:lineRule="auto"/>
        <w:rPr>
          <w:sz w:val="20"/>
          <w:szCs w:val="20"/>
          <w:color w:val="auto"/>
        </w:rPr>
      </w:pPr>
      <w:r>
        <w:rPr>
          <w:rFonts w:ascii="Arial" w:cs="Arial" w:eastAsia="Arial" w:hAnsi="Arial"/>
          <w:sz w:val="14"/>
          <w:szCs w:val="14"/>
          <w:color w:val="auto"/>
        </w:rPr>
        <w:t>Ms. Hamill brings over 35 years of commercial expertise in the biopharmaceutical industry, having held a variety of executive leadership positions in the United States and Internationally.</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001C71"/>
        </w:rPr>
        <w:t>BACKGROUND:</w:t>
      </w:r>
    </w:p>
    <w:p>
      <w:pPr>
        <w:spacing w:after="0" w:line="69" w:lineRule="exact"/>
        <w:rPr>
          <w:sz w:val="20"/>
          <w:szCs w:val="20"/>
          <w:color w:val="auto"/>
        </w:rPr>
      </w:pPr>
    </w:p>
    <w:p>
      <w:pPr>
        <w:ind w:right="120"/>
        <w:spacing w:after="0" w:line="303" w:lineRule="auto"/>
        <w:rPr>
          <w:sz w:val="20"/>
          <w:szCs w:val="20"/>
          <w:color w:val="auto"/>
        </w:rPr>
      </w:pPr>
      <w:r>
        <w:rPr>
          <w:rFonts w:ascii="Arial" w:cs="Arial" w:eastAsia="Arial" w:hAnsi="Arial"/>
          <w:sz w:val="14"/>
          <w:szCs w:val="14"/>
          <w:color w:val="auto"/>
        </w:rPr>
        <w:t>Ms. Hamill currently serves on the board of directors of two publicly held companies. Y-mAbs Therapeutics, Inc., a commercial stage biopharmaceutical company, and BB Biotech, a Swiss- based investment fund. Ms. Hamill serves on the board of directors of Unchained Labs, a privately held life sciences tools company and is an advisor for LaunchTX, part of the healthcare investment group of Carlyle. Ms. Hamill previously served on the boards of directors of Acceleron Pharma Inc., AnaptysBio, Inc., Pardes Biosciences, Inc. and Scilex Holding Company. Ms. Hamill held the position of Executive Vice President, Worldwide Commercial Operations, for Gilead Sciences, Inc., a biopharmaceutical company, from 2018 to 2019. From 2002 to 2018, Ms. Hamill served in various executive management positions at Amgen Inc., a global biotechnology company, culminating in her role as Senior Vice President, U.S. Commercial Operations. She has extensive experience living and working overseas for Amgen with responsibilities for the overall product portfolio. She was Head of International Marketing and Business Operations, in Zug, Switzerland and also served as Senior Vice President of Amgen’s Intercontinental Region, consisting of 26 countries. She was Vice President and General Manager for the Inflammation Business Unit at Amgen and Immunex Corporation (acquired by Amgen) from 2000 to 2007. From 1995 to 2000, Ms. Hamill held senior management positions at Klemtner, a biopharmaceutical advertising agency and, from 1988 to 1995, started her career in pharmaceuticals with Hoffmann La-Roche Laboratories holding positions in product management, business analysis and field sales. Ms. Hamill holds a degree in Business Administration with an emphasis in Marketing from the University of Arizona.</w:t>
      </w:r>
    </w:p>
    <w:p>
      <w:pPr>
        <w:spacing w:after="0" w:line="200" w:lineRule="exact"/>
        <w:rPr>
          <w:sz w:val="20"/>
          <w:szCs w:val="20"/>
          <w:color w:val="auto"/>
        </w:rPr>
      </w:pPr>
    </w:p>
    <w:p>
      <w:pPr>
        <w:sectPr>
          <w:pgSz w:w="11900" w:h="16838" w:orient="portrait"/>
          <w:cols w:equalWidth="0" w:num="2">
            <w:col w:w="2900" w:space="720"/>
            <w:col w:w="7580"/>
          </w:cols>
          <w:pgMar w:left="320" w:top="107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40"/>
        <w:spacing w:after="0"/>
        <w:rPr>
          <w:sz w:val="20"/>
          <w:szCs w:val="20"/>
          <w:color w:val="auto"/>
        </w:rPr>
      </w:pPr>
      <w:r>
        <w:rPr>
          <w:rFonts w:ascii="Arial" w:cs="Arial" w:eastAsia="Arial" w:hAnsi="Arial"/>
          <w:sz w:val="14"/>
          <w:szCs w:val="14"/>
          <w:color w:val="001C71"/>
        </w:rPr>
        <w:t>DIRECTOR SINCE: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2074545" cy="2442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074545" cy="2442845"/>
                    </a:xfrm>
                    <a:prstGeom prst="rect">
                      <a:avLst/>
                    </a:prstGeom>
                    <a:noFill/>
                  </pic:spPr>
                </pic:pic>
              </a:graphicData>
            </a:graphic>
          </wp:anchor>
        </w:drawing>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4"/>
          <w:szCs w:val="14"/>
          <w:color w:val="001C71"/>
        </w:rPr>
        <w:t>INDEPENDENT</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4"/>
          <w:szCs w:val="14"/>
          <w:color w:val="001C71"/>
        </w:rPr>
        <w:t>AUDIT COMMITTEE</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(Member)</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4"/>
          <w:szCs w:val="14"/>
          <w:color w:val="001C71"/>
        </w:rPr>
        <w:t>KEY SKILLS:</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Public Company Board Experience</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C-Suite/Management Experience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Industry Expertise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Financial Experience</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Merger and Acquisition/Corporate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Development</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Commercial Experience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International Perspective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Public Policy and Regulation</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Human Capital</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4"/>
          <w:szCs w:val="14"/>
          <w:color w:val="001C71"/>
        </w:rPr>
        <w:t>OTHER CURRENT PUBLIC BOARDS:</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Bank of Ireland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6960" w:val="left"/>
        </w:tabs>
        <w:rPr>
          <w:sz w:val="20"/>
          <w:szCs w:val="20"/>
          <w:color w:val="auto"/>
        </w:rPr>
      </w:pPr>
      <w:r>
        <w:rPr>
          <w:rFonts w:ascii="Arial" w:cs="Arial" w:eastAsia="Arial" w:hAnsi="Arial"/>
          <w:sz w:val="20"/>
          <w:szCs w:val="20"/>
          <w:b w:val="1"/>
          <w:bCs w:val="1"/>
          <w:color w:val="001C71"/>
        </w:rPr>
        <w:t>Patrick Kennedy</w:t>
      </w:r>
      <w:r>
        <w:rPr>
          <w:sz w:val="20"/>
          <w:szCs w:val="20"/>
          <w:color w:val="auto"/>
        </w:rPr>
        <w:tab/>
      </w:r>
      <w:r>
        <w:rPr>
          <w:rFonts w:ascii="Arial" w:cs="Arial" w:eastAsia="Arial" w:hAnsi="Arial"/>
          <w:sz w:val="14"/>
          <w:szCs w:val="14"/>
          <w:b w:val="1"/>
          <w:bCs w:val="1"/>
          <w:color w:val="001C71"/>
        </w:rPr>
        <w:t xml:space="preserve">Age: </w:t>
      </w:r>
      <w:r>
        <w:rPr>
          <w:rFonts w:ascii="Arial" w:cs="Arial" w:eastAsia="Arial" w:hAnsi="Arial"/>
          <w:sz w:val="14"/>
          <w:szCs w:val="14"/>
          <w:color w:val="001C71"/>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40640</wp:posOffset>
            </wp:positionV>
            <wp:extent cx="4911725" cy="5314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11725" cy="53149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001C71"/>
        </w:rPr>
        <w:t>SPECIFIC EXPERTISE:</w:t>
      </w:r>
    </w:p>
    <w:p>
      <w:pPr>
        <w:spacing w:after="0" w:line="82" w:lineRule="exact"/>
        <w:rPr>
          <w:sz w:val="20"/>
          <w:szCs w:val="20"/>
          <w:color w:val="auto"/>
        </w:rPr>
      </w:pPr>
    </w:p>
    <w:p>
      <w:pPr>
        <w:ind w:right="340"/>
        <w:spacing w:after="0" w:line="345" w:lineRule="auto"/>
        <w:rPr>
          <w:sz w:val="20"/>
          <w:szCs w:val="20"/>
          <w:color w:val="auto"/>
        </w:rPr>
      </w:pPr>
      <w:r>
        <w:rPr>
          <w:rFonts w:ascii="Arial" w:cs="Arial" w:eastAsia="Arial" w:hAnsi="Arial"/>
          <w:sz w:val="14"/>
          <w:szCs w:val="14"/>
          <w:color w:val="auto"/>
        </w:rPr>
        <w:t>Mr. Kennedy brings over 30 years of experience including extensive financial and operating expertise in managing dynamic, high growth-oriented companies.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001C71"/>
        </w:rPr>
        <w:t>BACKGROUND:</w:t>
      </w:r>
    </w:p>
    <w:p>
      <w:pPr>
        <w:spacing w:after="0" w:line="82" w:lineRule="exact"/>
        <w:rPr>
          <w:sz w:val="20"/>
          <w:szCs w:val="20"/>
          <w:color w:val="auto"/>
        </w:rPr>
      </w:pPr>
    </w:p>
    <w:p>
      <w:pPr>
        <w:ind w:right="80"/>
        <w:spacing w:after="0" w:line="304" w:lineRule="auto"/>
        <w:rPr>
          <w:sz w:val="20"/>
          <w:szCs w:val="20"/>
          <w:color w:val="auto"/>
        </w:rPr>
      </w:pPr>
      <w:r>
        <w:rPr>
          <w:rFonts w:ascii="Arial" w:cs="Arial" w:eastAsia="Arial" w:hAnsi="Arial"/>
          <w:sz w:val="14"/>
          <w:szCs w:val="14"/>
          <w:color w:val="auto"/>
        </w:rPr>
        <w:t>Patrick Kennedy has served as a member of our board since March 2024. Since 2010, Mr. Kennedy has served on the board of directors of the Bank of Ireland, and has served as its governor and chair since 2018. Mr. Kennedy was the Chief Executive Officer of Paddy Power plc (now a part of Flutter Entertainment plc), a leading Irish brand, for nine years ending in 2014. Additionally, Mr. Kennedy was previously Chief Financial Officer of Greencore Group plc, and held prior roles with KPMG Corporate Finance and McKinsey &amp; Company. Mr. Kennedy served as a non-executive director of Elan Corporation plc, a biotechnology company, and of retailer ASOS plc. He is currently also the chair and non-executive director of CarTrawler, a B2B technology platform for car rental and mobility solutions. He holds a BComm Degree (Banking &amp; Finance) and a Post Graduate Diploma in Accountancy from University College Dublin. Mr. Kennedy also holds a Post Graduate Diploma in Statistics from Trinity College Dublin and he is a Fellow of the Institute of Chartered Accountants in Ireland.</w:t>
      </w:r>
    </w:p>
    <w:p>
      <w:pPr>
        <w:spacing w:after="0" w:line="711" w:lineRule="exact"/>
        <w:rPr>
          <w:sz w:val="20"/>
          <w:szCs w:val="20"/>
          <w:color w:val="auto"/>
        </w:rPr>
      </w:pPr>
    </w:p>
    <w:p>
      <w:pPr>
        <w:sectPr>
          <w:pgSz w:w="11900" w:h="16838" w:orient="portrait"/>
          <w:cols w:equalWidth="0" w:num="2">
            <w:col w:w="2900" w:space="720"/>
            <w:col w:w="7580"/>
          </w:cols>
          <w:pgMar w:left="320" w:top="107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886460</wp:posOffset>
            </wp:positionV>
            <wp:extent cx="2074545" cy="2306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74545" cy="2306320"/>
                    </a:xfrm>
                    <a:prstGeom prst="rect">
                      <a:avLst/>
                    </a:prstGeom>
                    <a:noFill/>
                  </pic:spPr>
                </pic:pic>
              </a:graphicData>
            </a:graphic>
          </wp:anchor>
        </w:drawing>
      </w:r>
    </w:p>
    <w:p>
      <w:pPr>
        <w:spacing w:after="0" w:line="206" w:lineRule="exact"/>
        <w:rPr>
          <w:sz w:val="20"/>
          <w:szCs w:val="20"/>
          <w:color w:val="auto"/>
        </w:rPr>
      </w:pPr>
    </w:p>
    <w:p>
      <w:pPr>
        <w:ind w:left="140"/>
        <w:spacing w:after="0"/>
        <w:rPr>
          <w:sz w:val="20"/>
          <w:szCs w:val="20"/>
          <w:color w:val="auto"/>
        </w:rPr>
      </w:pPr>
      <w:r>
        <w:rPr>
          <w:rFonts w:ascii="Arial" w:cs="Arial" w:eastAsia="Arial" w:hAnsi="Arial"/>
          <w:sz w:val="14"/>
          <w:szCs w:val="14"/>
          <w:color w:val="001C71"/>
        </w:rPr>
        <w:t>DIRECTOR SINCE: 2004*</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color w:val="001C71"/>
        </w:rPr>
        <w:t>INDEPENDENT</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4"/>
          <w:szCs w:val="14"/>
          <w:color w:val="001C71"/>
        </w:rPr>
        <w:t>AUDIT COMMITTEE</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(Member)</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4"/>
          <w:szCs w:val="14"/>
          <w:color w:val="001C71"/>
        </w:rPr>
        <w:t>KEY SKILLS:</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Public Company Board Experience</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C-Suite/Management Experience</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Industry Expertise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Financial Experience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Merger and Acquisition/Corporate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Development</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Public Policy and Regulation</w:t>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14"/>
          <w:szCs w:val="14"/>
          <w:color w:val="001C71"/>
        </w:rPr>
        <w:t>OTHER CURRENT PUBLIC BOARDS:</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br w:type="column"/>
      </w:r>
    </w:p>
    <w:p>
      <w:pPr>
        <w:spacing w:after="0"/>
        <w:tabs>
          <w:tab w:leader="none" w:pos="6960" w:val="left"/>
        </w:tabs>
        <w:rPr>
          <w:sz w:val="20"/>
          <w:szCs w:val="20"/>
          <w:color w:val="auto"/>
        </w:rPr>
      </w:pPr>
      <w:r>
        <w:rPr>
          <w:rFonts w:ascii="Arial" w:cs="Arial" w:eastAsia="Arial" w:hAnsi="Arial"/>
          <w:sz w:val="20"/>
          <w:szCs w:val="20"/>
          <w:b w:val="1"/>
          <w:bCs w:val="1"/>
          <w:color w:val="001C71"/>
        </w:rPr>
        <w:t>Kenneth W. O’Keefe</w:t>
      </w:r>
      <w:r>
        <w:rPr>
          <w:sz w:val="20"/>
          <w:szCs w:val="20"/>
          <w:color w:val="auto"/>
        </w:rPr>
        <w:tab/>
      </w:r>
      <w:r>
        <w:rPr>
          <w:rFonts w:ascii="Arial" w:cs="Arial" w:eastAsia="Arial" w:hAnsi="Arial"/>
          <w:sz w:val="14"/>
          <w:szCs w:val="14"/>
          <w:b w:val="1"/>
          <w:bCs w:val="1"/>
          <w:color w:val="001C71"/>
        </w:rPr>
        <w:t xml:space="preserve">Age: </w:t>
      </w:r>
      <w:r>
        <w:rPr>
          <w:rFonts w:ascii="Arial" w:cs="Arial" w:eastAsia="Arial" w:hAnsi="Arial"/>
          <w:sz w:val="14"/>
          <w:szCs w:val="14"/>
          <w:color w:val="001C71"/>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40640</wp:posOffset>
            </wp:positionV>
            <wp:extent cx="4911725" cy="908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11725" cy="90868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001C71"/>
        </w:rPr>
        <w:t>SPECIFIC EXPERTISE:</w:t>
      </w:r>
    </w:p>
    <w:p>
      <w:pPr>
        <w:spacing w:after="0" w:line="82" w:lineRule="exact"/>
        <w:rPr>
          <w:sz w:val="20"/>
          <w:szCs w:val="20"/>
          <w:color w:val="auto"/>
        </w:rPr>
      </w:pPr>
    </w:p>
    <w:p>
      <w:pPr>
        <w:ind w:right="160"/>
        <w:spacing w:after="0" w:line="309" w:lineRule="auto"/>
        <w:rPr>
          <w:sz w:val="20"/>
          <w:szCs w:val="20"/>
          <w:color w:val="auto"/>
        </w:rPr>
      </w:pPr>
      <w:r>
        <w:rPr>
          <w:rFonts w:ascii="Arial" w:cs="Arial" w:eastAsia="Arial" w:hAnsi="Arial"/>
          <w:sz w:val="14"/>
          <w:szCs w:val="14"/>
          <w:color w:val="auto"/>
        </w:rPr>
        <w:t>As Founder and Advisor to BPOC, LLC, Mr. O’Keefe brings to our board significant expertise in accounting and financial matters and in analyzing and evaluating financial statements, as well as substantial experience managing private equity investments. As the former chairperson and current member of our audit committee, Mr. O’Keefe brings to our board detailed knowledge of our financial position and finance strategy.</w:t>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001C71"/>
        </w:rPr>
        <w:t>BACKGROUND:</w:t>
      </w:r>
    </w:p>
    <w:p>
      <w:pPr>
        <w:spacing w:after="0" w:line="82" w:lineRule="exact"/>
        <w:rPr>
          <w:sz w:val="20"/>
          <w:szCs w:val="20"/>
          <w:color w:val="auto"/>
        </w:rPr>
      </w:pPr>
    </w:p>
    <w:p>
      <w:pPr>
        <w:ind w:right="200"/>
        <w:spacing w:after="0" w:line="305" w:lineRule="auto"/>
        <w:rPr>
          <w:sz w:val="20"/>
          <w:szCs w:val="20"/>
          <w:color w:val="auto"/>
        </w:rPr>
      </w:pPr>
      <w:r>
        <w:rPr>
          <w:rFonts w:ascii="Arial" w:cs="Arial" w:eastAsia="Arial" w:hAnsi="Arial"/>
          <w:sz w:val="14"/>
          <w:szCs w:val="14"/>
          <w:color w:val="auto"/>
        </w:rPr>
        <w:t>Kenneth W. O’Keefe has served as a member of our board since the closing of the Azur Merger in January 2012 and was a director of Jazz Pharmaceuticals, Inc. from 2004 until the closing of the Azur Merger. He served as Managing Director from January 1996 to January 2010 and Chief Executive Officer from January 2010 to January 2018 of BPOC, LLC, a healthcare private equity firm he co-founded. Since January 2018 he has served as Founder of and Advisor to BPOC, LLC. He serves on the boards of several privately-held healthcare companies and serves or has served on the audit committee of several companies in the healthcare industry. He holds a B.A. from Northwestern University and an M.B.A. from the University of Chicago.</w:t>
      </w:r>
    </w:p>
    <w:p>
      <w:pPr>
        <w:spacing w:after="0" w:line="200" w:lineRule="exact"/>
        <w:rPr>
          <w:sz w:val="20"/>
          <w:szCs w:val="20"/>
          <w:color w:val="auto"/>
        </w:rPr>
      </w:pPr>
    </w:p>
    <w:p>
      <w:pPr>
        <w:sectPr>
          <w:pgSz w:w="11900" w:h="16838" w:orient="portrait"/>
          <w:cols w:equalWidth="0" w:num="2">
            <w:col w:w="2900" w:space="720"/>
            <w:col w:w="7620"/>
          </w:cols>
          <w:pgMar w:left="320" w:top="1101" w:right="339" w:bottom="1440" w:gutter="0" w:footer="0" w:header="0"/>
        </w:sectPr>
      </w:pPr>
    </w:p>
    <w:p>
      <w:pPr>
        <w:spacing w:after="0" w:line="379"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service on the board of directors of Jazz Pharmaceuticals, Inc., our predecessor.</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2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0" w:type="dxa"/>
            <w:vAlign w:val="bottom"/>
          </w:tcPr>
          <w:p>
            <w:pPr>
              <w:ind w:left="20"/>
              <w:spacing w:after="0"/>
              <w:rPr>
                <w:sz w:val="20"/>
                <w:szCs w:val="20"/>
                <w:color w:val="auto"/>
              </w:rPr>
            </w:pPr>
            <w:r>
              <w:rPr>
                <w:rFonts w:ascii="Arial" w:cs="Arial" w:eastAsia="Arial" w:hAnsi="Arial"/>
                <w:sz w:val="20"/>
                <w:szCs w:val="20"/>
                <w:b w:val="1"/>
                <w:bCs w:val="1"/>
                <w:color w:val="001C71"/>
              </w:rPr>
              <w:t>Mark D. Smith, M.D.</w:t>
            </w:r>
          </w:p>
        </w:tc>
        <w:tc>
          <w:tcPr>
            <w:tcW w:w="640" w:type="dxa"/>
            <w:vAlign w:val="bottom"/>
          </w:tcPr>
          <w:p>
            <w:pPr>
              <w:spacing w:after="0"/>
              <w:rPr>
                <w:sz w:val="20"/>
                <w:szCs w:val="20"/>
                <w:color w:val="auto"/>
              </w:rPr>
            </w:pPr>
            <w:r>
              <w:rPr>
                <w:rFonts w:ascii="Arial" w:cs="Arial" w:eastAsia="Arial" w:hAnsi="Arial"/>
                <w:sz w:val="14"/>
                <w:szCs w:val="14"/>
                <w:b w:val="1"/>
                <w:bCs w:val="1"/>
                <w:color w:val="001C71"/>
              </w:rPr>
              <w:t xml:space="preserve">Age: </w:t>
            </w:r>
            <w:r>
              <w:rPr>
                <w:rFonts w:ascii="Arial" w:cs="Arial" w:eastAsia="Arial" w:hAnsi="Arial"/>
                <w:sz w:val="14"/>
                <w:szCs w:val="14"/>
                <w:color w:val="001C71"/>
              </w:rPr>
              <w:t>72</w:t>
            </w:r>
          </w:p>
        </w:tc>
        <w:tc>
          <w:tcPr>
            <w:tcW w:w="0" w:type="dxa"/>
            <w:vAlign w:val="bottom"/>
          </w:tcPr>
          <w:p>
            <w:pPr>
              <w:spacing w:after="0"/>
              <w:rPr>
                <w:sz w:val="1"/>
                <w:szCs w:val="1"/>
                <w:color w:val="auto"/>
              </w:rPr>
            </w:pPr>
          </w:p>
        </w:tc>
      </w:tr>
      <w:tr>
        <w:trPr>
          <w:trHeight w:val="20"/>
        </w:trPr>
        <w:tc>
          <w:tcPr>
            <w:tcW w:w="120" w:type="dxa"/>
            <w:vAlign w:val="bottom"/>
            <w:tcBorders>
              <w:bottom w:val="single" w:sz="8" w:color="DBB2D0"/>
            </w:tcBorders>
          </w:tcPr>
          <w:p>
            <w:pPr>
              <w:spacing w:after="0" w:line="20" w:lineRule="exact"/>
              <w:rPr>
                <w:sz w:val="1"/>
                <w:szCs w:val="1"/>
                <w:color w:val="auto"/>
              </w:rPr>
            </w:pPr>
          </w:p>
        </w:tc>
        <w:tc>
          <w:tcPr>
            <w:tcW w:w="3160" w:type="dxa"/>
            <w:vAlign w:val="bottom"/>
            <w:tcBorders>
              <w:bottom w:val="single" w:sz="8" w:color="DBB2D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001C71"/>
            </w:tcBorders>
          </w:tcPr>
          <w:p>
            <w:pPr>
              <w:spacing w:after="0" w:line="20" w:lineRule="exact"/>
              <w:rPr>
                <w:sz w:val="1"/>
                <w:szCs w:val="1"/>
                <w:color w:val="auto"/>
              </w:rPr>
            </w:pPr>
          </w:p>
        </w:tc>
        <w:tc>
          <w:tcPr>
            <w:tcW w:w="7000" w:type="dxa"/>
            <w:vAlign w:val="bottom"/>
            <w:tcBorders>
              <w:bottom w:val="single" w:sz="8" w:color="001C71"/>
            </w:tcBorders>
          </w:tcPr>
          <w:p>
            <w:pPr>
              <w:spacing w:after="0" w:line="20" w:lineRule="exact"/>
              <w:rPr>
                <w:sz w:val="1"/>
                <w:szCs w:val="1"/>
                <w:color w:val="auto"/>
              </w:rPr>
            </w:pPr>
          </w:p>
        </w:tc>
        <w:tc>
          <w:tcPr>
            <w:tcW w:w="640" w:type="dxa"/>
            <w:vAlign w:val="bottom"/>
            <w:tcBorders>
              <w:bottom w:val="single" w:sz="8" w:color="001C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3"/>
        </w:trPr>
        <w:tc>
          <w:tcPr>
            <w:tcW w:w="120" w:type="dxa"/>
            <w:vAlign w:val="bottom"/>
            <w:shd w:val="clear" w:color="auto" w:fill="DBB2D0"/>
          </w:tcPr>
          <w:p>
            <w:pPr>
              <w:spacing w:after="0"/>
              <w:rPr>
                <w:sz w:val="24"/>
                <w:szCs w:val="24"/>
                <w:color w:val="auto"/>
              </w:rPr>
            </w:pPr>
          </w:p>
        </w:tc>
        <w:tc>
          <w:tcPr>
            <w:tcW w:w="3160" w:type="dxa"/>
            <w:vAlign w:val="bottom"/>
            <w:shd w:val="clear" w:color="auto" w:fill="DBB2D0"/>
          </w:tcPr>
          <w:p>
            <w:pPr>
              <w:ind w:left="20"/>
              <w:spacing w:after="0"/>
              <w:rPr>
                <w:sz w:val="20"/>
                <w:szCs w:val="20"/>
                <w:color w:val="auto"/>
              </w:rPr>
            </w:pPr>
            <w:r>
              <w:rPr>
                <w:rFonts w:ascii="Arial" w:cs="Arial" w:eastAsia="Arial" w:hAnsi="Arial"/>
                <w:sz w:val="14"/>
                <w:szCs w:val="14"/>
                <w:color w:val="001C71"/>
              </w:rPr>
              <w:t>DIRECTOR SINCE: 2020</w:t>
            </w:r>
          </w:p>
        </w:tc>
        <w:tc>
          <w:tcPr>
            <w:tcW w:w="220" w:type="dxa"/>
            <w:vAlign w:val="bottom"/>
          </w:tcPr>
          <w:p>
            <w:pPr>
              <w:spacing w:after="0"/>
              <w:rPr>
                <w:sz w:val="24"/>
                <w:szCs w:val="24"/>
                <w:color w:val="auto"/>
              </w:rPr>
            </w:pPr>
          </w:p>
        </w:tc>
        <w:tc>
          <w:tcPr>
            <w:tcW w:w="100" w:type="dxa"/>
            <w:vAlign w:val="bottom"/>
            <w:shd w:val="clear" w:color="auto" w:fill="EAEAEA"/>
          </w:tcPr>
          <w:p>
            <w:pPr>
              <w:spacing w:after="0"/>
              <w:rPr>
                <w:sz w:val="24"/>
                <w:szCs w:val="24"/>
                <w:color w:val="auto"/>
              </w:rPr>
            </w:pPr>
          </w:p>
        </w:tc>
        <w:tc>
          <w:tcPr>
            <w:tcW w:w="7000" w:type="dxa"/>
            <w:vAlign w:val="bottom"/>
            <w:shd w:val="clear" w:color="auto" w:fill="EAEAEA"/>
          </w:tcPr>
          <w:p>
            <w:pPr>
              <w:ind w:left="20"/>
              <w:spacing w:after="0"/>
              <w:rPr>
                <w:sz w:val="20"/>
                <w:szCs w:val="20"/>
                <w:color w:val="auto"/>
              </w:rPr>
            </w:pPr>
            <w:r>
              <w:rPr>
                <w:rFonts w:ascii="Arial" w:cs="Arial" w:eastAsia="Arial" w:hAnsi="Arial"/>
                <w:sz w:val="14"/>
                <w:szCs w:val="14"/>
                <w:color w:val="001C71"/>
              </w:rPr>
              <w:t>SPECIFIC EXPERTISE:</w:t>
            </w:r>
          </w:p>
        </w:tc>
        <w:tc>
          <w:tcPr>
            <w:tcW w:w="640" w:type="dxa"/>
            <w:vAlign w:val="bottom"/>
            <w:shd w:val="clear" w:color="auto" w:fill="EAEAEA"/>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0" w:type="dxa"/>
            <w:vAlign w:val="bottom"/>
            <w:shd w:val="clear" w:color="auto" w:fill="DBB2D0"/>
          </w:tcPr>
          <w:p>
            <w:pPr>
              <w:spacing w:after="0"/>
              <w:rPr>
                <w:sz w:val="21"/>
                <w:szCs w:val="21"/>
                <w:color w:val="auto"/>
              </w:rPr>
            </w:pPr>
          </w:p>
        </w:tc>
        <w:tc>
          <w:tcPr>
            <w:tcW w:w="3160" w:type="dxa"/>
            <w:vAlign w:val="bottom"/>
            <w:shd w:val="clear" w:color="auto" w:fill="DBB2D0"/>
          </w:tcPr>
          <w:p>
            <w:pPr>
              <w:ind w:left="20"/>
              <w:spacing w:after="0"/>
              <w:rPr>
                <w:sz w:val="20"/>
                <w:szCs w:val="20"/>
                <w:color w:val="auto"/>
              </w:rPr>
            </w:pPr>
            <w:r>
              <w:rPr>
                <w:rFonts w:ascii="Arial" w:cs="Arial" w:eastAsia="Arial" w:hAnsi="Arial"/>
                <w:sz w:val="14"/>
                <w:szCs w:val="14"/>
                <w:color w:val="001C71"/>
              </w:rPr>
              <w:t>INDEPENDENT</w:t>
            </w:r>
          </w:p>
        </w:tc>
        <w:tc>
          <w:tcPr>
            <w:tcW w:w="220" w:type="dxa"/>
            <w:vAlign w:val="bottom"/>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7000" w:type="dxa"/>
            <w:vAlign w:val="bottom"/>
            <w:shd w:val="clear" w:color="auto" w:fill="EAEAEA"/>
          </w:tcPr>
          <w:p>
            <w:pPr>
              <w:ind w:left="20"/>
              <w:spacing w:after="0"/>
              <w:rPr>
                <w:sz w:val="20"/>
                <w:szCs w:val="20"/>
                <w:color w:val="auto"/>
              </w:rPr>
            </w:pPr>
            <w:r>
              <w:rPr>
                <w:rFonts w:ascii="Arial" w:cs="Arial" w:eastAsia="Arial" w:hAnsi="Arial"/>
                <w:sz w:val="14"/>
                <w:szCs w:val="14"/>
                <w:color w:val="auto"/>
              </w:rPr>
              <w:t>Dr. Smith brings to our board an impressive background that marries the worlds of active medical practice and</w:t>
            </w:r>
          </w:p>
        </w:tc>
        <w:tc>
          <w:tcPr>
            <w:tcW w:w="64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20" w:type="dxa"/>
            <w:vAlign w:val="bottom"/>
            <w:shd w:val="clear" w:color="auto" w:fill="DBB2D0"/>
          </w:tcPr>
          <w:p>
            <w:pPr>
              <w:spacing w:after="0"/>
              <w:rPr>
                <w:sz w:val="17"/>
                <w:szCs w:val="17"/>
                <w:color w:val="auto"/>
              </w:rPr>
            </w:pPr>
          </w:p>
        </w:tc>
        <w:tc>
          <w:tcPr>
            <w:tcW w:w="3160" w:type="dxa"/>
            <w:vAlign w:val="bottom"/>
            <w:vMerge w:val="restart"/>
            <w:shd w:val="clear" w:color="auto" w:fill="DBB2D0"/>
          </w:tcPr>
          <w:p>
            <w:pPr>
              <w:ind w:left="20"/>
              <w:spacing w:after="0"/>
              <w:rPr>
                <w:sz w:val="20"/>
                <w:szCs w:val="20"/>
                <w:color w:val="auto"/>
              </w:rPr>
            </w:pPr>
            <w:r>
              <w:rPr>
                <w:rFonts w:ascii="Arial" w:cs="Arial" w:eastAsia="Arial" w:hAnsi="Arial"/>
                <w:sz w:val="14"/>
                <w:szCs w:val="14"/>
                <w:color w:val="001C71"/>
              </w:rPr>
              <w:t>NOMINATING &amp; CORPORATE GOVERNANCE</w:t>
            </w:r>
          </w:p>
        </w:tc>
        <w:tc>
          <w:tcPr>
            <w:tcW w:w="220" w:type="dxa"/>
            <w:vAlign w:val="bottom"/>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7640" w:type="dxa"/>
            <w:vAlign w:val="bottom"/>
            <w:gridSpan w:val="2"/>
            <w:shd w:val="clear" w:color="auto" w:fill="EAEAEA"/>
          </w:tcPr>
          <w:p>
            <w:pPr>
              <w:ind w:left="20"/>
              <w:spacing w:after="0"/>
              <w:rPr>
                <w:sz w:val="20"/>
                <w:szCs w:val="20"/>
                <w:color w:val="auto"/>
              </w:rPr>
            </w:pPr>
            <w:r>
              <w:rPr>
                <w:rFonts w:ascii="Arial" w:cs="Arial" w:eastAsia="Arial" w:hAnsi="Arial"/>
                <w:sz w:val="14"/>
                <w:szCs w:val="14"/>
                <w:color w:val="auto"/>
              </w:rPr>
              <w:t>business development. A practicing physician and professor, Dr. Smith also has experience working for a variety of</w:t>
            </w:r>
          </w:p>
        </w:tc>
        <w:tc>
          <w:tcPr>
            <w:tcW w:w="0" w:type="dxa"/>
            <w:vAlign w:val="bottom"/>
          </w:tcPr>
          <w:p>
            <w:pPr>
              <w:spacing w:after="0"/>
              <w:rPr>
                <w:sz w:val="1"/>
                <w:szCs w:val="1"/>
                <w:color w:val="auto"/>
              </w:rPr>
            </w:pPr>
          </w:p>
        </w:tc>
      </w:tr>
      <w:tr>
        <w:trPr>
          <w:trHeight w:val="107"/>
        </w:trPr>
        <w:tc>
          <w:tcPr>
            <w:tcW w:w="120" w:type="dxa"/>
            <w:vAlign w:val="bottom"/>
            <w:shd w:val="clear" w:color="auto" w:fill="DBB2D0"/>
          </w:tcPr>
          <w:p>
            <w:pPr>
              <w:spacing w:after="0"/>
              <w:rPr>
                <w:sz w:val="9"/>
                <w:szCs w:val="9"/>
                <w:color w:val="auto"/>
              </w:rPr>
            </w:pPr>
          </w:p>
        </w:tc>
        <w:tc>
          <w:tcPr>
            <w:tcW w:w="3160" w:type="dxa"/>
            <w:vAlign w:val="bottom"/>
            <w:vMerge w:val="continue"/>
            <w:shd w:val="clear" w:color="auto" w:fill="DBB2D0"/>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shd w:val="clear" w:color="auto" w:fill="EAEAEA"/>
          </w:tcPr>
          <w:p>
            <w:pPr>
              <w:spacing w:after="0"/>
              <w:rPr>
                <w:sz w:val="9"/>
                <w:szCs w:val="9"/>
                <w:color w:val="auto"/>
              </w:rPr>
            </w:pPr>
          </w:p>
        </w:tc>
        <w:tc>
          <w:tcPr>
            <w:tcW w:w="7640" w:type="dxa"/>
            <w:vAlign w:val="bottom"/>
            <w:gridSpan w:val="2"/>
            <w:vMerge w:val="restart"/>
            <w:shd w:val="clear" w:color="auto" w:fill="EAEAEA"/>
          </w:tcPr>
          <w:p>
            <w:pPr>
              <w:ind w:left="20"/>
              <w:spacing w:after="0"/>
              <w:rPr>
                <w:sz w:val="20"/>
                <w:szCs w:val="20"/>
                <w:color w:val="auto"/>
              </w:rPr>
            </w:pPr>
            <w:r>
              <w:rPr>
                <w:rFonts w:ascii="Arial" w:cs="Arial" w:eastAsia="Arial" w:hAnsi="Arial"/>
                <w:sz w:val="14"/>
                <w:szCs w:val="14"/>
                <w:color w:val="auto"/>
              </w:rPr>
              <w:t>health focused companies both public and private. Dr. Smith has a deep understanding of the trends in public policy</w:t>
            </w:r>
          </w:p>
        </w:tc>
        <w:tc>
          <w:tcPr>
            <w:tcW w:w="0" w:type="dxa"/>
            <w:vAlign w:val="bottom"/>
          </w:tcPr>
          <w:p>
            <w:pPr>
              <w:spacing w:after="0"/>
              <w:rPr>
                <w:sz w:val="1"/>
                <w:szCs w:val="1"/>
                <w:color w:val="auto"/>
              </w:rPr>
            </w:pPr>
          </w:p>
        </w:tc>
      </w:tr>
      <w:tr>
        <w:trPr>
          <w:trHeight w:val="96"/>
        </w:trPr>
        <w:tc>
          <w:tcPr>
            <w:tcW w:w="120" w:type="dxa"/>
            <w:vAlign w:val="bottom"/>
            <w:shd w:val="clear" w:color="auto" w:fill="DBB2D0"/>
          </w:tcPr>
          <w:p>
            <w:pPr>
              <w:spacing w:after="0"/>
              <w:rPr>
                <w:sz w:val="8"/>
                <w:szCs w:val="8"/>
                <w:color w:val="auto"/>
              </w:rPr>
            </w:pPr>
          </w:p>
        </w:tc>
        <w:tc>
          <w:tcPr>
            <w:tcW w:w="3160" w:type="dxa"/>
            <w:vAlign w:val="bottom"/>
            <w:vMerge w:val="restart"/>
            <w:shd w:val="clear" w:color="auto" w:fill="DBB2D0"/>
          </w:tcPr>
          <w:p>
            <w:pPr>
              <w:ind w:left="20"/>
              <w:spacing w:after="0"/>
              <w:rPr>
                <w:sz w:val="20"/>
                <w:szCs w:val="20"/>
                <w:color w:val="auto"/>
              </w:rPr>
            </w:pPr>
            <w:r>
              <w:rPr>
                <w:rFonts w:ascii="Arial" w:cs="Arial" w:eastAsia="Arial" w:hAnsi="Arial"/>
                <w:sz w:val="14"/>
                <w:szCs w:val="14"/>
                <w:color w:val="001C71"/>
              </w:rPr>
              <w:t>COMMITTEE</w:t>
            </w:r>
          </w:p>
        </w:tc>
        <w:tc>
          <w:tcPr>
            <w:tcW w:w="220" w:type="dxa"/>
            <w:vAlign w:val="bottom"/>
          </w:tcPr>
          <w:p>
            <w:pPr>
              <w:spacing w:after="0"/>
              <w:rPr>
                <w:sz w:val="8"/>
                <w:szCs w:val="8"/>
                <w:color w:val="auto"/>
              </w:rPr>
            </w:pPr>
          </w:p>
        </w:tc>
        <w:tc>
          <w:tcPr>
            <w:tcW w:w="100" w:type="dxa"/>
            <w:vAlign w:val="bottom"/>
            <w:shd w:val="clear" w:color="auto" w:fill="EAEAEA"/>
          </w:tcPr>
          <w:p>
            <w:pPr>
              <w:spacing w:after="0"/>
              <w:rPr>
                <w:sz w:val="8"/>
                <w:szCs w:val="8"/>
                <w:color w:val="auto"/>
              </w:rPr>
            </w:pPr>
          </w:p>
        </w:tc>
        <w:tc>
          <w:tcPr>
            <w:tcW w:w="7640" w:type="dxa"/>
            <w:vAlign w:val="bottom"/>
            <w:gridSpan w:val="2"/>
            <w:vMerge w:val="continue"/>
            <w:shd w:val="clear" w:color="auto" w:fill="EAEAEA"/>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0" w:type="dxa"/>
            <w:vAlign w:val="bottom"/>
            <w:shd w:val="clear" w:color="auto" w:fill="DBB2D0"/>
          </w:tcPr>
          <w:p>
            <w:pPr>
              <w:spacing w:after="0"/>
              <w:rPr>
                <w:sz w:val="8"/>
                <w:szCs w:val="8"/>
                <w:color w:val="auto"/>
              </w:rPr>
            </w:pPr>
          </w:p>
        </w:tc>
        <w:tc>
          <w:tcPr>
            <w:tcW w:w="3160" w:type="dxa"/>
            <w:vAlign w:val="bottom"/>
            <w:vMerge w:val="continue"/>
            <w:shd w:val="clear" w:color="auto" w:fill="DBB2D0"/>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shd w:val="clear" w:color="auto" w:fill="EAEAEA"/>
          </w:tcPr>
          <w:p>
            <w:pPr>
              <w:spacing w:after="0"/>
              <w:rPr>
                <w:sz w:val="8"/>
                <w:szCs w:val="8"/>
                <w:color w:val="auto"/>
              </w:rPr>
            </w:pPr>
          </w:p>
        </w:tc>
        <w:tc>
          <w:tcPr>
            <w:tcW w:w="7000" w:type="dxa"/>
            <w:vAlign w:val="bottom"/>
            <w:vMerge w:val="restart"/>
            <w:shd w:val="clear" w:color="auto" w:fill="EAEAEA"/>
          </w:tcPr>
          <w:p>
            <w:pPr>
              <w:ind w:left="20"/>
              <w:spacing w:after="0"/>
              <w:rPr>
                <w:sz w:val="20"/>
                <w:szCs w:val="20"/>
                <w:color w:val="auto"/>
              </w:rPr>
            </w:pPr>
            <w:r>
              <w:rPr>
                <w:rFonts w:ascii="Arial" w:cs="Arial" w:eastAsia="Arial" w:hAnsi="Arial"/>
                <w:sz w:val="14"/>
                <w:szCs w:val="14"/>
                <w:color w:val="auto"/>
              </w:rPr>
              <w:t>and future trends in healthcare delivery systems in the United States.</w:t>
            </w:r>
          </w:p>
        </w:tc>
        <w:tc>
          <w:tcPr>
            <w:tcW w:w="640" w:type="dxa"/>
            <w:vAlign w:val="bottom"/>
            <w:shd w:val="clear" w:color="auto" w:fill="EAEAEA"/>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20" w:type="dxa"/>
            <w:vAlign w:val="bottom"/>
            <w:shd w:val="clear" w:color="auto" w:fill="DBB2D0"/>
          </w:tcPr>
          <w:p>
            <w:pPr>
              <w:spacing w:after="0"/>
              <w:rPr>
                <w:sz w:val="9"/>
                <w:szCs w:val="9"/>
                <w:color w:val="auto"/>
              </w:rPr>
            </w:pPr>
          </w:p>
        </w:tc>
        <w:tc>
          <w:tcPr>
            <w:tcW w:w="3160" w:type="dxa"/>
            <w:vAlign w:val="bottom"/>
            <w:vMerge w:val="restart"/>
            <w:shd w:val="clear" w:color="auto" w:fill="DBB2D0"/>
          </w:tcPr>
          <w:p>
            <w:pPr>
              <w:ind w:left="20"/>
              <w:spacing w:after="0"/>
              <w:rPr>
                <w:sz w:val="20"/>
                <w:szCs w:val="20"/>
                <w:color w:val="auto"/>
              </w:rPr>
            </w:pPr>
            <w:r>
              <w:rPr>
                <w:rFonts w:ascii="Arial" w:cs="Arial" w:eastAsia="Arial" w:hAnsi="Arial"/>
                <w:sz w:val="14"/>
                <w:szCs w:val="14"/>
                <w:color w:val="auto"/>
              </w:rPr>
              <w:t>(Member)</w:t>
            </w:r>
          </w:p>
        </w:tc>
        <w:tc>
          <w:tcPr>
            <w:tcW w:w="220" w:type="dxa"/>
            <w:vAlign w:val="bottom"/>
          </w:tcPr>
          <w:p>
            <w:pPr>
              <w:spacing w:after="0"/>
              <w:rPr>
                <w:sz w:val="9"/>
                <w:szCs w:val="9"/>
                <w:color w:val="auto"/>
              </w:rPr>
            </w:pPr>
          </w:p>
        </w:tc>
        <w:tc>
          <w:tcPr>
            <w:tcW w:w="100" w:type="dxa"/>
            <w:vAlign w:val="bottom"/>
            <w:shd w:val="clear" w:color="auto" w:fill="EAEAEA"/>
          </w:tcPr>
          <w:p>
            <w:pPr>
              <w:spacing w:after="0"/>
              <w:rPr>
                <w:sz w:val="9"/>
                <w:szCs w:val="9"/>
                <w:color w:val="auto"/>
              </w:rPr>
            </w:pPr>
          </w:p>
        </w:tc>
        <w:tc>
          <w:tcPr>
            <w:tcW w:w="7000" w:type="dxa"/>
            <w:vAlign w:val="bottom"/>
            <w:vMerge w:val="continue"/>
            <w:shd w:val="clear" w:color="auto" w:fill="EAEAEA"/>
          </w:tcPr>
          <w:p>
            <w:pPr>
              <w:spacing w:after="0"/>
              <w:rPr>
                <w:sz w:val="9"/>
                <w:szCs w:val="9"/>
                <w:color w:val="auto"/>
              </w:rPr>
            </w:pPr>
          </w:p>
        </w:tc>
        <w:tc>
          <w:tcPr>
            <w:tcW w:w="640" w:type="dxa"/>
            <w:vAlign w:val="bottom"/>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0" w:type="dxa"/>
            <w:vAlign w:val="bottom"/>
            <w:shd w:val="clear" w:color="auto" w:fill="DBB2D0"/>
          </w:tcPr>
          <w:p>
            <w:pPr>
              <w:spacing w:after="0"/>
              <w:rPr>
                <w:sz w:val="10"/>
                <w:szCs w:val="10"/>
                <w:color w:val="auto"/>
              </w:rPr>
            </w:pPr>
          </w:p>
        </w:tc>
        <w:tc>
          <w:tcPr>
            <w:tcW w:w="3160" w:type="dxa"/>
            <w:vAlign w:val="bottom"/>
            <w:vMerge w:val="continue"/>
            <w:shd w:val="clear" w:color="auto" w:fill="DBB2D0"/>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shd w:val="clear" w:color="auto" w:fill="EAEAEA"/>
          </w:tcPr>
          <w:p>
            <w:pPr>
              <w:spacing w:after="0"/>
              <w:rPr>
                <w:sz w:val="10"/>
                <w:szCs w:val="10"/>
                <w:color w:val="auto"/>
              </w:rPr>
            </w:pPr>
          </w:p>
        </w:tc>
        <w:tc>
          <w:tcPr>
            <w:tcW w:w="7000" w:type="dxa"/>
            <w:vAlign w:val="bottom"/>
            <w:shd w:val="clear" w:color="auto" w:fill="EAEAEA"/>
          </w:tcPr>
          <w:p>
            <w:pPr>
              <w:spacing w:after="0"/>
              <w:rPr>
                <w:sz w:val="10"/>
                <w:szCs w:val="10"/>
                <w:color w:val="auto"/>
              </w:rPr>
            </w:pPr>
          </w:p>
        </w:tc>
        <w:tc>
          <w:tcPr>
            <w:tcW w:w="640" w:type="dxa"/>
            <w:vAlign w:val="bottom"/>
            <w:shd w:val="clear" w:color="auto" w:fill="EAEAEA"/>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20" w:type="dxa"/>
            <w:vAlign w:val="bottom"/>
            <w:shd w:val="clear" w:color="auto" w:fill="DBB2D0"/>
          </w:tcPr>
          <w:p>
            <w:pPr>
              <w:spacing w:after="0"/>
              <w:rPr>
                <w:sz w:val="13"/>
                <w:szCs w:val="13"/>
                <w:color w:val="auto"/>
              </w:rPr>
            </w:pPr>
          </w:p>
        </w:tc>
        <w:tc>
          <w:tcPr>
            <w:tcW w:w="3160" w:type="dxa"/>
            <w:vAlign w:val="bottom"/>
            <w:vMerge w:val="restart"/>
            <w:shd w:val="clear" w:color="auto" w:fill="DBB2D0"/>
          </w:tcPr>
          <w:p>
            <w:pPr>
              <w:ind w:left="20"/>
              <w:spacing w:after="0"/>
              <w:rPr>
                <w:sz w:val="20"/>
                <w:szCs w:val="20"/>
                <w:color w:val="auto"/>
              </w:rPr>
            </w:pPr>
            <w:r>
              <w:rPr>
                <w:rFonts w:ascii="Arial" w:cs="Arial" w:eastAsia="Arial" w:hAnsi="Arial"/>
                <w:sz w:val="14"/>
                <w:szCs w:val="14"/>
                <w:color w:val="001C71"/>
              </w:rPr>
              <w:t>SCIENCE &amp; MEDICINE COMMITTEE</w:t>
            </w:r>
          </w:p>
        </w:tc>
        <w:tc>
          <w:tcPr>
            <w:tcW w:w="220" w:type="dxa"/>
            <w:vAlign w:val="bottom"/>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7000" w:type="dxa"/>
            <w:vAlign w:val="bottom"/>
            <w:shd w:val="clear" w:color="auto" w:fill="EAEAEA"/>
          </w:tcPr>
          <w:p>
            <w:pPr>
              <w:spacing w:after="0"/>
              <w:rPr>
                <w:sz w:val="13"/>
                <w:szCs w:val="13"/>
                <w:color w:val="auto"/>
              </w:rPr>
            </w:pPr>
          </w:p>
        </w:tc>
        <w:tc>
          <w:tcPr>
            <w:tcW w:w="640" w:type="dxa"/>
            <w:vAlign w:val="bottom"/>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20" w:type="dxa"/>
            <w:vAlign w:val="bottom"/>
            <w:shd w:val="clear" w:color="auto" w:fill="DBB2D0"/>
          </w:tcPr>
          <w:p>
            <w:pPr>
              <w:spacing w:after="0"/>
              <w:rPr>
                <w:sz w:val="14"/>
                <w:szCs w:val="14"/>
                <w:color w:val="auto"/>
              </w:rPr>
            </w:pPr>
          </w:p>
        </w:tc>
        <w:tc>
          <w:tcPr>
            <w:tcW w:w="3160" w:type="dxa"/>
            <w:vAlign w:val="bottom"/>
            <w:vMerge w:val="continue"/>
            <w:shd w:val="clear" w:color="auto" w:fill="DBB2D0"/>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0" w:type="dxa"/>
            <w:vAlign w:val="bottom"/>
            <w:vMerge w:val="restart"/>
          </w:tcPr>
          <w:p>
            <w:pPr>
              <w:ind w:left="20"/>
              <w:spacing w:after="0"/>
              <w:rPr>
                <w:sz w:val="20"/>
                <w:szCs w:val="20"/>
                <w:color w:val="auto"/>
              </w:rPr>
            </w:pPr>
            <w:r>
              <w:rPr>
                <w:rFonts w:ascii="Arial" w:cs="Arial" w:eastAsia="Arial" w:hAnsi="Arial"/>
                <w:sz w:val="14"/>
                <w:szCs w:val="14"/>
                <w:color w:val="001C71"/>
              </w:rPr>
              <w:t>BACKGROUND:</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20" w:type="dxa"/>
            <w:vAlign w:val="bottom"/>
            <w:shd w:val="clear" w:color="auto" w:fill="DBB2D0"/>
          </w:tcPr>
          <w:p>
            <w:pPr>
              <w:spacing w:after="0"/>
              <w:rPr>
                <w:sz w:val="11"/>
                <w:szCs w:val="11"/>
                <w:color w:val="auto"/>
              </w:rPr>
            </w:pPr>
          </w:p>
        </w:tc>
        <w:tc>
          <w:tcPr>
            <w:tcW w:w="3160" w:type="dxa"/>
            <w:vAlign w:val="bottom"/>
            <w:vMerge w:val="restart"/>
            <w:shd w:val="clear" w:color="auto" w:fill="DBB2D0"/>
          </w:tcPr>
          <w:p>
            <w:pPr>
              <w:ind w:left="20"/>
              <w:spacing w:after="0"/>
              <w:rPr>
                <w:sz w:val="20"/>
                <w:szCs w:val="20"/>
                <w:color w:val="auto"/>
              </w:rPr>
            </w:pPr>
            <w:r>
              <w:rPr>
                <w:rFonts w:ascii="Arial" w:cs="Arial" w:eastAsia="Arial" w:hAnsi="Arial"/>
                <w:sz w:val="14"/>
                <w:szCs w:val="14"/>
                <w:color w:val="auto"/>
              </w:rPr>
              <w:t>(Member)</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20" w:type="dxa"/>
            <w:vAlign w:val="bottom"/>
            <w:shd w:val="clear" w:color="auto" w:fill="DBB2D0"/>
          </w:tcPr>
          <w:p>
            <w:pPr>
              <w:spacing w:after="0"/>
              <w:rPr>
                <w:sz w:val="8"/>
                <w:szCs w:val="8"/>
                <w:color w:val="auto"/>
              </w:rPr>
            </w:pPr>
          </w:p>
        </w:tc>
        <w:tc>
          <w:tcPr>
            <w:tcW w:w="3160" w:type="dxa"/>
            <w:vAlign w:val="bottom"/>
            <w:vMerge w:val="continue"/>
            <w:shd w:val="clear" w:color="auto" w:fill="DBB2D0"/>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40" w:type="dxa"/>
            <w:vAlign w:val="bottom"/>
            <w:gridSpan w:val="2"/>
            <w:vMerge w:val="restart"/>
          </w:tcPr>
          <w:p>
            <w:pPr>
              <w:ind w:left="20"/>
              <w:spacing w:after="0"/>
              <w:rPr>
                <w:sz w:val="20"/>
                <w:szCs w:val="20"/>
                <w:color w:val="auto"/>
              </w:rPr>
            </w:pPr>
            <w:r>
              <w:rPr>
                <w:rFonts w:ascii="Arial" w:cs="Arial" w:eastAsia="Arial" w:hAnsi="Arial"/>
                <w:sz w:val="14"/>
                <w:szCs w:val="14"/>
                <w:color w:val="auto"/>
              </w:rPr>
              <w:t>Mark D. Smith, M.D. has served as a member of our board since December 2020. Dr. Smith is a practicing physician</w:t>
            </w:r>
          </w:p>
        </w:tc>
        <w:tc>
          <w:tcPr>
            <w:tcW w:w="0" w:type="dxa"/>
            <w:vAlign w:val="bottom"/>
          </w:tcPr>
          <w:p>
            <w:pPr>
              <w:spacing w:after="0"/>
              <w:rPr>
                <w:sz w:val="1"/>
                <w:szCs w:val="1"/>
                <w:color w:val="auto"/>
              </w:rPr>
            </w:pPr>
          </w:p>
        </w:tc>
      </w:tr>
      <w:tr>
        <w:trPr>
          <w:trHeight w:val="149"/>
        </w:trPr>
        <w:tc>
          <w:tcPr>
            <w:tcW w:w="120" w:type="dxa"/>
            <w:vAlign w:val="bottom"/>
            <w:shd w:val="clear" w:color="auto" w:fill="DBB2D0"/>
          </w:tcPr>
          <w:p>
            <w:pPr>
              <w:spacing w:after="0"/>
              <w:rPr>
                <w:sz w:val="12"/>
                <w:szCs w:val="12"/>
                <w:color w:val="auto"/>
              </w:rPr>
            </w:pPr>
          </w:p>
        </w:tc>
        <w:tc>
          <w:tcPr>
            <w:tcW w:w="3160" w:type="dxa"/>
            <w:vAlign w:val="bottom"/>
            <w:vMerge w:val="restart"/>
            <w:shd w:val="clear" w:color="auto" w:fill="DBB2D0"/>
          </w:tcPr>
          <w:p>
            <w:pPr>
              <w:ind w:left="20"/>
              <w:spacing w:after="0"/>
              <w:rPr>
                <w:sz w:val="20"/>
                <w:szCs w:val="20"/>
                <w:color w:val="auto"/>
              </w:rPr>
            </w:pPr>
            <w:r>
              <w:rPr>
                <w:rFonts w:ascii="Arial" w:cs="Arial" w:eastAsia="Arial" w:hAnsi="Arial"/>
                <w:sz w:val="14"/>
                <w:szCs w:val="14"/>
                <w:color w:val="001C71"/>
              </w:rPr>
              <w:t>KEY SKILLS: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DBB2D0"/>
          </w:tcPr>
          <w:p>
            <w:pPr>
              <w:spacing w:after="0"/>
              <w:rPr>
                <w:sz w:val="17"/>
                <w:szCs w:val="17"/>
                <w:color w:val="auto"/>
              </w:rPr>
            </w:pPr>
          </w:p>
        </w:tc>
        <w:tc>
          <w:tcPr>
            <w:tcW w:w="3160" w:type="dxa"/>
            <w:vAlign w:val="bottom"/>
            <w:vMerge w:val="continue"/>
            <w:shd w:val="clear" w:color="auto" w:fill="DBB2D0"/>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40" w:type="dxa"/>
            <w:vAlign w:val="bottom"/>
            <w:gridSpan w:val="2"/>
          </w:tcPr>
          <w:p>
            <w:pPr>
              <w:ind w:left="20"/>
              <w:spacing w:after="0"/>
              <w:rPr>
                <w:sz w:val="20"/>
                <w:szCs w:val="20"/>
                <w:color w:val="auto"/>
              </w:rPr>
            </w:pPr>
            <w:r>
              <w:rPr>
                <w:rFonts w:ascii="Arial" w:cs="Arial" w:eastAsia="Arial" w:hAnsi="Arial"/>
                <w:sz w:val="14"/>
                <w:szCs w:val="14"/>
                <w:color w:val="auto"/>
              </w:rPr>
              <w:t>and professor of clinical medicine at the University of California at San Francisco, where he has served since 1994.</w:t>
            </w:r>
          </w:p>
        </w:tc>
        <w:tc>
          <w:tcPr>
            <w:tcW w:w="0" w:type="dxa"/>
            <w:vAlign w:val="bottom"/>
          </w:tcPr>
          <w:p>
            <w:pPr>
              <w:spacing w:after="0"/>
              <w:rPr>
                <w:sz w:val="1"/>
                <w:szCs w:val="1"/>
                <w:color w:val="auto"/>
              </w:rPr>
            </w:pPr>
          </w:p>
        </w:tc>
      </w:tr>
      <w:tr>
        <w:trPr>
          <w:trHeight w:val="188"/>
        </w:trPr>
        <w:tc>
          <w:tcPr>
            <w:tcW w:w="120" w:type="dxa"/>
            <w:vAlign w:val="bottom"/>
            <w:shd w:val="clear" w:color="auto" w:fill="DBB2D0"/>
          </w:tcPr>
          <w:p>
            <w:pPr>
              <w:spacing w:after="0"/>
              <w:rPr>
                <w:sz w:val="16"/>
                <w:szCs w:val="16"/>
                <w:color w:val="auto"/>
              </w:rPr>
            </w:pPr>
          </w:p>
        </w:tc>
        <w:tc>
          <w:tcPr>
            <w:tcW w:w="3160" w:type="dxa"/>
            <w:vAlign w:val="bottom"/>
            <w:shd w:val="clear" w:color="auto" w:fill="DBB2D0"/>
          </w:tcPr>
          <w:p>
            <w:pPr>
              <w:ind w:left="20"/>
              <w:spacing w:after="0"/>
              <w:rPr>
                <w:sz w:val="20"/>
                <w:szCs w:val="20"/>
                <w:color w:val="auto"/>
              </w:rPr>
            </w:pPr>
            <w:r>
              <w:rPr>
                <w:rFonts w:ascii="Arial" w:cs="Arial" w:eastAsia="Arial" w:hAnsi="Arial"/>
                <w:sz w:val="14"/>
                <w:szCs w:val="14"/>
                <w:color w:val="auto"/>
              </w:rPr>
              <w:t>Public Company Board Experience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40" w:type="dxa"/>
            <w:vAlign w:val="bottom"/>
            <w:gridSpan w:val="2"/>
          </w:tcPr>
          <w:p>
            <w:pPr>
              <w:ind w:left="20"/>
              <w:spacing w:after="0"/>
              <w:rPr>
                <w:sz w:val="20"/>
                <w:szCs w:val="20"/>
                <w:color w:val="auto"/>
              </w:rPr>
            </w:pPr>
            <w:r>
              <w:rPr>
                <w:rFonts w:ascii="Arial" w:cs="Arial" w:eastAsia="Arial" w:hAnsi="Arial"/>
                <w:sz w:val="14"/>
                <w:szCs w:val="14"/>
                <w:color w:val="auto"/>
              </w:rPr>
              <w:t>He also serves as a non-executive director on the boards of directors of two other publicly-held companies, Teladoc</w:t>
            </w:r>
          </w:p>
        </w:tc>
        <w:tc>
          <w:tcPr>
            <w:tcW w:w="0" w:type="dxa"/>
            <w:vAlign w:val="bottom"/>
          </w:tcPr>
          <w:p>
            <w:pPr>
              <w:spacing w:after="0"/>
              <w:rPr>
                <w:sz w:val="1"/>
                <w:szCs w:val="1"/>
                <w:color w:val="auto"/>
              </w:rPr>
            </w:pPr>
          </w:p>
        </w:tc>
      </w:tr>
      <w:tr>
        <w:trPr>
          <w:trHeight w:val="175"/>
        </w:trPr>
        <w:tc>
          <w:tcPr>
            <w:tcW w:w="120" w:type="dxa"/>
            <w:vAlign w:val="bottom"/>
            <w:shd w:val="clear" w:color="auto" w:fill="DBB2D0"/>
          </w:tcPr>
          <w:p>
            <w:pPr>
              <w:spacing w:after="0"/>
              <w:rPr>
                <w:sz w:val="15"/>
                <w:szCs w:val="15"/>
                <w:color w:val="auto"/>
              </w:rPr>
            </w:pPr>
          </w:p>
        </w:tc>
        <w:tc>
          <w:tcPr>
            <w:tcW w:w="3160" w:type="dxa"/>
            <w:vAlign w:val="bottom"/>
            <w:shd w:val="clear" w:color="auto" w:fill="DBB2D0"/>
          </w:tcPr>
          <w:p>
            <w:pPr>
              <w:ind w:left="20"/>
              <w:spacing w:after="0"/>
              <w:rPr>
                <w:sz w:val="20"/>
                <w:szCs w:val="20"/>
                <w:color w:val="auto"/>
              </w:rPr>
            </w:pPr>
            <w:r>
              <w:rPr>
                <w:rFonts w:ascii="Arial" w:cs="Arial" w:eastAsia="Arial" w:hAnsi="Arial"/>
                <w:sz w:val="14"/>
                <w:szCs w:val="14"/>
                <w:color w:val="auto"/>
              </w:rPr>
              <w:t>C-Suite/Management Experience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40" w:type="dxa"/>
            <w:vAlign w:val="bottom"/>
            <w:gridSpan w:val="2"/>
          </w:tcPr>
          <w:p>
            <w:pPr>
              <w:ind w:left="20"/>
              <w:spacing w:after="0"/>
              <w:rPr>
                <w:sz w:val="20"/>
                <w:szCs w:val="20"/>
                <w:color w:val="auto"/>
              </w:rPr>
            </w:pPr>
            <w:r>
              <w:rPr>
                <w:rFonts w:ascii="Arial" w:cs="Arial" w:eastAsia="Arial" w:hAnsi="Arial"/>
                <w:sz w:val="14"/>
                <w:szCs w:val="14"/>
                <w:color w:val="auto"/>
              </w:rPr>
              <w:t>Health, Inc., a telemedicine and virtual healthcare company, and Phreesia, Inc., a healthcare software company. Dr.</w:t>
            </w:r>
          </w:p>
        </w:tc>
        <w:tc>
          <w:tcPr>
            <w:tcW w:w="0" w:type="dxa"/>
            <w:vAlign w:val="bottom"/>
          </w:tcPr>
          <w:p>
            <w:pPr>
              <w:spacing w:after="0"/>
              <w:rPr>
                <w:sz w:val="1"/>
                <w:szCs w:val="1"/>
                <w:color w:val="auto"/>
              </w:rPr>
            </w:pPr>
          </w:p>
        </w:tc>
      </w:tr>
      <w:tr>
        <w:trPr>
          <w:trHeight w:val="175"/>
        </w:trPr>
        <w:tc>
          <w:tcPr>
            <w:tcW w:w="120" w:type="dxa"/>
            <w:vAlign w:val="bottom"/>
            <w:shd w:val="clear" w:color="auto" w:fill="DBB2D0"/>
          </w:tcPr>
          <w:p>
            <w:pPr>
              <w:spacing w:after="0"/>
              <w:rPr>
                <w:sz w:val="15"/>
                <w:szCs w:val="15"/>
                <w:color w:val="auto"/>
              </w:rPr>
            </w:pPr>
          </w:p>
        </w:tc>
        <w:tc>
          <w:tcPr>
            <w:tcW w:w="3160" w:type="dxa"/>
            <w:vAlign w:val="bottom"/>
            <w:shd w:val="clear" w:color="auto" w:fill="DBB2D0"/>
          </w:tcPr>
          <w:p>
            <w:pPr>
              <w:ind w:left="20"/>
              <w:spacing w:after="0"/>
              <w:rPr>
                <w:sz w:val="20"/>
                <w:szCs w:val="20"/>
                <w:color w:val="auto"/>
              </w:rPr>
            </w:pPr>
            <w:r>
              <w:rPr>
                <w:rFonts w:ascii="Arial" w:cs="Arial" w:eastAsia="Arial" w:hAnsi="Arial"/>
                <w:sz w:val="14"/>
                <w:szCs w:val="14"/>
                <w:color w:val="auto"/>
              </w:rPr>
              <w:t>Scientific Research and Drug Development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40" w:type="dxa"/>
            <w:vAlign w:val="bottom"/>
            <w:gridSpan w:val="2"/>
            <w:vMerge w:val="restart"/>
          </w:tcPr>
          <w:p>
            <w:pPr>
              <w:ind w:left="20"/>
              <w:spacing w:after="0"/>
              <w:rPr>
                <w:sz w:val="20"/>
                <w:szCs w:val="20"/>
                <w:color w:val="auto"/>
              </w:rPr>
            </w:pPr>
            <w:r>
              <w:rPr>
                <w:rFonts w:ascii="Arial" w:cs="Arial" w:eastAsia="Arial" w:hAnsi="Arial"/>
                <w:sz w:val="14"/>
                <w:szCs w:val="14"/>
                <w:color w:val="auto"/>
              </w:rPr>
              <w:t>Smith also serves on the board of directors of the Commonwealth Fund, a private health policy foundation. From 1996</w:t>
            </w:r>
          </w:p>
        </w:tc>
        <w:tc>
          <w:tcPr>
            <w:tcW w:w="0" w:type="dxa"/>
            <w:vAlign w:val="bottom"/>
          </w:tcPr>
          <w:p>
            <w:pPr>
              <w:spacing w:after="0"/>
              <w:rPr>
                <w:sz w:val="1"/>
                <w:szCs w:val="1"/>
                <w:color w:val="auto"/>
              </w:rPr>
            </w:pPr>
          </w:p>
        </w:tc>
      </w:tr>
      <w:tr>
        <w:trPr>
          <w:trHeight w:val="69"/>
        </w:trPr>
        <w:tc>
          <w:tcPr>
            <w:tcW w:w="120" w:type="dxa"/>
            <w:vAlign w:val="bottom"/>
            <w:shd w:val="clear" w:color="auto" w:fill="DBB2D0"/>
          </w:tcPr>
          <w:p>
            <w:pPr>
              <w:spacing w:after="0"/>
              <w:rPr>
                <w:sz w:val="5"/>
                <w:szCs w:val="5"/>
                <w:color w:val="auto"/>
              </w:rPr>
            </w:pPr>
          </w:p>
        </w:tc>
        <w:tc>
          <w:tcPr>
            <w:tcW w:w="3160" w:type="dxa"/>
            <w:vAlign w:val="bottom"/>
            <w:vMerge w:val="restart"/>
            <w:shd w:val="clear" w:color="auto" w:fill="DBB2D0"/>
          </w:tcPr>
          <w:p>
            <w:pPr>
              <w:ind w:left="20"/>
              <w:spacing w:after="0"/>
              <w:rPr>
                <w:sz w:val="20"/>
                <w:szCs w:val="20"/>
                <w:color w:val="auto"/>
              </w:rPr>
            </w:pPr>
            <w:r>
              <w:rPr>
                <w:rFonts w:ascii="Arial" w:cs="Arial" w:eastAsia="Arial" w:hAnsi="Arial"/>
                <w:sz w:val="14"/>
                <w:szCs w:val="14"/>
                <w:color w:val="auto"/>
              </w:rPr>
              <w:t>Experience</w:t>
            </w: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120" w:type="dxa"/>
            <w:vAlign w:val="bottom"/>
            <w:shd w:val="clear" w:color="auto" w:fill="DBB2D0"/>
          </w:tcPr>
          <w:p>
            <w:pPr>
              <w:spacing w:after="0"/>
              <w:rPr>
                <w:sz w:val="9"/>
                <w:szCs w:val="9"/>
                <w:color w:val="auto"/>
              </w:rPr>
            </w:pPr>
          </w:p>
        </w:tc>
        <w:tc>
          <w:tcPr>
            <w:tcW w:w="3160" w:type="dxa"/>
            <w:vAlign w:val="bottom"/>
            <w:vMerge w:val="continue"/>
            <w:shd w:val="clear" w:color="auto" w:fill="DBB2D0"/>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40" w:type="dxa"/>
            <w:vAlign w:val="bottom"/>
            <w:gridSpan w:val="2"/>
            <w:vMerge w:val="restart"/>
          </w:tcPr>
          <w:p>
            <w:pPr>
              <w:ind w:left="20"/>
              <w:spacing w:after="0"/>
              <w:rPr>
                <w:sz w:val="20"/>
                <w:szCs w:val="20"/>
                <w:color w:val="auto"/>
              </w:rPr>
            </w:pPr>
            <w:r>
              <w:rPr>
                <w:rFonts w:ascii="Arial" w:cs="Arial" w:eastAsia="Arial" w:hAnsi="Arial"/>
                <w:sz w:val="14"/>
                <w:szCs w:val="14"/>
                <w:color w:val="auto"/>
              </w:rPr>
              <w:t>to 2013, Dr. Smith was the founding President and Chief Executive Officer of the California HealthCare Foundation,</w:t>
            </w:r>
          </w:p>
        </w:tc>
        <w:tc>
          <w:tcPr>
            <w:tcW w:w="0" w:type="dxa"/>
            <w:vAlign w:val="bottom"/>
          </w:tcPr>
          <w:p>
            <w:pPr>
              <w:spacing w:after="0"/>
              <w:rPr>
                <w:sz w:val="1"/>
                <w:szCs w:val="1"/>
                <w:color w:val="auto"/>
              </w:rPr>
            </w:pPr>
          </w:p>
        </w:tc>
      </w:tr>
      <w:tr>
        <w:trPr>
          <w:trHeight w:val="96"/>
        </w:trPr>
        <w:tc>
          <w:tcPr>
            <w:tcW w:w="120" w:type="dxa"/>
            <w:vAlign w:val="bottom"/>
            <w:shd w:val="clear" w:color="auto" w:fill="DBB2D0"/>
          </w:tcPr>
          <w:p>
            <w:pPr>
              <w:spacing w:after="0"/>
              <w:rPr>
                <w:sz w:val="8"/>
                <w:szCs w:val="8"/>
                <w:color w:val="auto"/>
              </w:rPr>
            </w:pPr>
          </w:p>
        </w:tc>
        <w:tc>
          <w:tcPr>
            <w:tcW w:w="3160" w:type="dxa"/>
            <w:vAlign w:val="bottom"/>
            <w:vMerge w:val="restart"/>
            <w:shd w:val="clear" w:color="auto" w:fill="DBB2D0"/>
          </w:tcPr>
          <w:p>
            <w:pPr>
              <w:ind w:left="20"/>
              <w:spacing w:after="0"/>
              <w:rPr>
                <w:sz w:val="20"/>
                <w:szCs w:val="20"/>
                <w:color w:val="auto"/>
              </w:rPr>
            </w:pPr>
            <w:r>
              <w:rPr>
                <w:rFonts w:ascii="Arial" w:cs="Arial" w:eastAsia="Arial" w:hAnsi="Arial"/>
                <w:sz w:val="14"/>
                <w:szCs w:val="14"/>
                <w:color w:val="auto"/>
              </w:rPr>
              <w:t>Public Policy and Regulation</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20" w:type="dxa"/>
            <w:vAlign w:val="bottom"/>
            <w:shd w:val="clear" w:color="auto" w:fill="DBB2D0"/>
          </w:tcPr>
          <w:p>
            <w:pPr>
              <w:spacing w:after="0"/>
              <w:rPr>
                <w:sz w:val="6"/>
                <w:szCs w:val="6"/>
                <w:color w:val="auto"/>
              </w:rPr>
            </w:pPr>
          </w:p>
        </w:tc>
        <w:tc>
          <w:tcPr>
            <w:tcW w:w="3160" w:type="dxa"/>
            <w:vAlign w:val="bottom"/>
            <w:vMerge w:val="continue"/>
            <w:shd w:val="clear" w:color="auto" w:fill="DBB2D0"/>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40" w:type="dxa"/>
            <w:vAlign w:val="bottom"/>
            <w:gridSpan w:val="2"/>
            <w:vMerge w:val="restart"/>
          </w:tcPr>
          <w:p>
            <w:pPr>
              <w:ind w:left="20"/>
              <w:spacing w:after="0"/>
              <w:rPr>
                <w:sz w:val="20"/>
                <w:szCs w:val="20"/>
                <w:color w:val="auto"/>
              </w:rPr>
            </w:pPr>
            <w:r>
              <w:rPr>
                <w:rFonts w:ascii="Arial" w:cs="Arial" w:eastAsia="Arial" w:hAnsi="Arial"/>
                <w:sz w:val="14"/>
                <w:szCs w:val="14"/>
                <w:color w:val="auto"/>
              </w:rPr>
              <w:t>an independent nonprofit philanthropy organization. From 1991 to 1996, he served as Executive Vice President at the</w:t>
            </w:r>
          </w:p>
        </w:tc>
        <w:tc>
          <w:tcPr>
            <w:tcW w:w="0" w:type="dxa"/>
            <w:vAlign w:val="bottom"/>
          </w:tcPr>
          <w:p>
            <w:pPr>
              <w:spacing w:after="0"/>
              <w:rPr>
                <w:sz w:val="1"/>
                <w:szCs w:val="1"/>
                <w:color w:val="auto"/>
              </w:rPr>
            </w:pPr>
          </w:p>
        </w:tc>
      </w:tr>
      <w:tr>
        <w:trPr>
          <w:trHeight w:val="123"/>
        </w:trPr>
        <w:tc>
          <w:tcPr>
            <w:tcW w:w="120" w:type="dxa"/>
            <w:vAlign w:val="bottom"/>
            <w:shd w:val="clear" w:color="auto" w:fill="DBB2D0"/>
          </w:tcPr>
          <w:p>
            <w:pPr>
              <w:spacing w:after="0"/>
              <w:rPr>
                <w:sz w:val="10"/>
                <w:szCs w:val="10"/>
                <w:color w:val="auto"/>
              </w:rPr>
            </w:pPr>
          </w:p>
        </w:tc>
        <w:tc>
          <w:tcPr>
            <w:tcW w:w="3160" w:type="dxa"/>
            <w:vAlign w:val="bottom"/>
            <w:vMerge w:val="restart"/>
            <w:shd w:val="clear" w:color="auto" w:fill="DBB2D0"/>
          </w:tcPr>
          <w:p>
            <w:pPr>
              <w:ind w:left="20"/>
              <w:spacing w:after="0"/>
              <w:rPr>
                <w:sz w:val="20"/>
                <w:szCs w:val="20"/>
                <w:color w:val="auto"/>
              </w:rPr>
            </w:pPr>
            <w:r>
              <w:rPr>
                <w:rFonts w:ascii="Arial" w:cs="Arial" w:eastAsia="Arial" w:hAnsi="Arial"/>
                <w:sz w:val="14"/>
                <w:szCs w:val="14"/>
                <w:color w:val="auto"/>
              </w:rPr>
              <w:t>Human Capital</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20" w:type="dxa"/>
            <w:vAlign w:val="bottom"/>
            <w:shd w:val="clear" w:color="auto" w:fill="DBB2D0"/>
          </w:tcPr>
          <w:p>
            <w:pPr>
              <w:spacing w:after="0"/>
              <w:rPr>
                <w:sz w:val="5"/>
                <w:szCs w:val="5"/>
                <w:color w:val="auto"/>
              </w:rPr>
            </w:pPr>
          </w:p>
        </w:tc>
        <w:tc>
          <w:tcPr>
            <w:tcW w:w="3160" w:type="dxa"/>
            <w:vAlign w:val="bottom"/>
            <w:vMerge w:val="continue"/>
            <w:shd w:val="clear" w:color="auto" w:fill="DBB2D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40" w:type="dxa"/>
            <w:vAlign w:val="bottom"/>
            <w:gridSpan w:val="2"/>
            <w:vMerge w:val="restart"/>
          </w:tcPr>
          <w:p>
            <w:pPr>
              <w:ind w:left="20"/>
              <w:spacing w:after="0"/>
              <w:rPr>
                <w:sz w:val="20"/>
                <w:szCs w:val="20"/>
                <w:color w:val="auto"/>
              </w:rPr>
            </w:pPr>
            <w:r>
              <w:rPr>
                <w:rFonts w:ascii="Arial" w:cs="Arial" w:eastAsia="Arial" w:hAnsi="Arial"/>
                <w:sz w:val="14"/>
                <w:szCs w:val="14"/>
                <w:color w:val="auto"/>
              </w:rPr>
              <w:t>Henry J. Kaiser Family Foundation. Dr. Smith holds a B.A. from Harvard College, an M.D. from the University of North</w:t>
            </w:r>
          </w:p>
        </w:tc>
        <w:tc>
          <w:tcPr>
            <w:tcW w:w="0" w:type="dxa"/>
            <w:vAlign w:val="bottom"/>
          </w:tcPr>
          <w:p>
            <w:pPr>
              <w:spacing w:after="0"/>
              <w:rPr>
                <w:sz w:val="1"/>
                <w:szCs w:val="1"/>
                <w:color w:val="auto"/>
              </w:rPr>
            </w:pPr>
          </w:p>
        </w:tc>
      </w:tr>
      <w:tr>
        <w:trPr>
          <w:trHeight w:val="134"/>
        </w:trPr>
        <w:tc>
          <w:tcPr>
            <w:tcW w:w="120" w:type="dxa"/>
            <w:vAlign w:val="bottom"/>
            <w:shd w:val="clear" w:color="auto" w:fill="DBB2D0"/>
          </w:tcPr>
          <w:p>
            <w:pPr>
              <w:spacing w:after="0"/>
              <w:rPr>
                <w:sz w:val="11"/>
                <w:szCs w:val="11"/>
                <w:color w:val="auto"/>
              </w:rPr>
            </w:pPr>
          </w:p>
        </w:tc>
        <w:tc>
          <w:tcPr>
            <w:tcW w:w="3160" w:type="dxa"/>
            <w:vAlign w:val="bottom"/>
            <w:shd w:val="clear" w:color="auto" w:fill="DBB2D0"/>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20" w:type="dxa"/>
            <w:vAlign w:val="bottom"/>
            <w:shd w:val="clear" w:color="auto" w:fill="DBB2D0"/>
          </w:tcPr>
          <w:p>
            <w:pPr>
              <w:spacing w:after="0"/>
              <w:rPr>
                <w:sz w:val="16"/>
                <w:szCs w:val="16"/>
                <w:color w:val="auto"/>
              </w:rPr>
            </w:pPr>
          </w:p>
        </w:tc>
        <w:tc>
          <w:tcPr>
            <w:tcW w:w="3160" w:type="dxa"/>
            <w:vAlign w:val="bottom"/>
            <w:shd w:val="clear" w:color="auto" w:fill="DBB2D0"/>
          </w:tcPr>
          <w:p>
            <w:pPr>
              <w:ind w:left="20"/>
              <w:spacing w:after="0"/>
              <w:rPr>
                <w:sz w:val="20"/>
                <w:szCs w:val="20"/>
                <w:color w:val="auto"/>
              </w:rPr>
            </w:pPr>
            <w:r>
              <w:rPr>
                <w:rFonts w:ascii="Arial" w:cs="Arial" w:eastAsia="Arial" w:hAnsi="Arial"/>
                <w:sz w:val="14"/>
                <w:szCs w:val="14"/>
                <w:color w:val="001C71"/>
              </w:rPr>
              <w:t>OTHER CURRENT PUBLIC BOARDS: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0" w:type="dxa"/>
            <w:vAlign w:val="bottom"/>
          </w:tcPr>
          <w:p>
            <w:pPr>
              <w:ind w:left="20"/>
              <w:spacing w:after="0"/>
              <w:rPr>
                <w:sz w:val="20"/>
                <w:szCs w:val="20"/>
                <w:color w:val="auto"/>
              </w:rPr>
            </w:pPr>
            <w:r>
              <w:rPr>
                <w:rFonts w:ascii="Arial" w:cs="Arial" w:eastAsia="Arial" w:hAnsi="Arial"/>
                <w:sz w:val="14"/>
                <w:szCs w:val="14"/>
                <w:color w:val="auto"/>
              </w:rPr>
              <w:t>Carolina at Chapel Hill and an M.B.A. from The Wharton School at the University of Pennsylvania.</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20" w:type="dxa"/>
            <w:vAlign w:val="bottom"/>
            <w:shd w:val="clear" w:color="auto" w:fill="DBB2D0"/>
          </w:tcPr>
          <w:p>
            <w:pPr>
              <w:spacing w:after="0"/>
              <w:rPr>
                <w:sz w:val="18"/>
                <w:szCs w:val="18"/>
                <w:color w:val="auto"/>
              </w:rPr>
            </w:pPr>
          </w:p>
        </w:tc>
        <w:tc>
          <w:tcPr>
            <w:tcW w:w="3160" w:type="dxa"/>
            <w:vAlign w:val="bottom"/>
            <w:shd w:val="clear" w:color="auto" w:fill="DBB2D0"/>
          </w:tcPr>
          <w:p>
            <w:pPr>
              <w:ind w:left="20"/>
              <w:spacing w:after="0"/>
              <w:rPr>
                <w:sz w:val="20"/>
                <w:szCs w:val="20"/>
                <w:color w:val="auto"/>
              </w:rPr>
            </w:pPr>
            <w:r>
              <w:rPr>
                <w:rFonts w:ascii="Arial" w:cs="Arial" w:eastAsia="Arial" w:hAnsi="Arial"/>
                <w:sz w:val="14"/>
                <w:szCs w:val="14"/>
                <w:color w:val="auto"/>
              </w:rPr>
              <w:t>Phreesia, Inc.</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0" w:type="dxa"/>
            <w:vAlign w:val="bottom"/>
            <w:shd w:val="clear" w:color="auto" w:fill="DBB2D0"/>
          </w:tcPr>
          <w:p>
            <w:pPr>
              <w:spacing w:after="0"/>
              <w:rPr>
                <w:sz w:val="16"/>
                <w:szCs w:val="16"/>
                <w:color w:val="auto"/>
              </w:rPr>
            </w:pPr>
          </w:p>
        </w:tc>
        <w:tc>
          <w:tcPr>
            <w:tcW w:w="3160" w:type="dxa"/>
            <w:vAlign w:val="bottom"/>
            <w:shd w:val="clear" w:color="auto" w:fill="DBB2D0"/>
          </w:tcPr>
          <w:p>
            <w:pPr>
              <w:ind w:left="20"/>
              <w:spacing w:after="0"/>
              <w:rPr>
                <w:sz w:val="20"/>
                <w:szCs w:val="20"/>
                <w:color w:val="auto"/>
              </w:rPr>
            </w:pPr>
            <w:r>
              <w:rPr>
                <w:rFonts w:ascii="Arial" w:cs="Arial" w:eastAsia="Arial" w:hAnsi="Arial"/>
                <w:sz w:val="14"/>
                <w:szCs w:val="14"/>
                <w:color w:val="auto"/>
              </w:rPr>
              <w:t>Teladoc Health, Inc</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0" w:type="dxa"/>
            <w:vAlign w:val="bottom"/>
            <w:shd w:val="clear" w:color="auto" w:fill="DBB2D0"/>
          </w:tcPr>
          <w:p>
            <w:pPr>
              <w:spacing w:after="0"/>
              <w:rPr>
                <w:sz w:val="5"/>
                <w:szCs w:val="5"/>
                <w:color w:val="auto"/>
              </w:rPr>
            </w:pPr>
          </w:p>
        </w:tc>
        <w:tc>
          <w:tcPr>
            <w:tcW w:w="3160" w:type="dxa"/>
            <w:vAlign w:val="bottom"/>
            <w:shd w:val="clear" w:color="auto" w:fill="DBB2D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Our board recommends a vote “FOR” each nominee named above.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39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20"/>
          <w:szCs w:val="20"/>
          <w:b w:val="1"/>
          <w:bCs w:val="1"/>
          <w:color w:val="852166"/>
        </w:rPr>
        <w:t>Class II Directors Continuing in Office Until the 2025 Annual General Meeting</w:t>
      </w:r>
    </w:p>
    <w:p>
      <w:pPr>
        <w:spacing w:after="0" w:line="162" w:lineRule="exact"/>
        <w:rPr>
          <w:sz w:val="20"/>
          <w:szCs w:val="20"/>
          <w:color w:val="auto"/>
        </w:rPr>
      </w:pPr>
    </w:p>
    <w:p>
      <w:pPr>
        <w:jc w:val="right"/>
        <w:spacing w:after="0"/>
        <w:tabs>
          <w:tab w:leader="none" w:pos="500" w:val="left"/>
        </w:tabs>
        <w:rPr>
          <w:sz w:val="20"/>
          <w:szCs w:val="20"/>
          <w:color w:val="auto"/>
        </w:rPr>
      </w:pPr>
      <w:r>
        <w:rPr>
          <w:rFonts w:ascii="Arial" w:cs="Arial" w:eastAsia="Arial" w:hAnsi="Arial"/>
          <w:sz w:val="20"/>
          <w:szCs w:val="20"/>
          <w:b w:val="1"/>
          <w:bCs w:val="1"/>
          <w:color w:val="001C71"/>
        </w:rPr>
        <w:t>Jennifer E. Cook</w:t>
      </w:r>
      <w:r>
        <w:rPr>
          <w:sz w:val="20"/>
          <w:szCs w:val="20"/>
          <w:color w:val="auto"/>
        </w:rPr>
        <w:tab/>
      </w:r>
      <w:r>
        <w:rPr>
          <w:rFonts w:ascii="Arial" w:cs="Arial" w:eastAsia="Arial" w:hAnsi="Arial"/>
          <w:sz w:val="14"/>
          <w:szCs w:val="14"/>
          <w:b w:val="1"/>
          <w:bCs w:val="1"/>
          <w:color w:val="001C71"/>
        </w:rPr>
        <w:t xml:space="preserve">Age: </w:t>
      </w:r>
      <w:r>
        <w:rPr>
          <w:rFonts w:ascii="Arial" w:cs="Arial" w:eastAsia="Arial" w:hAnsi="Arial"/>
          <w:sz w:val="14"/>
          <w:szCs w:val="14"/>
          <w:color w:val="001C71"/>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28460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2846070"/>
                    </a:xfrm>
                    <a:prstGeom prst="rect">
                      <a:avLst/>
                    </a:prstGeom>
                    <a:noFill/>
                  </pic:spPr>
                </pic:pic>
              </a:graphicData>
            </a:graphic>
          </wp:anchor>
        </w:drawing>
      </w:r>
    </w:p>
    <w:p>
      <w:pPr>
        <w:sectPr>
          <w:pgSz w:w="11900" w:h="16838" w:orient="portrait"/>
          <w:cols w:equalWidth="0" w:num="1">
            <w:col w:w="11120"/>
          </w:cols>
          <w:pgMar w:left="320" w:top="1155" w:right="459" w:bottom="1440" w:gutter="0" w:footer="0" w:header="0"/>
        </w:sectPr>
      </w:pPr>
    </w:p>
    <w:p>
      <w:pPr>
        <w:spacing w:after="0" w:line="176" w:lineRule="exact"/>
        <w:rPr>
          <w:sz w:val="20"/>
          <w:szCs w:val="20"/>
          <w:color w:val="auto"/>
        </w:rPr>
      </w:pPr>
    </w:p>
    <w:p>
      <w:pPr>
        <w:ind w:left="140"/>
        <w:spacing w:after="0"/>
        <w:rPr>
          <w:sz w:val="20"/>
          <w:szCs w:val="20"/>
          <w:color w:val="auto"/>
        </w:rPr>
      </w:pPr>
      <w:r>
        <w:rPr>
          <w:rFonts w:ascii="Arial" w:cs="Arial" w:eastAsia="Arial" w:hAnsi="Arial"/>
          <w:sz w:val="14"/>
          <w:szCs w:val="14"/>
          <w:color w:val="001C71"/>
        </w:rPr>
        <w:t>DIRECTOR SINCE: 2020</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color w:val="001C71"/>
        </w:rPr>
        <w:t>INDEPENDENT</w:t>
      </w:r>
    </w:p>
    <w:p>
      <w:pPr>
        <w:spacing w:after="0" w:line="177" w:lineRule="exact"/>
        <w:rPr>
          <w:sz w:val="20"/>
          <w:szCs w:val="20"/>
          <w:color w:val="auto"/>
        </w:rPr>
      </w:pPr>
    </w:p>
    <w:p>
      <w:pPr>
        <w:ind w:left="140" w:right="700"/>
        <w:spacing w:after="0" w:line="385" w:lineRule="auto"/>
        <w:rPr>
          <w:sz w:val="20"/>
          <w:szCs w:val="20"/>
          <w:color w:val="auto"/>
        </w:rPr>
      </w:pPr>
      <w:r>
        <w:rPr>
          <w:rFonts w:ascii="Arial" w:cs="Arial" w:eastAsia="Arial" w:hAnsi="Arial"/>
          <w:sz w:val="14"/>
          <w:szCs w:val="14"/>
          <w:color w:val="001C71"/>
        </w:rPr>
        <w:t xml:space="preserve">COMPENSATION COMMITTEE </w:t>
      </w:r>
      <w:r>
        <w:rPr>
          <w:rFonts w:ascii="Arial" w:cs="Arial" w:eastAsia="Arial" w:hAnsi="Arial"/>
          <w:sz w:val="14"/>
          <w:szCs w:val="14"/>
          <w:color w:val="000000"/>
        </w:rPr>
        <w:t>(Chair)</w:t>
      </w:r>
    </w:p>
    <w:p>
      <w:pPr>
        <w:spacing w:after="0" w:line="50" w:lineRule="exact"/>
        <w:rPr>
          <w:sz w:val="20"/>
          <w:szCs w:val="20"/>
          <w:color w:val="auto"/>
        </w:rPr>
      </w:pPr>
    </w:p>
    <w:p>
      <w:pPr>
        <w:ind w:left="140" w:right="340"/>
        <w:spacing w:after="0" w:line="365" w:lineRule="auto"/>
        <w:rPr>
          <w:sz w:val="20"/>
          <w:szCs w:val="20"/>
          <w:color w:val="auto"/>
        </w:rPr>
      </w:pPr>
      <w:r>
        <w:rPr>
          <w:rFonts w:ascii="Arial" w:cs="Arial" w:eastAsia="Arial" w:hAnsi="Arial"/>
          <w:sz w:val="14"/>
          <w:szCs w:val="14"/>
          <w:color w:val="001C71"/>
        </w:rPr>
        <w:t xml:space="preserve">SCIENCE &amp; MEDICINE COMMITTEE </w:t>
      </w:r>
      <w:r>
        <w:rPr>
          <w:rFonts w:ascii="Arial" w:cs="Arial" w:eastAsia="Arial" w:hAnsi="Arial"/>
          <w:sz w:val="14"/>
          <w:szCs w:val="14"/>
          <w:color w:val="000000"/>
        </w:rPr>
        <w:t>(Member)</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4"/>
          <w:szCs w:val="14"/>
          <w:color w:val="001C71"/>
        </w:rPr>
        <w:t>KEY SKILLS:</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Public Company Board Experience</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C-Suite/Management Experience Industry</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Expertise</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Financial Experience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Commercial Experience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Scientific Research and Drug Development</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Experience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International Perspective</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Human Capital</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4"/>
          <w:szCs w:val="14"/>
          <w:color w:val="001C71"/>
        </w:rPr>
        <w:t>OTHER CURRENT PUBLIC BOARDS:</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BridgeBio Pharma, Inc.</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Denali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2074545" cy="30346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074545" cy="30346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001C71"/>
        </w:rPr>
        <w:t>SPECIFIC EXPERTISE:</w:t>
      </w:r>
    </w:p>
    <w:p>
      <w:pPr>
        <w:spacing w:after="0" w:line="82" w:lineRule="exact"/>
        <w:rPr>
          <w:sz w:val="20"/>
          <w:szCs w:val="20"/>
          <w:color w:val="auto"/>
        </w:rPr>
      </w:pPr>
    </w:p>
    <w:p>
      <w:pPr>
        <w:ind w:right="180"/>
        <w:spacing w:after="0" w:line="345" w:lineRule="auto"/>
        <w:rPr>
          <w:sz w:val="20"/>
          <w:szCs w:val="20"/>
          <w:color w:val="auto"/>
        </w:rPr>
      </w:pPr>
      <w:r>
        <w:rPr>
          <w:rFonts w:ascii="Arial" w:cs="Arial" w:eastAsia="Arial" w:hAnsi="Arial"/>
          <w:sz w:val="14"/>
          <w:szCs w:val="14"/>
          <w:color w:val="auto"/>
        </w:rPr>
        <w:t>Ms. Cook brings to our board over 30 years of biopharmaceutical experience with significant C-suite, global product development and commercialization expertise, with a focus on transformative growth.</w:t>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001C71"/>
        </w:rPr>
        <w:t>BACKGROUND:</w:t>
      </w:r>
    </w:p>
    <w:p>
      <w:pPr>
        <w:spacing w:after="0" w:line="82" w:lineRule="exact"/>
        <w:rPr>
          <w:sz w:val="20"/>
          <w:szCs w:val="20"/>
          <w:color w:val="auto"/>
        </w:rPr>
      </w:pPr>
    </w:p>
    <w:p>
      <w:pPr>
        <w:jc w:val="both"/>
        <w:ind w:right="60"/>
        <w:spacing w:after="0" w:line="301" w:lineRule="auto"/>
        <w:rPr>
          <w:sz w:val="20"/>
          <w:szCs w:val="20"/>
          <w:color w:val="auto"/>
        </w:rPr>
      </w:pPr>
      <w:r>
        <w:rPr>
          <w:rFonts w:ascii="Arial" w:cs="Arial" w:eastAsia="Arial" w:hAnsi="Arial"/>
          <w:sz w:val="14"/>
          <w:szCs w:val="14"/>
          <w:color w:val="auto"/>
        </w:rPr>
        <w:t>Jennifer E. Cook has served as a member of our board since December 2020 and was appointed chairperson of our compensation committee in April 2022. Ms. Cook serves as a non-executive director on the boards of directors of two other publicly-held companies, Denali Therapeutics Inc. and BridgeBio Pharma, Inc., both biotechnology companies. Ms. Cook founded Jennifer Cook Consulting, a consulting company, and has served as Principal since July 2019.</w:t>
      </w:r>
    </w:p>
    <w:p>
      <w:pPr>
        <w:spacing w:after="0" w:line="2" w:lineRule="exact"/>
        <w:rPr>
          <w:sz w:val="20"/>
          <w:szCs w:val="20"/>
          <w:color w:val="auto"/>
        </w:rPr>
      </w:pPr>
    </w:p>
    <w:p>
      <w:pPr>
        <w:ind w:right="60"/>
        <w:spacing w:after="0" w:line="304" w:lineRule="auto"/>
        <w:rPr>
          <w:sz w:val="20"/>
          <w:szCs w:val="20"/>
          <w:color w:val="auto"/>
        </w:rPr>
      </w:pPr>
      <w:r>
        <w:rPr>
          <w:rFonts w:ascii="Arial" w:cs="Arial" w:eastAsia="Arial" w:hAnsi="Arial"/>
          <w:sz w:val="14"/>
          <w:szCs w:val="14"/>
          <w:color w:val="auto"/>
        </w:rPr>
        <w:t>From January 2018 to June 2019, Ms. Cook was the Chief Executive Officer at GRAIL, Inc., a privately-held early cancer detection diagnostic company. Prior to that, Ms. Cook worked at Roche Pharmaceuticals/Genentech, a global biotechnology company, for 25 years, where she held a number of senior management positions covering the full lifecycle of product development and commercialization. From 2010 to 2013, she oversaw Genentech’s U.S. Immunology and Ophthalmology Business Unit, and from 2013 to 2016, she led Roche’s European commercial business. She also served as Roche’s Global Head of Clinical Operations throughout 2017. In 2016, Ms. Cook was recognized as Woman of the Year by the Healthcare Businesswoman’s Association. Ms. Cook holds a B.A. in Human Biology and a M.S. in Biology from Stanford University and an M.B.A. from the Haas School of Business at University of California, Berkeley.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6960" w:val="left"/>
        </w:tabs>
        <w:rPr>
          <w:sz w:val="20"/>
          <w:szCs w:val="20"/>
          <w:color w:val="auto"/>
        </w:rPr>
      </w:pPr>
      <w:r>
        <w:rPr>
          <w:rFonts w:ascii="Arial" w:cs="Arial" w:eastAsia="Arial" w:hAnsi="Arial"/>
          <w:sz w:val="20"/>
          <w:szCs w:val="20"/>
          <w:b w:val="1"/>
          <w:bCs w:val="1"/>
          <w:color w:val="001C71"/>
        </w:rPr>
        <w:t>Patrick G. Enright</w:t>
      </w:r>
      <w:r>
        <w:rPr>
          <w:sz w:val="20"/>
          <w:szCs w:val="20"/>
          <w:color w:val="auto"/>
        </w:rPr>
        <w:tab/>
      </w:r>
      <w:r>
        <w:rPr>
          <w:rFonts w:ascii="Arial" w:cs="Arial" w:eastAsia="Arial" w:hAnsi="Arial"/>
          <w:sz w:val="14"/>
          <w:szCs w:val="14"/>
          <w:b w:val="1"/>
          <w:bCs w:val="1"/>
          <w:color w:val="001C71"/>
        </w:rPr>
        <w:t xml:space="preserve">Age: </w:t>
      </w:r>
      <w:r>
        <w:rPr>
          <w:rFonts w:ascii="Arial" w:cs="Arial" w:eastAsia="Arial" w:hAnsi="Arial"/>
          <w:sz w:val="14"/>
          <w:szCs w:val="14"/>
          <w:color w:val="001C71"/>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40640</wp:posOffset>
            </wp:positionV>
            <wp:extent cx="4911725" cy="660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11725" cy="660400"/>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2900" w:space="720"/>
            <w:col w:w="7500"/>
          </w:cols>
          <w:pgMar w:left="320" w:top="1155" w:right="459" w:bottom="1440" w:gutter="0" w:footer="0" w:header="0"/>
          <w:type w:val="continuous"/>
        </w:sectPr>
      </w:pPr>
    </w:p>
    <w:p>
      <w:pPr>
        <w:ind w:left="140"/>
        <w:spacing w:after="0"/>
        <w:rPr>
          <w:sz w:val="20"/>
          <w:szCs w:val="20"/>
          <w:color w:val="auto"/>
        </w:rPr>
      </w:pPr>
      <w:r>
        <w:rPr>
          <w:rFonts w:ascii="Arial" w:cs="Arial" w:eastAsia="Arial" w:hAnsi="Arial"/>
          <w:sz w:val="14"/>
          <w:szCs w:val="14"/>
          <w:color w:val="001C71"/>
        </w:rPr>
        <w:t>DIRECTOR SINCE: 2009*</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color w:val="001C71"/>
        </w:rPr>
        <w:t>INDEPENDENT</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4"/>
          <w:szCs w:val="14"/>
          <w:color w:val="001C71"/>
        </w:rPr>
        <w:t>AUDIT COMMITTEE</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(Member)</w:t>
      </w:r>
    </w:p>
    <w:p>
      <w:pPr>
        <w:spacing w:after="0" w:line="177" w:lineRule="exact"/>
        <w:rPr>
          <w:sz w:val="20"/>
          <w:szCs w:val="20"/>
          <w:color w:val="auto"/>
        </w:rPr>
      </w:pPr>
    </w:p>
    <w:p>
      <w:pPr>
        <w:ind w:left="140" w:right="700"/>
        <w:spacing w:after="0" w:line="385" w:lineRule="auto"/>
        <w:rPr>
          <w:sz w:val="20"/>
          <w:szCs w:val="20"/>
          <w:color w:val="auto"/>
        </w:rPr>
      </w:pPr>
      <w:r>
        <w:rPr>
          <w:rFonts w:ascii="Arial" w:cs="Arial" w:eastAsia="Arial" w:hAnsi="Arial"/>
          <w:sz w:val="14"/>
          <w:szCs w:val="14"/>
          <w:color w:val="001C71"/>
        </w:rPr>
        <w:t xml:space="preserve">COMPENSATION COMMITTEE </w:t>
      </w:r>
      <w:r>
        <w:rPr>
          <w:rFonts w:ascii="Arial" w:cs="Arial" w:eastAsia="Arial" w:hAnsi="Arial"/>
          <w:sz w:val="14"/>
          <w:szCs w:val="14"/>
          <w:color w:val="000000"/>
        </w:rPr>
        <w:t>(Member)</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4"/>
          <w:szCs w:val="14"/>
          <w:color w:val="001C71"/>
        </w:rPr>
        <w:t>KEY SKILLS:</w:t>
      </w:r>
    </w:p>
    <w:p>
      <w:pPr>
        <w:spacing w:after="0" w:line="69" w:lineRule="exact"/>
        <w:rPr>
          <w:sz w:val="20"/>
          <w:szCs w:val="20"/>
          <w:color w:val="auto"/>
        </w:rPr>
      </w:pPr>
    </w:p>
    <w:p>
      <w:pPr>
        <w:ind w:left="140" w:right="520"/>
        <w:spacing w:after="0" w:line="261" w:lineRule="auto"/>
        <w:rPr>
          <w:sz w:val="20"/>
          <w:szCs w:val="20"/>
          <w:color w:val="auto"/>
        </w:rPr>
      </w:pPr>
      <w:r>
        <w:rPr>
          <w:rFonts w:ascii="Arial" w:cs="Arial" w:eastAsia="Arial" w:hAnsi="Arial"/>
          <w:sz w:val="14"/>
          <w:szCs w:val="14"/>
          <w:color w:val="auto"/>
        </w:rPr>
        <w:t>Public Company Board Experience C-Suite/Management Experience</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Industry Expertise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Financial Experience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Merger and Acquisition/Corporate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Development</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Commercial Experience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Scientific Research and Drug Development</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Experience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International Perspective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Public Policy and Regulation</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Human Capital</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4"/>
          <w:szCs w:val="14"/>
          <w:color w:val="001C71"/>
        </w:rPr>
        <w:t>OTHER CURRENT PUBLIC BOARDS:</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Vera Therapeutics,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001C71"/>
        </w:rPr>
        <w:t>SPECIFIC EXPERTISE:</w:t>
      </w:r>
    </w:p>
    <w:p>
      <w:pPr>
        <w:spacing w:after="0" w:line="82" w:lineRule="exact"/>
        <w:rPr>
          <w:sz w:val="20"/>
          <w:szCs w:val="20"/>
          <w:color w:val="auto"/>
        </w:rPr>
      </w:pPr>
    </w:p>
    <w:p>
      <w:pPr>
        <w:jc w:val="both"/>
        <w:ind w:right="20"/>
        <w:spacing w:after="0" w:line="323" w:lineRule="auto"/>
        <w:rPr>
          <w:sz w:val="20"/>
          <w:szCs w:val="20"/>
          <w:color w:val="auto"/>
        </w:rPr>
      </w:pPr>
      <w:r>
        <w:rPr>
          <w:rFonts w:ascii="Arial" w:cs="Arial" w:eastAsia="Arial" w:hAnsi="Arial"/>
          <w:sz w:val="14"/>
          <w:szCs w:val="14"/>
          <w:color w:val="auto"/>
        </w:rPr>
        <w:t>Based on his experience serving on the boards of several clinical-stage biotechnology companies and his investment experience in the life sciences industry, Mr. Enright brings to our board operating experience and financial expertise in the life sciences industry.</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001C71"/>
        </w:rPr>
        <w:t>BACKGROUND:</w:t>
      </w:r>
    </w:p>
    <w:p>
      <w:pPr>
        <w:spacing w:after="0" w:line="82" w:lineRule="exact"/>
        <w:rPr>
          <w:sz w:val="20"/>
          <w:szCs w:val="20"/>
          <w:color w:val="auto"/>
        </w:rPr>
      </w:pPr>
    </w:p>
    <w:p>
      <w:pPr>
        <w:jc w:val="both"/>
        <w:ind w:right="220"/>
        <w:spacing w:after="0" w:line="301" w:lineRule="auto"/>
        <w:rPr>
          <w:sz w:val="20"/>
          <w:szCs w:val="20"/>
          <w:color w:val="auto"/>
        </w:rPr>
      </w:pPr>
      <w:r>
        <w:rPr>
          <w:rFonts w:ascii="Arial" w:cs="Arial" w:eastAsia="Arial" w:hAnsi="Arial"/>
          <w:sz w:val="14"/>
          <w:szCs w:val="14"/>
          <w:color w:val="auto"/>
        </w:rPr>
        <w:t>Patrick G. Enright has served as a member of our board since the closing of the Azur Merger in January 2012 and was a director of Jazz Pharmaceuticals, Inc. from 2009 until the closing of the Azur Merger. Mr. Enright co-founded Longitude Capital, a healthcare venture capital firm, where he has served as a Managing Director since 2006. Mr.</w:t>
      </w:r>
    </w:p>
    <w:p>
      <w:pPr>
        <w:spacing w:after="0" w:line="2" w:lineRule="exact"/>
        <w:rPr>
          <w:sz w:val="20"/>
          <w:szCs w:val="20"/>
          <w:color w:val="auto"/>
        </w:rPr>
      </w:pPr>
    </w:p>
    <w:p>
      <w:pPr>
        <w:ind w:right="60"/>
        <w:spacing w:after="0" w:line="305" w:lineRule="auto"/>
        <w:rPr>
          <w:sz w:val="20"/>
          <w:szCs w:val="20"/>
          <w:color w:val="auto"/>
        </w:rPr>
      </w:pPr>
      <w:r>
        <w:rPr>
          <w:rFonts w:ascii="Arial" w:cs="Arial" w:eastAsia="Arial" w:hAnsi="Arial"/>
          <w:sz w:val="14"/>
          <w:szCs w:val="14"/>
          <w:color w:val="auto"/>
        </w:rPr>
        <w:t>Enright currently serves on the boards of directors of Vera Therapeutics, Inc. and numerous privately held healthcare companies. Previously from 2002 to 2007, Mr. Enright was a Managing Director of Pequot Ventures (now known as FirstMark Capital), a venture capital firm, where he co-led the life sciences investment practice. Mr. Enright also has significant life sciences operations experience including holding senior executive positions at Valentis, Boehringer Mannheim (acquired by Roche) and Sandoz (now known as Novartis). Mr. Enright previously served on the boards of directors of over twenty companies, including, Aptinyx, from 2016 to 2022, Aimmune Therapeutics, Inc. from 2013 until its acquisition by Nestlé in 2020 and Vaxcyte, Inc. from 2015 to 2020. Mr. Enright holds a B.S. in Biological Sciences from Stanford University and an M.B.A. from the Wharton School of the University of Pennsylvania.</w:t>
      </w:r>
    </w:p>
    <w:p>
      <w:pPr>
        <w:spacing w:after="0" w:line="1208" w:lineRule="exact"/>
        <w:rPr>
          <w:sz w:val="20"/>
          <w:szCs w:val="20"/>
          <w:color w:val="auto"/>
        </w:rPr>
      </w:pPr>
    </w:p>
    <w:p>
      <w:pPr>
        <w:sectPr>
          <w:pgSz w:w="11900" w:h="16838" w:orient="portrait"/>
          <w:cols w:equalWidth="0" w:num="2">
            <w:col w:w="2900" w:space="720"/>
            <w:col w:w="7500"/>
          </w:cols>
          <w:pgMar w:left="320" w:top="1155" w:right="459" w:bottom="1440" w:gutter="0" w:footer="0" w:header="0"/>
          <w:type w:val="continuous"/>
        </w:sectPr>
      </w:pPr>
    </w:p>
    <w:p>
      <w:pPr>
        <w:spacing w:after="0" w:line="112"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service on the board of directors of Jazz Pharmaceuticals, Inc., our predecessor.</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05" w:lineRule="exact"/>
        <w:rPr>
          <w:rFonts w:ascii="Arial" w:cs="Arial" w:eastAsia="Arial" w:hAnsi="Arial"/>
          <w:sz w:val="14"/>
          <w:szCs w:val="14"/>
          <w:color w:val="auto"/>
        </w:rPr>
      </w:pPr>
    </w:p>
    <w:p>
      <w:pPr>
        <w:ind w:left="20"/>
        <w:spacing w:after="0"/>
        <w:rPr>
          <w:rFonts w:ascii="Arial" w:cs="Arial" w:eastAsia="Arial" w:hAnsi="Arial"/>
          <w:sz w:val="14"/>
          <w:szCs w:val="14"/>
          <w:color w:val="auto"/>
        </w:rPr>
      </w:pPr>
      <w:r>
        <w:rPr>
          <w:rFonts w:ascii="Arial" w:cs="Arial" w:eastAsia="Arial" w:hAnsi="Arial"/>
          <w:sz w:val="14"/>
          <w:szCs w:val="14"/>
          <w:color w:val="auto"/>
        </w:rPr>
        <w:t xml:space="preserve">18    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55" w:right="459"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885825</wp:posOffset>
            </wp:positionV>
            <wp:extent cx="2074545" cy="31889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074545" cy="318897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001C71"/>
        </w:rPr>
        <w:t>DIRECTOR SINCE: 2012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001C71"/>
        </w:rPr>
        <w:t>INDEPENDENT</w:t>
      </w:r>
    </w:p>
    <w:p>
      <w:pPr>
        <w:spacing w:after="0" w:line="163" w:lineRule="exact"/>
        <w:rPr>
          <w:sz w:val="20"/>
          <w:szCs w:val="20"/>
          <w:color w:val="auto"/>
        </w:rPr>
      </w:pPr>
    </w:p>
    <w:p>
      <w:pPr>
        <w:ind w:right="340"/>
        <w:spacing w:after="0" w:line="385" w:lineRule="auto"/>
        <w:rPr>
          <w:sz w:val="20"/>
          <w:szCs w:val="20"/>
          <w:color w:val="auto"/>
        </w:rPr>
      </w:pPr>
      <w:r>
        <w:rPr>
          <w:rFonts w:ascii="Arial" w:cs="Arial" w:eastAsia="Arial" w:hAnsi="Arial"/>
          <w:sz w:val="14"/>
          <w:szCs w:val="14"/>
          <w:color w:val="001C71"/>
        </w:rPr>
        <w:t xml:space="preserve">SCIENCE &amp; MEDICINE COMMITTEE </w:t>
      </w:r>
      <w:r>
        <w:rPr>
          <w:rFonts w:ascii="Arial" w:cs="Arial" w:eastAsia="Arial" w:hAnsi="Arial"/>
          <w:sz w:val="14"/>
          <w:szCs w:val="14"/>
          <w:color w:val="000000"/>
        </w:rPr>
        <w:t>(Member)</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001C71"/>
        </w:rPr>
        <w:t>KEY SKILLS: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Public Company Board Experience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C-Suite/Management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Industry Expertise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Merger and Acquisition/Corporate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Development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Commercial Experience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Scientific Research and Drug Development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Experience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International Perspective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001C71"/>
        </w:rPr>
        <w:t>OTHER CURRENT PUBLIC BOARDS: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br w:type="column"/>
      </w:r>
    </w:p>
    <w:p>
      <w:pPr>
        <w:spacing w:after="0"/>
        <w:tabs>
          <w:tab w:leader="none" w:pos="6960" w:val="left"/>
        </w:tabs>
        <w:rPr>
          <w:sz w:val="20"/>
          <w:szCs w:val="20"/>
          <w:color w:val="auto"/>
        </w:rPr>
      </w:pPr>
      <w:r>
        <w:rPr>
          <w:rFonts w:ascii="Arial" w:cs="Arial" w:eastAsia="Arial" w:hAnsi="Arial"/>
          <w:sz w:val="20"/>
          <w:szCs w:val="20"/>
          <w:b w:val="1"/>
          <w:bCs w:val="1"/>
          <w:color w:val="001C71"/>
        </w:rPr>
        <w:t>Seamus Mulligan</w:t>
      </w:r>
      <w:r>
        <w:rPr>
          <w:sz w:val="20"/>
          <w:szCs w:val="20"/>
          <w:color w:val="auto"/>
        </w:rPr>
        <w:tab/>
      </w:r>
      <w:r>
        <w:rPr>
          <w:rFonts w:ascii="Arial" w:cs="Arial" w:eastAsia="Arial" w:hAnsi="Arial"/>
          <w:sz w:val="14"/>
          <w:szCs w:val="14"/>
          <w:b w:val="1"/>
          <w:bCs w:val="1"/>
          <w:color w:val="001C71"/>
        </w:rPr>
        <w:t xml:space="preserve">Age: </w:t>
      </w:r>
      <w:r>
        <w:rPr>
          <w:rFonts w:ascii="Arial" w:cs="Arial" w:eastAsia="Arial" w:hAnsi="Arial"/>
          <w:sz w:val="14"/>
          <w:szCs w:val="14"/>
          <w:color w:val="001C71"/>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40640</wp:posOffset>
            </wp:positionV>
            <wp:extent cx="4911725" cy="6083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911725" cy="60833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001C71"/>
        </w:rPr>
        <w:t>SPECIFIC EXPERTISE:</w:t>
      </w:r>
    </w:p>
    <w:p>
      <w:pPr>
        <w:spacing w:after="0" w:line="69" w:lineRule="exact"/>
        <w:rPr>
          <w:sz w:val="20"/>
          <w:szCs w:val="20"/>
          <w:color w:val="auto"/>
        </w:rPr>
      </w:pPr>
    </w:p>
    <w:p>
      <w:pPr>
        <w:ind w:right="160"/>
        <w:spacing w:after="0" w:line="285" w:lineRule="auto"/>
        <w:rPr>
          <w:sz w:val="20"/>
          <w:szCs w:val="20"/>
          <w:color w:val="auto"/>
        </w:rPr>
      </w:pPr>
      <w:r>
        <w:rPr>
          <w:rFonts w:ascii="Arial" w:cs="Arial" w:eastAsia="Arial" w:hAnsi="Arial"/>
          <w:sz w:val="14"/>
          <w:szCs w:val="14"/>
          <w:color w:val="auto"/>
        </w:rPr>
        <w:t>As a founder of Adapt Pharma and Azur Pharma, and a pharmaceutical industry executive, Mr. Mulligan brings to our board an expertise in business development and over 40 years of experience in the pharmaceutical industry.</w:t>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color w:val="001C71"/>
        </w:rPr>
        <w:t>BACKGROUND:</w:t>
      </w:r>
    </w:p>
    <w:p>
      <w:pPr>
        <w:spacing w:after="0" w:line="82" w:lineRule="exact"/>
        <w:rPr>
          <w:sz w:val="20"/>
          <w:szCs w:val="20"/>
          <w:color w:val="auto"/>
        </w:rPr>
      </w:pPr>
    </w:p>
    <w:p>
      <w:pPr>
        <w:ind w:right="120"/>
        <w:spacing w:after="0" w:line="291" w:lineRule="auto"/>
        <w:rPr>
          <w:sz w:val="20"/>
          <w:szCs w:val="20"/>
          <w:color w:val="auto"/>
        </w:rPr>
      </w:pPr>
      <w:r>
        <w:rPr>
          <w:rFonts w:ascii="Arial" w:cs="Arial" w:eastAsia="Arial" w:hAnsi="Arial"/>
          <w:sz w:val="14"/>
          <w:szCs w:val="14"/>
          <w:color w:val="auto"/>
        </w:rPr>
        <w:t>Seamus Mulligan has served as a member of our board since the closing of the Azur Merger in January 2012. Mr. Mulligan was a founder and principal investor of Azur Pharma and was Azur Pharma’s Chairperson and Chief Executive Officer as well as being a member of its board of directors from 2005 until January 2012. Mr. Mulligan also served as our Chief Business Officer, International Business Development from January 2012 until February 2013. Between 2014 and 2018, Mr. Mulligan served as Chairperson and Chief Executive Officer of Adapt Pharma Limited or Adapt Pharma, a specialty pharmaceutical company, which was acquired in October 2018 by Emergent BioSolutions Inc., a multinational specialty biopharmaceutical company. Mr. Mulligan acted as a Consultant to Emergent BioSolutions Inc. from October 2018 to March 2019, when he was appointed to its board of directors on which he served until his resignation from the board in May 2020. From 2006 to 2017, Mr. Mulligan served as Executive Chairperson of Circ Pharma Limited and its subsidiaries, a pharmaceutical development stage group. From 1984 until 2004, Mr. Mulligan held various positions with Elan Corporation, plc, a pharmaceutical company, most recently as Executive Vice President, Business and Corporate Development, and prior to that position, held the roles of President of Elan Pharmaceutical Technologies, the drug delivery division of Elan Corporation, plc, Executive Vice President, Pharmaceutical Operations, Vice President, U.S. Operations and Vice President, Product Development. Mr. Mulligan served as a member of the board of directors of the U.S. National Pharmaceutical Council until 2004. Mr. Mulligan holds a B.Sc. (Pharm) and M.Sc. from Trinity College Dublin.</w:t>
      </w:r>
    </w:p>
    <w:p>
      <w:pPr>
        <w:spacing w:after="0" w:line="200" w:lineRule="exact"/>
        <w:rPr>
          <w:sz w:val="20"/>
          <w:szCs w:val="20"/>
          <w:color w:val="auto"/>
        </w:rPr>
      </w:pPr>
    </w:p>
    <w:p>
      <w:pPr>
        <w:sectPr>
          <w:pgSz w:w="11900" w:h="16838" w:orient="portrait"/>
          <w:cols w:equalWidth="0" w:num="2">
            <w:col w:w="2760" w:space="720"/>
            <w:col w:w="7600"/>
          </w:cols>
          <w:pgMar w:left="460" w:top="110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001C71"/>
        </w:rPr>
        <w:t>DIRECTOR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-172720</wp:posOffset>
            </wp:positionV>
            <wp:extent cx="2074545" cy="36772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74545" cy="367728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001C71"/>
        </w:rPr>
        <w:t>INDEPENDENT</w:t>
      </w:r>
    </w:p>
    <w:p>
      <w:pPr>
        <w:spacing w:after="0" w:line="177" w:lineRule="exact"/>
        <w:rPr>
          <w:sz w:val="20"/>
          <w:szCs w:val="20"/>
          <w:color w:val="auto"/>
        </w:rPr>
      </w:pPr>
    </w:p>
    <w:p>
      <w:pPr>
        <w:ind w:right="340"/>
        <w:spacing w:after="0" w:line="385" w:lineRule="auto"/>
        <w:rPr>
          <w:sz w:val="20"/>
          <w:szCs w:val="20"/>
          <w:color w:val="auto"/>
        </w:rPr>
      </w:pPr>
      <w:r>
        <w:rPr>
          <w:rFonts w:ascii="Arial" w:cs="Arial" w:eastAsia="Arial" w:hAnsi="Arial"/>
          <w:sz w:val="14"/>
          <w:szCs w:val="14"/>
          <w:color w:val="001C71"/>
        </w:rPr>
        <w:t xml:space="preserve">SCIENCE &amp; MEDICINE COMMITTEE </w:t>
      </w:r>
      <w:r>
        <w:rPr>
          <w:rFonts w:ascii="Arial" w:cs="Arial" w:eastAsia="Arial" w:hAnsi="Arial"/>
          <w:sz w:val="14"/>
          <w:szCs w:val="14"/>
          <w:color w:val="000000"/>
        </w:rPr>
        <w:t>(Chair)</w:t>
      </w:r>
    </w:p>
    <w:p>
      <w:pPr>
        <w:spacing w:after="0" w:line="50" w:lineRule="exact"/>
        <w:rPr>
          <w:sz w:val="20"/>
          <w:szCs w:val="20"/>
          <w:color w:val="auto"/>
        </w:rPr>
      </w:pPr>
    </w:p>
    <w:p>
      <w:pPr>
        <w:ind w:right="700"/>
        <w:spacing w:after="0" w:line="365" w:lineRule="auto"/>
        <w:rPr>
          <w:sz w:val="20"/>
          <w:szCs w:val="20"/>
          <w:color w:val="auto"/>
        </w:rPr>
      </w:pPr>
      <w:r>
        <w:rPr>
          <w:rFonts w:ascii="Arial" w:cs="Arial" w:eastAsia="Arial" w:hAnsi="Arial"/>
          <w:sz w:val="14"/>
          <w:szCs w:val="14"/>
          <w:color w:val="001C71"/>
        </w:rPr>
        <w:t xml:space="preserve">COMPENSATION COMMITTEE </w:t>
      </w:r>
      <w:r>
        <w:rPr>
          <w:rFonts w:ascii="Arial" w:cs="Arial" w:eastAsia="Arial" w:hAnsi="Arial"/>
          <w:sz w:val="14"/>
          <w:szCs w:val="14"/>
          <w:color w:val="000000"/>
        </w:rPr>
        <w:t>(Member)</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001C71"/>
        </w:rPr>
        <w:t>KEY SKILLS: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Public Company Board Experience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C-Suite/Management Experience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Industry Expertise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Financial Experience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Merger and Acquisition/Corporate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Development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Commercial Experience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Scientific Research and Drug Development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Experience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International Perspective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Public Policy and Regulation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Human Capital</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001C71"/>
        </w:rPr>
        <w:t>OTHER CURRENT PUBLIC BOARDS: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Cerevel Therapeutics Holdings, Inc.</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Eton Pharmaceuticals,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6960" w:val="left"/>
        </w:tabs>
        <w:rPr>
          <w:sz w:val="20"/>
          <w:szCs w:val="20"/>
          <w:color w:val="auto"/>
        </w:rPr>
      </w:pPr>
      <w:r>
        <w:rPr>
          <w:rFonts w:ascii="Arial" w:cs="Arial" w:eastAsia="Arial" w:hAnsi="Arial"/>
          <w:sz w:val="20"/>
          <w:szCs w:val="20"/>
          <w:b w:val="1"/>
          <w:bCs w:val="1"/>
          <w:color w:val="001C71"/>
        </w:rPr>
        <w:t>Norbert G. Riedel, Ph.D.</w:t>
      </w:r>
      <w:r>
        <w:rPr>
          <w:sz w:val="20"/>
          <w:szCs w:val="20"/>
          <w:color w:val="auto"/>
        </w:rPr>
        <w:tab/>
      </w:r>
      <w:r>
        <w:rPr>
          <w:rFonts w:ascii="Arial" w:cs="Arial" w:eastAsia="Arial" w:hAnsi="Arial"/>
          <w:sz w:val="14"/>
          <w:szCs w:val="14"/>
          <w:b w:val="1"/>
          <w:bCs w:val="1"/>
          <w:color w:val="001C71"/>
        </w:rPr>
        <w:t xml:space="preserve">Age: </w:t>
      </w:r>
      <w:r>
        <w:rPr>
          <w:rFonts w:ascii="Arial" w:cs="Arial" w:eastAsia="Arial" w:hAnsi="Arial"/>
          <w:sz w:val="14"/>
          <w:szCs w:val="14"/>
          <w:color w:val="001C71"/>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40640</wp:posOffset>
            </wp:positionV>
            <wp:extent cx="4911725" cy="7112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11725" cy="71120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001C71"/>
        </w:rPr>
        <w:t>SPECIFIC EXPERTISE:</w:t>
      </w:r>
    </w:p>
    <w:p>
      <w:pPr>
        <w:spacing w:after="0" w:line="69" w:lineRule="exact"/>
        <w:rPr>
          <w:sz w:val="20"/>
          <w:szCs w:val="20"/>
          <w:color w:val="auto"/>
        </w:rPr>
      </w:pPr>
    </w:p>
    <w:p>
      <w:pPr>
        <w:ind w:right="340"/>
        <w:spacing w:after="0" w:line="283" w:lineRule="auto"/>
        <w:rPr>
          <w:sz w:val="20"/>
          <w:szCs w:val="20"/>
          <w:color w:val="auto"/>
        </w:rPr>
      </w:pPr>
      <w:r>
        <w:rPr>
          <w:rFonts w:ascii="Arial" w:cs="Arial" w:eastAsia="Arial" w:hAnsi="Arial"/>
          <w:sz w:val="14"/>
          <w:szCs w:val="14"/>
          <w:color w:val="auto"/>
        </w:rPr>
        <w:t>Dr. Riedel brings over 20 years of experience in the biotechnology and pharmaceutical industries to our board with significant scientific, drug discovery and development, and commercial expertise. Dr. Riedel also leverages this pharmaceutical research experience in his position as Chair of the science and medicine committee, or SMC.</w:t>
      </w: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color w:val="001C71"/>
        </w:rPr>
        <w:t>BACKGROUND:</w:t>
      </w:r>
    </w:p>
    <w:p>
      <w:pPr>
        <w:spacing w:after="0" w:line="82" w:lineRule="exact"/>
        <w:rPr>
          <w:sz w:val="20"/>
          <w:szCs w:val="20"/>
          <w:color w:val="auto"/>
        </w:rPr>
      </w:pPr>
    </w:p>
    <w:p>
      <w:pPr>
        <w:ind w:right="120"/>
        <w:spacing w:after="0" w:line="292" w:lineRule="auto"/>
        <w:rPr>
          <w:sz w:val="20"/>
          <w:szCs w:val="20"/>
          <w:color w:val="auto"/>
        </w:rPr>
      </w:pPr>
      <w:r>
        <w:rPr>
          <w:rFonts w:ascii="Arial" w:cs="Arial" w:eastAsia="Arial" w:hAnsi="Arial"/>
          <w:sz w:val="14"/>
          <w:szCs w:val="14"/>
          <w:color w:val="auto"/>
        </w:rPr>
        <w:t>Norbert G. Riedel, Ph.D. has served as a member of our board since May 2013 and was appointed chair of our SMC in April 2022. Dr. Riedel currently serves on the boards of directors of two other publicly-held companies, Eton Pharmaceuticals, Inc., a development stage pharmaceutical company, where he serves as Chairperson of the board, and Cerevel Therapeutics Holdings, Inc., a biopharmaceutical company, where he serves as Lead Independent Director. Dr. Riedel also currently serves on the board of directors of a non-profit organization, the Illinois Biotechnology Industry Organization, and is a member of the Austrian Academy of Sciences. Dr. Riedel is an Adjunct Professor at Boston University School of Medicine and an Adjunct Professor of Medicine at Northwestern University’s Feinberg School of Medicine. Dr. Riedel served as Executive Chairperson of Aptinyx Inc. from January 2022 to May 2023, as Chief Executive Officer from September 2015 to December 2021 and as President from September 2015 to December 2020. Aptinyx Inc. is a biopharmaceutical company spun out of its predecessor company, Naurex, Inc., where Dr. Riedel served as Chief Executive Officer and President from January 2014 to September 2015. From 2001 to 2013, he served as Corporate Vice President and Chief Scientific Officer of Baxter International Inc., a diversified healthcare company, where from 1998 to 2001, he also served as President and General Manager of the recombinant therapeutic proteins business unit and Vice President of Research and Development of the bioscience business unit. From 1996 to 1998, Dr. Riedel served as head of worldwide biotechnology and worldwide core research functions at Hoechst-Marion Roussel, now Sanofi, a global pharmaceutical company. Dr. Riedel served on the board of directors of Ariad Pharmaceuticals, Inc., an oncology company, from May 2011 until the company was acquired in February 2017. Dr. Riedel holds a Diploma in biochemistry and a Ph.D. in biochemistry from the University of Frankfurt.</w:t>
      </w:r>
    </w:p>
    <w:p>
      <w:pPr>
        <w:spacing w:after="0" w:line="200" w:lineRule="exact"/>
        <w:rPr>
          <w:sz w:val="20"/>
          <w:szCs w:val="20"/>
          <w:color w:val="auto"/>
        </w:rPr>
      </w:pPr>
    </w:p>
    <w:p>
      <w:pPr>
        <w:sectPr>
          <w:pgSz w:w="11900" w:h="16838" w:orient="portrait"/>
          <w:cols w:equalWidth="0" w:num="2">
            <w:col w:w="2760" w:space="720"/>
            <w:col w:w="7600"/>
          </w:cols>
          <w:pgMar w:left="460" w:top="110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7280"/>
        <w:spacing w:after="0"/>
        <w:tabs>
          <w:tab w:leader="none" w:pos="10900" w:val="left"/>
        </w:tabs>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r>
        <w:rPr>
          <w:sz w:val="20"/>
          <w:szCs w:val="20"/>
          <w:color w:val="auto"/>
        </w:rPr>
        <w:tab/>
      </w: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259715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60" w:top="1101" w:right="35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20"/>
          <w:szCs w:val="20"/>
          <w:b w:val="1"/>
          <w:bCs w:val="1"/>
          <w:color w:val="852166"/>
        </w:rPr>
        <w:t>Class III Directors Continuing in Office Until the 2026 Annual General Meeting</w:t>
      </w:r>
    </w:p>
    <w:p>
      <w:pPr>
        <w:spacing w:after="0" w:line="162" w:lineRule="exact"/>
        <w:rPr>
          <w:sz w:val="20"/>
          <w:szCs w:val="20"/>
          <w:color w:val="auto"/>
        </w:rPr>
      </w:pPr>
    </w:p>
    <w:p>
      <w:pPr>
        <w:jc w:val="right"/>
        <w:spacing w:after="0"/>
        <w:tabs>
          <w:tab w:leader="none" w:pos="500" w:val="left"/>
        </w:tabs>
        <w:rPr>
          <w:sz w:val="20"/>
          <w:szCs w:val="20"/>
          <w:color w:val="auto"/>
        </w:rPr>
      </w:pPr>
      <w:r>
        <w:rPr>
          <w:rFonts w:ascii="Arial" w:cs="Arial" w:eastAsia="Arial" w:hAnsi="Arial"/>
          <w:sz w:val="20"/>
          <w:szCs w:val="20"/>
          <w:b w:val="1"/>
          <w:bCs w:val="1"/>
          <w:color w:val="001C71"/>
        </w:rPr>
        <w:t>Bruce C. Cozadd</w:t>
      </w:r>
      <w:r>
        <w:rPr>
          <w:sz w:val="20"/>
          <w:szCs w:val="20"/>
          <w:color w:val="auto"/>
        </w:rPr>
        <w:tab/>
      </w:r>
      <w:r>
        <w:rPr>
          <w:rFonts w:ascii="Arial" w:cs="Arial" w:eastAsia="Arial" w:hAnsi="Arial"/>
          <w:sz w:val="14"/>
          <w:szCs w:val="14"/>
          <w:b w:val="1"/>
          <w:bCs w:val="1"/>
          <w:color w:val="001C71"/>
        </w:rPr>
        <w:t xml:space="preserve">Age: </w:t>
      </w:r>
      <w:r>
        <w:rPr>
          <w:rFonts w:ascii="Arial" w:cs="Arial" w:eastAsia="Arial" w:hAnsi="Arial"/>
          <w:sz w:val="14"/>
          <w:szCs w:val="14"/>
          <w:color w:val="001C71"/>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30175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3017520"/>
                    </a:xfrm>
                    <a:prstGeom prst="rect">
                      <a:avLst/>
                    </a:prstGeom>
                    <a:noFill/>
                  </pic:spPr>
                </pic:pic>
              </a:graphicData>
            </a:graphic>
          </wp:anchor>
        </w:drawing>
      </w:r>
    </w:p>
    <w:p>
      <w:pPr>
        <w:sectPr>
          <w:pgSz w:w="11900" w:h="16838" w:orient="portrait"/>
          <w:cols w:equalWidth="0" w:num="1">
            <w:col w:w="11120"/>
          </w:cols>
          <w:pgMar w:left="320" w:top="1155" w:right="459" w:bottom="1440" w:gutter="0" w:footer="0" w:header="0"/>
        </w:sectPr>
      </w:pPr>
    </w:p>
    <w:p>
      <w:pPr>
        <w:spacing w:after="0" w:line="176" w:lineRule="exact"/>
        <w:rPr>
          <w:sz w:val="20"/>
          <w:szCs w:val="20"/>
          <w:color w:val="auto"/>
        </w:rPr>
      </w:pPr>
    </w:p>
    <w:p>
      <w:pPr>
        <w:ind w:left="140"/>
        <w:spacing w:after="0"/>
        <w:rPr>
          <w:sz w:val="20"/>
          <w:szCs w:val="20"/>
          <w:color w:val="auto"/>
        </w:rPr>
      </w:pPr>
      <w:r>
        <w:rPr>
          <w:rFonts w:ascii="Arial" w:cs="Arial" w:eastAsia="Arial" w:hAnsi="Arial"/>
          <w:sz w:val="14"/>
          <w:szCs w:val="14"/>
          <w:color w:val="001C71"/>
        </w:rPr>
        <w:t>DIRECTOR SINCE: 2013*</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4"/>
          <w:szCs w:val="14"/>
          <w:color w:val="001C71"/>
        </w:rPr>
        <w:t>BOARD COMMITTEES</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None</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4"/>
          <w:szCs w:val="14"/>
          <w:color w:val="001C71"/>
        </w:rPr>
        <w:t>KEY SKILLS:</w:t>
      </w:r>
    </w:p>
    <w:p>
      <w:pPr>
        <w:spacing w:after="0" w:line="69" w:lineRule="exact"/>
        <w:rPr>
          <w:sz w:val="20"/>
          <w:szCs w:val="20"/>
          <w:color w:val="auto"/>
        </w:rPr>
      </w:pPr>
    </w:p>
    <w:p>
      <w:pPr>
        <w:ind w:left="140" w:right="520"/>
        <w:spacing w:after="0" w:line="261" w:lineRule="auto"/>
        <w:rPr>
          <w:sz w:val="20"/>
          <w:szCs w:val="20"/>
          <w:color w:val="auto"/>
        </w:rPr>
      </w:pPr>
      <w:r>
        <w:rPr>
          <w:rFonts w:ascii="Arial" w:cs="Arial" w:eastAsia="Arial" w:hAnsi="Arial"/>
          <w:sz w:val="14"/>
          <w:szCs w:val="14"/>
          <w:color w:val="auto"/>
        </w:rPr>
        <w:t>Public Company Board Experience C-Suite/Management Experience</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Industry Expertise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Financial Experience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Merger and Acquisition/Corporate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Development</w:t>
      </w:r>
    </w:p>
    <w:p>
      <w:pPr>
        <w:spacing w:after="0" w:line="1" w:lineRule="exact"/>
        <w:rPr>
          <w:sz w:val="20"/>
          <w:szCs w:val="20"/>
          <w:color w:val="auto"/>
        </w:rPr>
      </w:pPr>
    </w:p>
    <w:p>
      <w:pPr>
        <w:ind w:left="140" w:right="920"/>
        <w:spacing w:after="0" w:line="269" w:lineRule="auto"/>
        <w:rPr>
          <w:sz w:val="20"/>
          <w:szCs w:val="20"/>
          <w:color w:val="auto"/>
        </w:rPr>
      </w:pPr>
      <w:r>
        <w:rPr>
          <w:rFonts w:ascii="Arial" w:cs="Arial" w:eastAsia="Arial" w:hAnsi="Arial"/>
          <w:sz w:val="14"/>
          <w:szCs w:val="14"/>
          <w:color w:val="auto"/>
        </w:rPr>
        <w:t>Commercial Experience International Perspective Public Policy and Regulation Human Capital</w:t>
      </w:r>
    </w:p>
    <w:p>
      <w:pPr>
        <w:spacing w:after="0" w:line="128" w:lineRule="exact"/>
        <w:rPr>
          <w:sz w:val="20"/>
          <w:szCs w:val="20"/>
          <w:color w:val="auto"/>
        </w:rPr>
      </w:pPr>
    </w:p>
    <w:p>
      <w:pPr>
        <w:ind w:left="140"/>
        <w:spacing w:after="0"/>
        <w:rPr>
          <w:sz w:val="20"/>
          <w:szCs w:val="20"/>
          <w:color w:val="auto"/>
        </w:rPr>
      </w:pPr>
      <w:r>
        <w:rPr>
          <w:rFonts w:ascii="Arial" w:cs="Arial" w:eastAsia="Arial" w:hAnsi="Arial"/>
          <w:sz w:val="14"/>
          <w:szCs w:val="14"/>
          <w:color w:val="001C71"/>
        </w:rPr>
        <w:t>OTHER CURRENT PUBLIC BOARDS:</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ACELYRIN, INC.</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001C71"/>
        </w:rPr>
        <w:t>SPECIFIC EXPERTISE:</w:t>
      </w:r>
    </w:p>
    <w:p>
      <w:pPr>
        <w:spacing w:after="0" w:line="69" w:lineRule="exact"/>
        <w:rPr>
          <w:sz w:val="20"/>
          <w:szCs w:val="20"/>
          <w:color w:val="auto"/>
        </w:rPr>
      </w:pPr>
    </w:p>
    <w:p>
      <w:pPr>
        <w:ind w:right="20"/>
        <w:spacing w:after="0" w:line="276" w:lineRule="auto"/>
        <w:rPr>
          <w:sz w:val="20"/>
          <w:szCs w:val="20"/>
          <w:color w:val="auto"/>
        </w:rPr>
      </w:pPr>
      <w:r>
        <w:rPr>
          <w:rFonts w:ascii="Arial" w:cs="Arial" w:eastAsia="Arial" w:hAnsi="Arial"/>
          <w:sz w:val="14"/>
          <w:szCs w:val="14"/>
          <w:color w:val="auto"/>
        </w:rPr>
        <w:t>Mr. Cozadd’s extensive leadership experience having served as co-founder and our CEO for over 10 years and having served previously as Chairperson and CEO of Jazz Pharmaceuticals, Inc, for 3 years, brings to our board a deep and comprehensive knowledge of our business, as well as shareholder-focused insight into effectively executing our strategy and business plans to maximize shareholder value.</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001C71"/>
        </w:rPr>
        <w:t>BACKGROUND:</w:t>
      </w:r>
    </w:p>
    <w:p>
      <w:pPr>
        <w:spacing w:after="0" w:line="82"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Bruce C. Cozadd has served as our Chairperson and CEO since the closing of the Azur Merger in January 2012, and from October 2019 through March 2020, he served as our interim principal financial officer. Mr. Cozadd co-founded Jazz Pharmaceuticals, Inc. and has served as Chairperson and CEO of Jazz Pharmaceuticals, Inc. since April 2009. From 2003 until 2009, he served as Jazz Pharmaceuticals, Inc.’s Executive Chairperson and as a member of its board of directors. From 1991 until 2001, he held various positions with ALZA Corporation, a pharmaceutical company acquired by Johnson &amp; Johnson, including as Executive Vice President and Chief Operating Officer, with responsibility for research and development, manufacturing and sales and marketing. Previously at ALZA Corporation, he held the roles of Chief Financial Officer and Vice President, Corporate Planning and Analysis. Since February 2022, Mr. Cozadd has served on the board of ACELYRIN, INC., a late-stage clinical biopharma company which became public in May 2023, and has served as Chairperson of ACELYRIN’s board since February 2023. Mr. Cozadd also serves on the board of Biotechnology Innovation Organization, a biotechnology trade association, where he serves on its Health Section Governing Board. He also serves on the boards of two non-profit organizations, The Nueva School and SFJAZZ. He holds a B.S. from Yale University and an M.B.A. from the Stanford Graduate School of Business.</w:t>
      </w:r>
    </w:p>
    <w:p>
      <w:pPr>
        <w:spacing w:after="0" w:line="200" w:lineRule="exact"/>
        <w:rPr>
          <w:sz w:val="20"/>
          <w:szCs w:val="20"/>
          <w:color w:val="auto"/>
        </w:rPr>
      </w:pPr>
    </w:p>
    <w:p>
      <w:pPr>
        <w:sectPr>
          <w:pgSz w:w="11900" w:h="16838" w:orient="portrait"/>
          <w:cols w:equalWidth="0" w:num="2">
            <w:col w:w="2900" w:space="720"/>
            <w:col w:w="7500"/>
          </w:cols>
          <w:pgMar w:left="320" w:top="1155" w:right="45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service on the board of directors of Jazz Pharmaceuticals, Inc., our predecessor.</w:t>
      </w:r>
    </w:p>
    <w:p>
      <w:pPr>
        <w:spacing w:after="0" w:line="200" w:lineRule="exact"/>
        <w:rPr>
          <w:sz w:val="20"/>
          <w:szCs w:val="20"/>
          <w:color w:val="auto"/>
        </w:rPr>
      </w:pPr>
    </w:p>
    <w:p>
      <w:pPr>
        <w:spacing w:after="0" w:line="232" w:lineRule="exact"/>
        <w:rPr>
          <w:sz w:val="20"/>
          <w:szCs w:val="20"/>
          <w:color w:val="auto"/>
        </w:rPr>
      </w:pPr>
    </w:p>
    <w:p>
      <w:pPr>
        <w:jc w:val="right"/>
        <w:spacing w:after="0"/>
        <w:tabs>
          <w:tab w:leader="none" w:pos="500" w:val="left"/>
        </w:tabs>
        <w:rPr>
          <w:sz w:val="20"/>
          <w:szCs w:val="20"/>
          <w:color w:val="auto"/>
        </w:rPr>
      </w:pPr>
      <w:r>
        <w:rPr>
          <w:rFonts w:ascii="Arial" w:cs="Arial" w:eastAsia="Arial" w:hAnsi="Arial"/>
          <w:sz w:val="20"/>
          <w:szCs w:val="20"/>
          <w:b w:val="1"/>
          <w:bCs w:val="1"/>
          <w:color w:val="001C71"/>
        </w:rPr>
        <w:t>Heather Ann McSharry</w:t>
      </w:r>
      <w:r>
        <w:rPr>
          <w:sz w:val="20"/>
          <w:szCs w:val="20"/>
          <w:color w:val="auto"/>
        </w:rPr>
        <w:tab/>
      </w:r>
      <w:r>
        <w:rPr>
          <w:rFonts w:ascii="Arial" w:cs="Arial" w:eastAsia="Arial" w:hAnsi="Arial"/>
          <w:sz w:val="14"/>
          <w:szCs w:val="14"/>
          <w:b w:val="1"/>
          <w:bCs w:val="1"/>
          <w:color w:val="001C71"/>
        </w:rPr>
        <w:t xml:space="preserve">Age: </w:t>
      </w:r>
      <w:r>
        <w:rPr>
          <w:rFonts w:ascii="Arial" w:cs="Arial" w:eastAsia="Arial" w:hAnsi="Arial"/>
          <w:sz w:val="14"/>
          <w:szCs w:val="14"/>
          <w:color w:val="001C71"/>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29832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2983230"/>
                    </a:xfrm>
                    <a:prstGeom prst="rect">
                      <a:avLst/>
                    </a:prstGeom>
                    <a:noFill/>
                  </pic:spPr>
                </pic:pic>
              </a:graphicData>
            </a:graphic>
          </wp:anchor>
        </w:drawing>
      </w:r>
    </w:p>
    <w:p>
      <w:pPr>
        <w:sectPr>
          <w:pgSz w:w="11900" w:h="16838" w:orient="portrait"/>
          <w:cols w:equalWidth="0" w:num="1">
            <w:col w:w="11120"/>
          </w:cols>
          <w:pgMar w:left="320" w:top="1155" w:right="459" w:bottom="1440" w:gutter="0" w:footer="0" w:header="0"/>
          <w:type w:val="continuous"/>
        </w:sectPr>
      </w:pPr>
    </w:p>
    <w:p>
      <w:pPr>
        <w:spacing w:after="0" w:line="176" w:lineRule="exact"/>
        <w:rPr>
          <w:sz w:val="20"/>
          <w:szCs w:val="20"/>
          <w:color w:val="auto"/>
        </w:rPr>
      </w:pPr>
    </w:p>
    <w:p>
      <w:pPr>
        <w:ind w:left="140"/>
        <w:spacing w:after="0"/>
        <w:rPr>
          <w:sz w:val="20"/>
          <w:szCs w:val="20"/>
          <w:color w:val="auto"/>
        </w:rPr>
      </w:pPr>
      <w:r>
        <w:rPr>
          <w:rFonts w:ascii="Arial" w:cs="Arial" w:eastAsia="Arial" w:hAnsi="Arial"/>
          <w:sz w:val="14"/>
          <w:szCs w:val="14"/>
          <w:color w:val="001C71"/>
        </w:rPr>
        <w:t>DIRECTOR SINCE: 2013</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color w:val="001C71"/>
        </w:rPr>
        <w:t>INDEPENDENT</w:t>
      </w:r>
    </w:p>
    <w:p>
      <w:pPr>
        <w:spacing w:after="0" w:line="177" w:lineRule="exact"/>
        <w:rPr>
          <w:sz w:val="20"/>
          <w:szCs w:val="20"/>
          <w:color w:val="auto"/>
        </w:rPr>
      </w:pPr>
    </w:p>
    <w:p>
      <w:pPr>
        <w:ind w:left="140"/>
        <w:spacing w:after="0" w:line="285" w:lineRule="auto"/>
        <w:rPr>
          <w:sz w:val="20"/>
          <w:szCs w:val="20"/>
          <w:color w:val="auto"/>
        </w:rPr>
      </w:pPr>
      <w:r>
        <w:rPr>
          <w:rFonts w:ascii="Arial" w:cs="Arial" w:eastAsia="Arial" w:hAnsi="Arial"/>
          <w:sz w:val="14"/>
          <w:szCs w:val="14"/>
          <w:color w:val="001C71"/>
        </w:rPr>
        <w:t>NOMINATING &amp; CORPORATE GOVERNANCE COMMITTEE</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(Chair)</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4"/>
          <w:szCs w:val="14"/>
          <w:color w:val="001C71"/>
        </w:rPr>
        <w:t>AUDIT COMMITTEE</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(Member)</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4"/>
          <w:szCs w:val="14"/>
          <w:color w:val="001C71"/>
        </w:rPr>
        <w:t>KEY SKILLS:</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Public Company Board Experience</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C-Suite/Management Experience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Industry Expertise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Financial Experience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Merger and Acquisition/Corporate</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Development</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Commercial Experience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International Perspective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Public Policy and Regulation</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Human Capital</w:t>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14"/>
          <w:szCs w:val="14"/>
          <w:color w:val="001C71"/>
        </w:rPr>
        <w:t>OTHER CURRENT PUBLIC BOARDS:</w:t>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International Airlines Group, S.A</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001C71"/>
        </w:rPr>
        <w:t>SPECIFIC EXPERTISE:</w:t>
      </w:r>
    </w:p>
    <w:p>
      <w:pPr>
        <w:spacing w:after="0" w:line="69" w:lineRule="exact"/>
        <w:rPr>
          <w:sz w:val="20"/>
          <w:szCs w:val="20"/>
          <w:color w:val="auto"/>
        </w:rPr>
      </w:pPr>
    </w:p>
    <w:p>
      <w:pPr>
        <w:ind w:right="340"/>
        <w:spacing w:after="0" w:line="273" w:lineRule="auto"/>
        <w:rPr>
          <w:sz w:val="20"/>
          <w:szCs w:val="20"/>
          <w:color w:val="auto"/>
        </w:rPr>
      </w:pPr>
      <w:r>
        <w:rPr>
          <w:rFonts w:ascii="Arial" w:cs="Arial" w:eastAsia="Arial" w:hAnsi="Arial"/>
          <w:sz w:val="14"/>
          <w:szCs w:val="14"/>
          <w:color w:val="auto"/>
        </w:rPr>
        <w:t>Ms. McSharry brings to our board over 30 years of experience in multiple international industries, including healthcare, consumer goods and financial services, as well as expertise in crisis management, risk oversight and financial services relevant to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001C71"/>
        </w:rPr>
        <w:t>BACKGROUND:</w:t>
      </w:r>
    </w:p>
    <w:p>
      <w:pPr>
        <w:spacing w:after="0" w:line="82" w:lineRule="exact"/>
        <w:rPr>
          <w:sz w:val="20"/>
          <w:szCs w:val="20"/>
          <w:color w:val="auto"/>
        </w:rPr>
      </w:pPr>
    </w:p>
    <w:p>
      <w:pPr>
        <w:ind w:right="20"/>
        <w:spacing w:after="0" w:line="293" w:lineRule="auto"/>
        <w:rPr>
          <w:sz w:val="20"/>
          <w:szCs w:val="20"/>
          <w:color w:val="auto"/>
        </w:rPr>
      </w:pPr>
      <w:r>
        <w:rPr>
          <w:rFonts w:ascii="Arial" w:cs="Arial" w:eastAsia="Arial" w:hAnsi="Arial"/>
          <w:sz w:val="14"/>
          <w:szCs w:val="14"/>
          <w:color w:val="auto"/>
        </w:rPr>
        <w:t>Heather Ann McSharry has served as a member of our board since May 2013 and was appointed as chair of our nominating committee in August 2017. Ms. McSharry has served as a non-executive director on the board of directors of International Consolidated Airlines Group, S.A since 2020 and as Senior Independent Director of International Consolidated Airlines Group, S.A. since June 2022. From 2006 to 2009, Ms. McSharry was Managing Director Ireland of Reckitt Benckiser, a multinational health, home and hygiene consumer products company. From 1989 to 2006, she held various positions at Boots Healthcare, a global consumer healthcare company, most recently as Managing Director of Boots Healthcare Ireland Limited. Ms. McSharry served on the boards of directors of the Bank of Ireland from 2007 to 2011, the Industrial Development Agency in Ireland from 2010 to 2014, Uniphar plc from 2019 to 2020, CRH plc from 2012 to 2021 and Greencore Group plc from 2013 to 2021. Ms. McSharry holds a BComm and a MBS degree from University College Dublin.</w:t>
      </w:r>
    </w:p>
    <w:p>
      <w:pPr>
        <w:spacing w:after="0" w:line="1446" w:lineRule="exact"/>
        <w:rPr>
          <w:sz w:val="20"/>
          <w:szCs w:val="20"/>
          <w:color w:val="auto"/>
        </w:rPr>
      </w:pPr>
    </w:p>
    <w:p>
      <w:pPr>
        <w:sectPr>
          <w:pgSz w:w="11900" w:h="16838" w:orient="portrait"/>
          <w:cols w:equalWidth="0" w:num="2">
            <w:col w:w="3200" w:space="420"/>
            <w:col w:w="7500"/>
          </w:cols>
          <w:pgMar w:left="320" w:top="1155"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20</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55" w:right="459" w:bottom="1440" w:gutter="0" w:footer="0" w:header="0"/>
          <w:type w:val="continuous"/>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885825</wp:posOffset>
            </wp:positionV>
            <wp:extent cx="2074545" cy="30003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74545" cy="3000375"/>
                    </a:xfrm>
                    <a:prstGeom prst="rect">
                      <a:avLst/>
                    </a:prstGeom>
                    <a:noFill/>
                  </pic:spPr>
                </pic:pic>
              </a:graphicData>
            </a:graphic>
          </wp:anchor>
        </w:drawing>
      </w:r>
    </w:p>
    <w:p>
      <w:pPr>
        <w:spacing w:after="0" w:line="206" w:lineRule="exact"/>
        <w:rPr>
          <w:sz w:val="20"/>
          <w:szCs w:val="20"/>
          <w:color w:val="auto"/>
        </w:rPr>
      </w:pPr>
    </w:p>
    <w:p>
      <w:pPr>
        <w:ind w:left="132"/>
        <w:spacing w:after="0"/>
        <w:rPr>
          <w:sz w:val="20"/>
          <w:szCs w:val="20"/>
          <w:color w:val="auto"/>
        </w:rPr>
      </w:pPr>
      <w:r>
        <w:rPr>
          <w:rFonts w:ascii="Arial" w:cs="Arial" w:eastAsia="Arial" w:hAnsi="Arial"/>
          <w:sz w:val="14"/>
          <w:szCs w:val="14"/>
          <w:color w:val="001C71"/>
        </w:rPr>
        <w:t>DIRECTOR SINCE: 2019</w:t>
      </w:r>
    </w:p>
    <w:p>
      <w:pPr>
        <w:spacing w:after="0" w:line="69" w:lineRule="exact"/>
        <w:rPr>
          <w:sz w:val="20"/>
          <w:szCs w:val="20"/>
          <w:color w:val="auto"/>
        </w:rPr>
      </w:pPr>
    </w:p>
    <w:p>
      <w:pPr>
        <w:ind w:left="132"/>
        <w:spacing w:after="0"/>
        <w:rPr>
          <w:sz w:val="20"/>
          <w:szCs w:val="20"/>
          <w:color w:val="auto"/>
        </w:rPr>
      </w:pPr>
      <w:r>
        <w:rPr>
          <w:rFonts w:ascii="Arial" w:cs="Arial" w:eastAsia="Arial" w:hAnsi="Arial"/>
          <w:sz w:val="14"/>
          <w:szCs w:val="14"/>
          <w:color w:val="001C71"/>
        </w:rPr>
        <w:t>INDEPENDENT</w:t>
      </w:r>
    </w:p>
    <w:p>
      <w:pPr>
        <w:spacing w:after="0" w:line="163" w:lineRule="exact"/>
        <w:rPr>
          <w:sz w:val="20"/>
          <w:szCs w:val="20"/>
          <w:color w:val="auto"/>
        </w:rPr>
      </w:pPr>
    </w:p>
    <w:p>
      <w:pPr>
        <w:ind w:left="132"/>
        <w:spacing w:after="0"/>
        <w:rPr>
          <w:sz w:val="20"/>
          <w:szCs w:val="20"/>
          <w:color w:val="auto"/>
        </w:rPr>
      </w:pPr>
      <w:r>
        <w:rPr>
          <w:rFonts w:ascii="Arial" w:cs="Arial" w:eastAsia="Arial" w:hAnsi="Arial"/>
          <w:sz w:val="14"/>
          <w:szCs w:val="14"/>
          <w:color w:val="001C71"/>
        </w:rPr>
        <w:t>AUDIT COMMITTEE</w:t>
      </w:r>
    </w:p>
    <w:p>
      <w:pPr>
        <w:spacing w:after="0" w:line="69" w:lineRule="exact"/>
        <w:rPr>
          <w:sz w:val="20"/>
          <w:szCs w:val="20"/>
          <w:color w:val="auto"/>
        </w:rPr>
      </w:pPr>
    </w:p>
    <w:p>
      <w:pPr>
        <w:ind w:left="132"/>
        <w:spacing w:after="0"/>
        <w:rPr>
          <w:sz w:val="20"/>
          <w:szCs w:val="20"/>
          <w:color w:val="auto"/>
        </w:rPr>
      </w:pPr>
      <w:r>
        <w:rPr>
          <w:rFonts w:ascii="Arial" w:cs="Arial" w:eastAsia="Arial" w:hAnsi="Arial"/>
          <w:sz w:val="14"/>
          <w:szCs w:val="14"/>
          <w:color w:val="auto"/>
        </w:rPr>
        <w:t>(Member)</w:t>
      </w:r>
    </w:p>
    <w:p>
      <w:pPr>
        <w:spacing w:after="0" w:line="177" w:lineRule="exact"/>
        <w:rPr>
          <w:sz w:val="20"/>
          <w:szCs w:val="20"/>
          <w:color w:val="auto"/>
        </w:rPr>
      </w:pPr>
    </w:p>
    <w:p>
      <w:pPr>
        <w:ind w:left="132"/>
        <w:spacing w:after="0" w:line="301" w:lineRule="auto"/>
        <w:rPr>
          <w:sz w:val="20"/>
          <w:szCs w:val="20"/>
          <w:color w:val="auto"/>
        </w:rPr>
      </w:pPr>
      <w:r>
        <w:rPr>
          <w:rFonts w:ascii="Arial" w:cs="Arial" w:eastAsia="Arial" w:hAnsi="Arial"/>
          <w:sz w:val="14"/>
          <w:szCs w:val="14"/>
          <w:color w:val="001C71"/>
        </w:rPr>
        <w:t>NOMINATING &amp; CORPORATE GOVERNANCE COMMITTEE</w:t>
      </w:r>
    </w:p>
    <w:p>
      <w:pPr>
        <w:spacing w:after="0" w:line="1" w:lineRule="exact"/>
        <w:rPr>
          <w:sz w:val="20"/>
          <w:szCs w:val="20"/>
          <w:color w:val="auto"/>
        </w:rPr>
      </w:pPr>
    </w:p>
    <w:p>
      <w:pPr>
        <w:ind w:left="132"/>
        <w:spacing w:after="0"/>
        <w:rPr>
          <w:sz w:val="20"/>
          <w:szCs w:val="20"/>
          <w:color w:val="auto"/>
        </w:rPr>
      </w:pPr>
      <w:r>
        <w:rPr>
          <w:rFonts w:ascii="Arial" w:cs="Arial" w:eastAsia="Arial" w:hAnsi="Arial"/>
          <w:sz w:val="14"/>
          <w:szCs w:val="14"/>
          <w:color w:val="auto"/>
        </w:rPr>
        <w:t>(Member)</w:t>
      </w:r>
    </w:p>
    <w:p>
      <w:pPr>
        <w:spacing w:after="0" w:line="163" w:lineRule="exact"/>
        <w:rPr>
          <w:sz w:val="20"/>
          <w:szCs w:val="20"/>
          <w:color w:val="auto"/>
        </w:rPr>
      </w:pPr>
    </w:p>
    <w:p>
      <w:pPr>
        <w:ind w:left="132"/>
        <w:spacing w:after="0"/>
        <w:rPr>
          <w:sz w:val="20"/>
          <w:szCs w:val="20"/>
          <w:color w:val="auto"/>
        </w:rPr>
      </w:pPr>
      <w:r>
        <w:rPr>
          <w:rFonts w:ascii="Arial" w:cs="Arial" w:eastAsia="Arial" w:hAnsi="Arial"/>
          <w:sz w:val="14"/>
          <w:szCs w:val="14"/>
          <w:color w:val="001C71"/>
        </w:rPr>
        <w:t>KEY SKILLS:</w:t>
      </w:r>
    </w:p>
    <w:p>
      <w:pPr>
        <w:spacing w:after="0" w:line="69" w:lineRule="exact"/>
        <w:rPr>
          <w:sz w:val="20"/>
          <w:szCs w:val="20"/>
          <w:color w:val="auto"/>
        </w:rPr>
      </w:pPr>
    </w:p>
    <w:p>
      <w:pPr>
        <w:ind w:left="132"/>
        <w:spacing w:after="0"/>
        <w:rPr>
          <w:sz w:val="20"/>
          <w:szCs w:val="20"/>
          <w:color w:val="auto"/>
        </w:rPr>
      </w:pPr>
      <w:r>
        <w:rPr>
          <w:rFonts w:ascii="Arial" w:cs="Arial" w:eastAsia="Arial" w:hAnsi="Arial"/>
          <w:sz w:val="14"/>
          <w:szCs w:val="14"/>
          <w:color w:val="auto"/>
        </w:rPr>
        <w:t>Public Company Board Experience</w:t>
      </w:r>
    </w:p>
    <w:p>
      <w:pPr>
        <w:spacing w:after="0" w:line="29" w:lineRule="exact"/>
        <w:rPr>
          <w:sz w:val="20"/>
          <w:szCs w:val="20"/>
          <w:color w:val="auto"/>
        </w:rPr>
      </w:pPr>
    </w:p>
    <w:p>
      <w:pPr>
        <w:ind w:left="132"/>
        <w:spacing w:after="0"/>
        <w:rPr>
          <w:sz w:val="20"/>
          <w:szCs w:val="20"/>
          <w:color w:val="auto"/>
        </w:rPr>
      </w:pPr>
      <w:r>
        <w:rPr>
          <w:rFonts w:ascii="Arial" w:cs="Arial" w:eastAsia="Arial" w:hAnsi="Arial"/>
          <w:sz w:val="14"/>
          <w:szCs w:val="14"/>
          <w:color w:val="auto"/>
        </w:rPr>
        <w:t>C-Suite/Management Experience</w:t>
      </w:r>
    </w:p>
    <w:p>
      <w:pPr>
        <w:spacing w:after="0" w:line="15" w:lineRule="exact"/>
        <w:rPr>
          <w:sz w:val="20"/>
          <w:szCs w:val="20"/>
          <w:color w:val="auto"/>
        </w:rPr>
      </w:pPr>
    </w:p>
    <w:p>
      <w:pPr>
        <w:ind w:left="132"/>
        <w:spacing w:after="0"/>
        <w:rPr>
          <w:sz w:val="20"/>
          <w:szCs w:val="20"/>
          <w:color w:val="auto"/>
        </w:rPr>
      </w:pPr>
      <w:r>
        <w:rPr>
          <w:rFonts w:ascii="Arial" w:cs="Arial" w:eastAsia="Arial" w:hAnsi="Arial"/>
          <w:sz w:val="14"/>
          <w:szCs w:val="14"/>
          <w:color w:val="auto"/>
        </w:rPr>
        <w:t>Industry Expertise</w:t>
      </w:r>
    </w:p>
    <w:p>
      <w:pPr>
        <w:spacing w:after="0" w:line="15" w:lineRule="exact"/>
        <w:rPr>
          <w:sz w:val="20"/>
          <w:szCs w:val="20"/>
          <w:color w:val="auto"/>
        </w:rPr>
      </w:pPr>
    </w:p>
    <w:p>
      <w:pPr>
        <w:ind w:left="132"/>
        <w:spacing w:after="0"/>
        <w:rPr>
          <w:sz w:val="20"/>
          <w:szCs w:val="20"/>
          <w:color w:val="auto"/>
        </w:rPr>
      </w:pPr>
      <w:r>
        <w:rPr>
          <w:rFonts w:ascii="Arial" w:cs="Arial" w:eastAsia="Arial" w:hAnsi="Arial"/>
          <w:sz w:val="14"/>
          <w:szCs w:val="14"/>
          <w:color w:val="auto"/>
        </w:rPr>
        <w:t>Financial Experience</w:t>
      </w:r>
    </w:p>
    <w:p>
      <w:pPr>
        <w:spacing w:after="0" w:line="1" w:lineRule="exact"/>
        <w:rPr>
          <w:sz w:val="20"/>
          <w:szCs w:val="20"/>
          <w:color w:val="auto"/>
        </w:rPr>
      </w:pPr>
    </w:p>
    <w:p>
      <w:pPr>
        <w:ind w:left="132"/>
        <w:spacing w:after="0"/>
        <w:rPr>
          <w:sz w:val="20"/>
          <w:szCs w:val="20"/>
          <w:color w:val="auto"/>
        </w:rPr>
      </w:pPr>
      <w:r>
        <w:rPr>
          <w:rFonts w:ascii="Arial" w:cs="Arial" w:eastAsia="Arial" w:hAnsi="Arial"/>
          <w:sz w:val="14"/>
          <w:szCs w:val="14"/>
          <w:color w:val="auto"/>
        </w:rPr>
        <w:t>International Perspective</w:t>
      </w:r>
    </w:p>
    <w:p>
      <w:pPr>
        <w:spacing w:after="0" w:line="15" w:lineRule="exact"/>
        <w:rPr>
          <w:sz w:val="20"/>
          <w:szCs w:val="20"/>
          <w:color w:val="auto"/>
        </w:rPr>
      </w:pPr>
    </w:p>
    <w:p>
      <w:pPr>
        <w:ind w:left="132"/>
        <w:spacing w:after="0"/>
        <w:rPr>
          <w:sz w:val="20"/>
          <w:szCs w:val="20"/>
          <w:color w:val="auto"/>
        </w:rPr>
      </w:pPr>
      <w:r>
        <w:rPr>
          <w:rFonts w:ascii="Arial" w:cs="Arial" w:eastAsia="Arial" w:hAnsi="Arial"/>
          <w:sz w:val="14"/>
          <w:szCs w:val="14"/>
          <w:color w:val="auto"/>
        </w:rPr>
        <w:t>Human Capital</w:t>
      </w:r>
    </w:p>
    <w:p>
      <w:pPr>
        <w:spacing w:after="0" w:line="163" w:lineRule="exact"/>
        <w:rPr>
          <w:sz w:val="20"/>
          <w:szCs w:val="20"/>
          <w:color w:val="auto"/>
        </w:rPr>
      </w:pPr>
    </w:p>
    <w:p>
      <w:pPr>
        <w:ind w:left="132"/>
        <w:spacing w:after="0"/>
        <w:rPr>
          <w:sz w:val="20"/>
          <w:szCs w:val="20"/>
          <w:color w:val="auto"/>
        </w:rPr>
      </w:pPr>
      <w:r>
        <w:rPr>
          <w:rFonts w:ascii="Arial" w:cs="Arial" w:eastAsia="Arial" w:hAnsi="Arial"/>
          <w:sz w:val="14"/>
          <w:szCs w:val="14"/>
          <w:color w:val="001C71"/>
        </w:rPr>
        <w:t>OTHER CURRENT PUBLIC BOARDS:</w:t>
      </w:r>
    </w:p>
    <w:p>
      <w:pPr>
        <w:spacing w:after="0" w:line="123" w:lineRule="exact"/>
        <w:rPr>
          <w:sz w:val="20"/>
          <w:szCs w:val="20"/>
          <w:color w:val="auto"/>
        </w:rPr>
      </w:pPr>
    </w:p>
    <w:p>
      <w:pPr>
        <w:ind w:left="132"/>
        <w:spacing w:after="0"/>
        <w:rPr>
          <w:sz w:val="20"/>
          <w:szCs w:val="20"/>
          <w:color w:val="auto"/>
        </w:rPr>
      </w:pP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br w:type="column"/>
      </w:r>
    </w:p>
    <w:p>
      <w:pPr>
        <w:spacing w:after="0"/>
        <w:tabs>
          <w:tab w:leader="none" w:pos="6960" w:val="left"/>
        </w:tabs>
        <w:rPr>
          <w:sz w:val="20"/>
          <w:szCs w:val="20"/>
          <w:color w:val="auto"/>
        </w:rPr>
      </w:pPr>
      <w:r>
        <w:rPr>
          <w:rFonts w:ascii="Arial" w:cs="Arial" w:eastAsia="Arial" w:hAnsi="Arial"/>
          <w:sz w:val="20"/>
          <w:szCs w:val="20"/>
          <w:b w:val="1"/>
          <w:bCs w:val="1"/>
          <w:color w:val="001C71"/>
        </w:rPr>
        <w:t>Anne O’Riordan</w:t>
      </w:r>
      <w:r>
        <w:rPr>
          <w:sz w:val="20"/>
          <w:szCs w:val="20"/>
          <w:color w:val="auto"/>
        </w:rPr>
        <w:tab/>
      </w:r>
      <w:r>
        <w:rPr>
          <w:rFonts w:ascii="Arial" w:cs="Arial" w:eastAsia="Arial" w:hAnsi="Arial"/>
          <w:sz w:val="14"/>
          <w:szCs w:val="14"/>
          <w:b w:val="1"/>
          <w:bCs w:val="1"/>
          <w:color w:val="001C71"/>
        </w:rPr>
        <w:t xml:space="preserve">Age: </w:t>
      </w:r>
      <w:r>
        <w:rPr>
          <w:rFonts w:ascii="Arial" w:cs="Arial" w:eastAsia="Arial" w:hAnsi="Arial"/>
          <w:sz w:val="14"/>
          <w:szCs w:val="14"/>
          <w:color w:val="001C71"/>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40640</wp:posOffset>
            </wp:positionV>
            <wp:extent cx="4911725" cy="9861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11725" cy="9861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001C71"/>
        </w:rPr>
        <w:t>SPECIFIC EXPERTISE:</w:t>
      </w:r>
    </w:p>
    <w:p>
      <w:pPr>
        <w:spacing w:after="0" w:line="69" w:lineRule="exact"/>
        <w:rPr>
          <w:sz w:val="20"/>
          <w:szCs w:val="20"/>
          <w:color w:val="auto"/>
        </w:rPr>
      </w:pPr>
    </w:p>
    <w:p>
      <w:pPr>
        <w:ind w:right="520"/>
        <w:spacing w:after="0" w:line="287" w:lineRule="auto"/>
        <w:rPr>
          <w:sz w:val="20"/>
          <w:szCs w:val="20"/>
          <w:color w:val="auto"/>
        </w:rPr>
      </w:pPr>
      <w:r>
        <w:rPr>
          <w:rFonts w:ascii="Arial" w:cs="Arial" w:eastAsia="Arial" w:hAnsi="Arial"/>
          <w:sz w:val="14"/>
          <w:szCs w:val="14"/>
          <w:color w:val="auto"/>
        </w:rPr>
        <w:t>Ms. O’Riordan brings to our board of directors 30 years of knowledge and leadership experience advising life sciences and healthcare companies across the globe, with a uniquely diverse perspective attributable to her geographic residency in Asia. Ms. O’Riordan is a leader in digital and innovation strategy. Ms. O’Riordan’s background in advising life sciences companies with respect to significant global markets provides an important contribution to our board’s mix of backgrounds, experiences and skills.</w:t>
      </w: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001C71"/>
        </w:rPr>
        <w:t>BACKGROUND:</w:t>
      </w:r>
    </w:p>
    <w:p>
      <w:pPr>
        <w:spacing w:after="0" w:line="69"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Anne O’Riordan has served as a member of our board since February 2019. Since June 2019, Ms. O’Riordan has served as a Group Director of Digital at Jardine Matheson Limited, a multinational conglomerate, headquartered in Hong Kong, focused on multiple industry segments throughout North and South East Asia. Ms. O’Riordan is a member of the board of directors of Jardine Matheson Limited. From 1990 to March 2019, Ms. O’Riordan worked with Accenture (formerly Andersen Consulting), multinational professional services company, in their Life Sciences practice, where she held various leadership positions in North America (1992-1998), Europe (1998-2007) and Asia Pacific (2007-2014). From 2014 to 2019, she served as the Global Industry Senior Managing Director for Life Sciences responsible for the growth and management of the business across all geographies. In addition, Ms. O’Riordan currently serves on the board of governors of the American Chamber of Commerce in Hong Kong where she serves as the board liaison for the Healthcare Committee. She is on the advisory board of the J.E. Cairns Business School in the University of Galway, Ireland. She is also a long-standing member of the Women’s Foundation and the 30% Club. Ms. O’Riordan holds a B.Sc. in Biotechnology from Dublin City University as well as a postgraduate diploma in Financial Accounting and MIS from the University of Galway.</w:t>
      </w:r>
    </w:p>
    <w:p>
      <w:pPr>
        <w:spacing w:after="0" w:line="200" w:lineRule="exact"/>
        <w:rPr>
          <w:sz w:val="20"/>
          <w:szCs w:val="20"/>
          <w:color w:val="auto"/>
        </w:rPr>
      </w:pPr>
    </w:p>
    <w:p>
      <w:pPr>
        <w:sectPr>
          <w:pgSz w:w="11900" w:h="16838" w:orient="portrait"/>
          <w:cols w:equalWidth="0" w:num="2">
            <w:col w:w="3192" w:space="420"/>
            <w:col w:w="7600"/>
          </w:cols>
          <w:pgMar w:left="328" w:top="110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2"/>
        <w:spacing w:after="0"/>
        <w:rPr>
          <w:sz w:val="20"/>
          <w:szCs w:val="20"/>
          <w:color w:val="auto"/>
        </w:rPr>
      </w:pPr>
      <w:r>
        <w:rPr>
          <w:rFonts w:ascii="Arial" w:cs="Arial" w:eastAsia="Arial" w:hAnsi="Arial"/>
          <w:sz w:val="14"/>
          <w:szCs w:val="14"/>
          <w:color w:val="001C71"/>
        </w:rPr>
        <w:t>DIRECTOR SINCE: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2074545" cy="38150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074545" cy="3815080"/>
                    </a:xfrm>
                    <a:prstGeom prst="rect">
                      <a:avLst/>
                    </a:prstGeom>
                    <a:noFill/>
                  </pic:spPr>
                </pic:pic>
              </a:graphicData>
            </a:graphic>
          </wp:anchor>
        </w:drawing>
      </w:r>
    </w:p>
    <w:p>
      <w:pPr>
        <w:spacing w:after="0" w:line="49" w:lineRule="exact"/>
        <w:rPr>
          <w:sz w:val="20"/>
          <w:szCs w:val="20"/>
          <w:color w:val="auto"/>
        </w:rPr>
      </w:pPr>
    </w:p>
    <w:p>
      <w:pPr>
        <w:ind w:left="132"/>
        <w:spacing w:after="0"/>
        <w:rPr>
          <w:sz w:val="20"/>
          <w:szCs w:val="20"/>
          <w:color w:val="auto"/>
        </w:rPr>
      </w:pPr>
      <w:r>
        <w:rPr>
          <w:rFonts w:ascii="Arial" w:cs="Arial" w:eastAsia="Arial" w:hAnsi="Arial"/>
          <w:sz w:val="14"/>
          <w:szCs w:val="14"/>
          <w:color w:val="001C71"/>
        </w:rPr>
        <w:t>INDEPENDENT</w:t>
      </w:r>
    </w:p>
    <w:p>
      <w:pPr>
        <w:spacing w:after="0" w:line="177" w:lineRule="exact"/>
        <w:rPr>
          <w:sz w:val="20"/>
          <w:szCs w:val="20"/>
          <w:color w:val="auto"/>
        </w:rPr>
      </w:pPr>
    </w:p>
    <w:p>
      <w:pPr>
        <w:ind w:left="132"/>
        <w:spacing w:after="0" w:line="291" w:lineRule="auto"/>
        <w:rPr>
          <w:sz w:val="20"/>
          <w:szCs w:val="20"/>
          <w:color w:val="auto"/>
        </w:rPr>
      </w:pPr>
      <w:r>
        <w:rPr>
          <w:rFonts w:ascii="Arial" w:cs="Arial" w:eastAsia="Arial" w:hAnsi="Arial"/>
          <w:sz w:val="14"/>
          <w:szCs w:val="14"/>
          <w:color w:val="001C71"/>
        </w:rPr>
        <w:t>NOMINATING &amp; CORPORATE GOVERNANCE COMMITTEE</w:t>
      </w:r>
    </w:p>
    <w:p>
      <w:pPr>
        <w:spacing w:after="0" w:line="1" w:lineRule="exact"/>
        <w:rPr>
          <w:sz w:val="20"/>
          <w:szCs w:val="20"/>
          <w:color w:val="auto"/>
        </w:rPr>
      </w:pPr>
    </w:p>
    <w:p>
      <w:pPr>
        <w:ind w:left="132"/>
        <w:spacing w:after="0"/>
        <w:rPr>
          <w:sz w:val="20"/>
          <w:szCs w:val="20"/>
          <w:color w:val="auto"/>
        </w:rPr>
      </w:pPr>
      <w:r>
        <w:rPr>
          <w:rFonts w:ascii="Arial" w:cs="Arial" w:eastAsia="Arial" w:hAnsi="Arial"/>
          <w:sz w:val="14"/>
          <w:szCs w:val="14"/>
          <w:color w:val="auto"/>
        </w:rPr>
        <w:t>(Member)</w:t>
      </w:r>
    </w:p>
    <w:p>
      <w:pPr>
        <w:spacing w:after="0" w:line="177" w:lineRule="exact"/>
        <w:rPr>
          <w:sz w:val="20"/>
          <w:szCs w:val="20"/>
          <w:color w:val="auto"/>
        </w:rPr>
      </w:pPr>
    </w:p>
    <w:p>
      <w:pPr>
        <w:ind w:left="132" w:right="640"/>
        <w:spacing w:after="0" w:line="385" w:lineRule="auto"/>
        <w:rPr>
          <w:sz w:val="20"/>
          <w:szCs w:val="20"/>
          <w:color w:val="auto"/>
        </w:rPr>
      </w:pPr>
      <w:r>
        <w:rPr>
          <w:rFonts w:ascii="Arial" w:cs="Arial" w:eastAsia="Arial" w:hAnsi="Arial"/>
          <w:sz w:val="14"/>
          <w:szCs w:val="14"/>
          <w:color w:val="001C71"/>
        </w:rPr>
        <w:t xml:space="preserve">SCIENCE &amp; MEDICINE COMMITTEE </w:t>
      </w:r>
      <w:r>
        <w:rPr>
          <w:rFonts w:ascii="Arial" w:cs="Arial" w:eastAsia="Arial" w:hAnsi="Arial"/>
          <w:sz w:val="14"/>
          <w:szCs w:val="14"/>
          <w:color w:val="000000"/>
        </w:rPr>
        <w:t>(Member)</w:t>
      </w:r>
    </w:p>
    <w:p>
      <w:pPr>
        <w:spacing w:after="0" w:line="50" w:lineRule="exact"/>
        <w:rPr>
          <w:sz w:val="20"/>
          <w:szCs w:val="20"/>
          <w:color w:val="auto"/>
        </w:rPr>
      </w:pPr>
    </w:p>
    <w:p>
      <w:pPr>
        <w:ind w:left="132"/>
        <w:spacing w:after="0"/>
        <w:rPr>
          <w:sz w:val="20"/>
          <w:szCs w:val="20"/>
          <w:color w:val="auto"/>
        </w:rPr>
      </w:pPr>
      <w:r>
        <w:rPr>
          <w:rFonts w:ascii="Arial" w:cs="Arial" w:eastAsia="Arial" w:hAnsi="Arial"/>
          <w:sz w:val="14"/>
          <w:szCs w:val="14"/>
          <w:color w:val="001C71"/>
        </w:rPr>
        <w:t>KEY SKILLS:</w:t>
      </w:r>
    </w:p>
    <w:p>
      <w:pPr>
        <w:spacing w:after="0" w:line="55" w:lineRule="exact"/>
        <w:rPr>
          <w:sz w:val="20"/>
          <w:szCs w:val="20"/>
          <w:color w:val="auto"/>
        </w:rPr>
      </w:pPr>
    </w:p>
    <w:p>
      <w:pPr>
        <w:ind w:left="132"/>
        <w:spacing w:after="0"/>
        <w:rPr>
          <w:sz w:val="20"/>
          <w:szCs w:val="20"/>
          <w:color w:val="auto"/>
        </w:rPr>
      </w:pPr>
      <w:r>
        <w:rPr>
          <w:rFonts w:ascii="Arial" w:cs="Arial" w:eastAsia="Arial" w:hAnsi="Arial"/>
          <w:sz w:val="14"/>
          <w:szCs w:val="14"/>
          <w:color w:val="auto"/>
        </w:rPr>
        <w:t>Public Company Board Experience</w:t>
      </w:r>
    </w:p>
    <w:p>
      <w:pPr>
        <w:spacing w:after="0" w:line="29" w:lineRule="exact"/>
        <w:rPr>
          <w:sz w:val="20"/>
          <w:szCs w:val="20"/>
          <w:color w:val="auto"/>
        </w:rPr>
      </w:pPr>
    </w:p>
    <w:p>
      <w:pPr>
        <w:ind w:left="132"/>
        <w:spacing w:after="0"/>
        <w:rPr>
          <w:sz w:val="20"/>
          <w:szCs w:val="20"/>
          <w:color w:val="auto"/>
        </w:rPr>
      </w:pPr>
      <w:r>
        <w:rPr>
          <w:rFonts w:ascii="Arial" w:cs="Arial" w:eastAsia="Arial" w:hAnsi="Arial"/>
          <w:sz w:val="14"/>
          <w:szCs w:val="14"/>
          <w:color w:val="auto"/>
        </w:rPr>
        <w:t>C-Suite/Management Experience</w:t>
      </w:r>
    </w:p>
    <w:p>
      <w:pPr>
        <w:spacing w:after="0" w:line="15" w:lineRule="exact"/>
        <w:rPr>
          <w:sz w:val="20"/>
          <w:szCs w:val="20"/>
          <w:color w:val="auto"/>
        </w:rPr>
      </w:pPr>
    </w:p>
    <w:p>
      <w:pPr>
        <w:ind w:left="132"/>
        <w:spacing w:after="0"/>
        <w:rPr>
          <w:sz w:val="20"/>
          <w:szCs w:val="20"/>
          <w:color w:val="auto"/>
        </w:rPr>
      </w:pPr>
      <w:r>
        <w:rPr>
          <w:rFonts w:ascii="Arial" w:cs="Arial" w:eastAsia="Arial" w:hAnsi="Arial"/>
          <w:sz w:val="14"/>
          <w:szCs w:val="14"/>
          <w:color w:val="auto"/>
        </w:rPr>
        <w:t>Industry Expertise</w:t>
      </w:r>
    </w:p>
    <w:p>
      <w:pPr>
        <w:spacing w:after="0" w:line="15" w:lineRule="exact"/>
        <w:rPr>
          <w:sz w:val="20"/>
          <w:szCs w:val="20"/>
          <w:color w:val="auto"/>
        </w:rPr>
      </w:pPr>
    </w:p>
    <w:p>
      <w:pPr>
        <w:ind w:left="132"/>
        <w:spacing w:after="0"/>
        <w:rPr>
          <w:sz w:val="20"/>
          <w:szCs w:val="20"/>
          <w:color w:val="auto"/>
        </w:rPr>
      </w:pPr>
      <w:r>
        <w:rPr>
          <w:rFonts w:ascii="Arial" w:cs="Arial" w:eastAsia="Arial" w:hAnsi="Arial"/>
          <w:sz w:val="14"/>
          <w:szCs w:val="14"/>
          <w:color w:val="auto"/>
        </w:rPr>
        <w:t>Financial Experience</w:t>
      </w:r>
    </w:p>
    <w:p>
      <w:pPr>
        <w:spacing w:after="0" w:line="15" w:lineRule="exact"/>
        <w:rPr>
          <w:sz w:val="20"/>
          <w:szCs w:val="20"/>
          <w:color w:val="auto"/>
        </w:rPr>
      </w:pPr>
    </w:p>
    <w:p>
      <w:pPr>
        <w:ind w:left="132"/>
        <w:spacing w:after="0"/>
        <w:rPr>
          <w:sz w:val="20"/>
          <w:szCs w:val="20"/>
          <w:color w:val="auto"/>
        </w:rPr>
      </w:pPr>
      <w:r>
        <w:rPr>
          <w:rFonts w:ascii="Arial" w:cs="Arial" w:eastAsia="Arial" w:hAnsi="Arial"/>
          <w:sz w:val="14"/>
          <w:szCs w:val="14"/>
          <w:color w:val="auto"/>
        </w:rPr>
        <w:t>Merger and Acquisition/Corporate</w:t>
      </w:r>
    </w:p>
    <w:p>
      <w:pPr>
        <w:spacing w:after="0" w:line="1" w:lineRule="exact"/>
        <w:rPr>
          <w:sz w:val="20"/>
          <w:szCs w:val="20"/>
          <w:color w:val="auto"/>
        </w:rPr>
      </w:pPr>
    </w:p>
    <w:p>
      <w:pPr>
        <w:ind w:left="132"/>
        <w:spacing w:after="0"/>
        <w:rPr>
          <w:sz w:val="20"/>
          <w:szCs w:val="20"/>
          <w:color w:val="auto"/>
        </w:rPr>
      </w:pPr>
      <w:r>
        <w:rPr>
          <w:rFonts w:ascii="Arial" w:cs="Arial" w:eastAsia="Arial" w:hAnsi="Arial"/>
          <w:sz w:val="14"/>
          <w:szCs w:val="14"/>
          <w:color w:val="auto"/>
        </w:rPr>
        <w:t>Development</w:t>
      </w:r>
    </w:p>
    <w:p>
      <w:pPr>
        <w:spacing w:after="0" w:line="15" w:lineRule="exact"/>
        <w:rPr>
          <w:sz w:val="20"/>
          <w:szCs w:val="20"/>
          <w:color w:val="auto"/>
        </w:rPr>
      </w:pPr>
    </w:p>
    <w:p>
      <w:pPr>
        <w:ind w:left="132"/>
        <w:spacing w:after="0"/>
        <w:rPr>
          <w:sz w:val="20"/>
          <w:szCs w:val="20"/>
          <w:color w:val="auto"/>
        </w:rPr>
      </w:pPr>
      <w:r>
        <w:rPr>
          <w:rFonts w:ascii="Arial" w:cs="Arial" w:eastAsia="Arial" w:hAnsi="Arial"/>
          <w:sz w:val="14"/>
          <w:szCs w:val="14"/>
          <w:color w:val="auto"/>
        </w:rPr>
        <w:t>Commercial Experience</w:t>
      </w:r>
    </w:p>
    <w:p>
      <w:pPr>
        <w:spacing w:after="0" w:line="15" w:lineRule="exact"/>
        <w:rPr>
          <w:sz w:val="20"/>
          <w:szCs w:val="20"/>
          <w:color w:val="auto"/>
        </w:rPr>
      </w:pPr>
    </w:p>
    <w:p>
      <w:pPr>
        <w:ind w:left="132"/>
        <w:spacing w:after="0"/>
        <w:rPr>
          <w:sz w:val="20"/>
          <w:szCs w:val="20"/>
          <w:color w:val="auto"/>
        </w:rPr>
      </w:pPr>
      <w:r>
        <w:rPr>
          <w:rFonts w:ascii="Arial" w:cs="Arial" w:eastAsia="Arial" w:hAnsi="Arial"/>
          <w:sz w:val="14"/>
          <w:szCs w:val="14"/>
          <w:color w:val="auto"/>
        </w:rPr>
        <w:t>Scientific Research and Drug</w:t>
      </w:r>
    </w:p>
    <w:p>
      <w:pPr>
        <w:spacing w:after="0" w:line="15" w:lineRule="exact"/>
        <w:rPr>
          <w:sz w:val="20"/>
          <w:szCs w:val="20"/>
          <w:color w:val="auto"/>
        </w:rPr>
      </w:pPr>
    </w:p>
    <w:p>
      <w:pPr>
        <w:ind w:left="132"/>
        <w:spacing w:after="0"/>
        <w:rPr>
          <w:sz w:val="20"/>
          <w:szCs w:val="20"/>
          <w:color w:val="auto"/>
        </w:rPr>
      </w:pPr>
      <w:r>
        <w:rPr>
          <w:rFonts w:ascii="Arial" w:cs="Arial" w:eastAsia="Arial" w:hAnsi="Arial"/>
          <w:sz w:val="14"/>
          <w:szCs w:val="14"/>
          <w:color w:val="auto"/>
        </w:rPr>
        <w:t>Development Experience</w:t>
      </w:r>
    </w:p>
    <w:p>
      <w:pPr>
        <w:spacing w:after="0" w:line="15" w:lineRule="exact"/>
        <w:rPr>
          <w:sz w:val="20"/>
          <w:szCs w:val="20"/>
          <w:color w:val="auto"/>
        </w:rPr>
      </w:pPr>
    </w:p>
    <w:p>
      <w:pPr>
        <w:ind w:left="132"/>
        <w:spacing w:after="0"/>
        <w:rPr>
          <w:sz w:val="20"/>
          <w:szCs w:val="20"/>
          <w:color w:val="auto"/>
        </w:rPr>
      </w:pPr>
      <w:r>
        <w:rPr>
          <w:rFonts w:ascii="Arial" w:cs="Arial" w:eastAsia="Arial" w:hAnsi="Arial"/>
          <w:sz w:val="14"/>
          <w:szCs w:val="14"/>
          <w:color w:val="auto"/>
        </w:rPr>
        <w:t>International Perspective</w:t>
      </w:r>
    </w:p>
    <w:p>
      <w:pPr>
        <w:spacing w:after="0" w:line="1" w:lineRule="exact"/>
        <w:rPr>
          <w:sz w:val="20"/>
          <w:szCs w:val="20"/>
          <w:color w:val="auto"/>
        </w:rPr>
      </w:pPr>
    </w:p>
    <w:p>
      <w:pPr>
        <w:ind w:left="132" w:right="1220"/>
        <w:spacing w:after="0" w:line="284" w:lineRule="auto"/>
        <w:rPr>
          <w:sz w:val="20"/>
          <w:szCs w:val="20"/>
          <w:color w:val="auto"/>
        </w:rPr>
      </w:pPr>
      <w:r>
        <w:rPr>
          <w:rFonts w:ascii="Arial" w:cs="Arial" w:eastAsia="Arial" w:hAnsi="Arial"/>
          <w:sz w:val="14"/>
          <w:szCs w:val="14"/>
          <w:color w:val="auto"/>
        </w:rPr>
        <w:t>Public Policy and Regulation Human Capital</w:t>
      </w:r>
    </w:p>
    <w:p>
      <w:pPr>
        <w:spacing w:after="0" w:line="118" w:lineRule="exact"/>
        <w:rPr>
          <w:sz w:val="20"/>
          <w:szCs w:val="20"/>
          <w:color w:val="auto"/>
        </w:rPr>
      </w:pPr>
    </w:p>
    <w:p>
      <w:pPr>
        <w:ind w:left="132"/>
        <w:spacing w:after="0"/>
        <w:rPr>
          <w:sz w:val="20"/>
          <w:szCs w:val="20"/>
          <w:color w:val="auto"/>
        </w:rPr>
      </w:pPr>
      <w:r>
        <w:rPr>
          <w:rFonts w:ascii="Arial" w:cs="Arial" w:eastAsia="Arial" w:hAnsi="Arial"/>
          <w:sz w:val="14"/>
          <w:szCs w:val="14"/>
          <w:color w:val="001C71"/>
        </w:rPr>
        <w:t>OTHER CURRENT PUBLIC BOARDS:</w:t>
      </w:r>
    </w:p>
    <w:p>
      <w:pPr>
        <w:spacing w:after="0" w:line="69" w:lineRule="exact"/>
        <w:rPr>
          <w:sz w:val="20"/>
          <w:szCs w:val="20"/>
          <w:color w:val="auto"/>
        </w:rPr>
      </w:pPr>
    </w:p>
    <w:p>
      <w:pPr>
        <w:ind w:left="132"/>
        <w:spacing w:after="0"/>
        <w:rPr>
          <w:sz w:val="20"/>
          <w:szCs w:val="20"/>
          <w:color w:val="auto"/>
        </w:rPr>
      </w:pPr>
      <w:r>
        <w:rPr>
          <w:rFonts w:ascii="Arial" w:cs="Arial" w:eastAsia="Arial" w:hAnsi="Arial"/>
          <w:sz w:val="14"/>
          <w:szCs w:val="14"/>
          <w:color w:val="auto"/>
        </w:rPr>
        <w:t>Theravance Biopharma,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6960" w:val="left"/>
        </w:tabs>
        <w:rPr>
          <w:sz w:val="20"/>
          <w:szCs w:val="20"/>
          <w:color w:val="auto"/>
        </w:rPr>
      </w:pPr>
      <w:r>
        <w:rPr>
          <w:rFonts w:ascii="Arial" w:cs="Arial" w:eastAsia="Arial" w:hAnsi="Arial"/>
          <w:sz w:val="20"/>
          <w:szCs w:val="20"/>
          <w:b w:val="1"/>
          <w:bCs w:val="1"/>
          <w:color w:val="001C71"/>
        </w:rPr>
        <w:t>Rick E Winningham</w:t>
      </w:r>
      <w:r>
        <w:rPr>
          <w:sz w:val="20"/>
          <w:szCs w:val="20"/>
          <w:color w:val="auto"/>
        </w:rPr>
        <w:tab/>
      </w:r>
      <w:r>
        <w:rPr>
          <w:rFonts w:ascii="Arial" w:cs="Arial" w:eastAsia="Arial" w:hAnsi="Arial"/>
          <w:sz w:val="14"/>
          <w:szCs w:val="14"/>
          <w:b w:val="1"/>
          <w:bCs w:val="1"/>
          <w:color w:val="001C71"/>
        </w:rPr>
        <w:t xml:space="preserve">Age: </w:t>
      </w:r>
      <w:r>
        <w:rPr>
          <w:rFonts w:ascii="Arial" w:cs="Arial" w:eastAsia="Arial" w:hAnsi="Arial"/>
          <w:sz w:val="14"/>
          <w:szCs w:val="14"/>
          <w:color w:val="001C71"/>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40640</wp:posOffset>
            </wp:positionV>
            <wp:extent cx="4911725" cy="7461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11725" cy="74612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001C71"/>
        </w:rPr>
        <w:t>SPECIFIC EXPERTISE:</w:t>
      </w:r>
    </w:p>
    <w:p>
      <w:pPr>
        <w:spacing w:after="0" w:line="69" w:lineRule="exact"/>
        <w:rPr>
          <w:sz w:val="20"/>
          <w:szCs w:val="20"/>
          <w:color w:val="auto"/>
        </w:rPr>
      </w:pPr>
    </w:p>
    <w:p>
      <w:pPr>
        <w:ind w:right="440"/>
        <w:spacing w:after="0" w:line="303" w:lineRule="auto"/>
        <w:rPr>
          <w:sz w:val="20"/>
          <w:szCs w:val="20"/>
          <w:color w:val="auto"/>
        </w:rPr>
      </w:pPr>
      <w:r>
        <w:rPr>
          <w:rFonts w:ascii="Arial" w:cs="Arial" w:eastAsia="Arial" w:hAnsi="Arial"/>
          <w:sz w:val="14"/>
          <w:szCs w:val="14"/>
          <w:color w:val="auto"/>
        </w:rPr>
        <w:t>Mr. Winningham’s experience in senior management positions in the pharmaceutical industry provides significant industry knowledge and operational and management expertise to our board of directors, along with a deep knowledge of global marketing, commercialization and market access.</w:t>
      </w: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001C71"/>
        </w:rPr>
        <w:t>BACKGROUND:</w:t>
      </w:r>
    </w:p>
    <w:p>
      <w:pPr>
        <w:spacing w:after="0" w:line="69" w:lineRule="exact"/>
        <w:rPr>
          <w:sz w:val="20"/>
          <w:szCs w:val="20"/>
          <w:color w:val="auto"/>
        </w:rPr>
      </w:pPr>
    </w:p>
    <w:p>
      <w:pPr>
        <w:ind w:right="120"/>
        <w:spacing w:after="0" w:line="280" w:lineRule="auto"/>
        <w:rPr>
          <w:sz w:val="20"/>
          <w:szCs w:val="20"/>
          <w:color w:val="auto"/>
        </w:rPr>
      </w:pPr>
      <w:r>
        <w:rPr>
          <w:rFonts w:ascii="Arial" w:cs="Arial" w:eastAsia="Arial" w:hAnsi="Arial"/>
          <w:sz w:val="14"/>
          <w:szCs w:val="14"/>
          <w:color w:val="auto"/>
        </w:rPr>
        <w:t>Rick E Winningham has served as a member of our board since the closing of the Azur Merger in January 2012 and was a director of Jazz Pharmaceuticals, Inc. from 2010 until the closing of the Azur Merger. In May 2014, Mr. Winningham was appointed as Lead Independent Director of our board of directors. Mr. Winningham has served as Chairperson of the board of directors of Theravance Biopharma, Inc., a biopharmaceutical company, since July 2013. He has served as Chief Executive Officer of Theravance Biopharma, Inc. since its spin-off from Theravance, Inc. (now Innoviva, Inc.) in June 2014. From October 2001 to August 2014, Mr. Winningham served as Chief Executive Officer of Theravance, Inc., where he also served as Chairperson of the board of directors from April 2010 to October 2014. From 1997 to 2001, he served as President of Bristol-Myers Squibb Oncology/Immunology/Oncology Therapeutics Network and, from 2000 to 2001, as President of Global Marketing. Mr. Winningham is a member of Biotechnology Industry Organization’s board of directors and serves on the Health Section Governing Board Standing Committee on Reimbursement. He has served as a member of the board of directors of Rivus Pharmaceuticals, Inc., a clinical-stage biopharmaceutical company, since February 2024. He previously served as a member of the board of directors of Retrotope, Inc., a private biotechnology company focused on cell degeneration, from February 2021 to January 2022 and OncoMed Pharmaceuticals, Inc. from June 2015 until the company’s merger with Mereo BioPharma Group plc in April 2019. He also served as a member of the board of directors of the California Healthcare Institute, or CHI, from November 2011 to March 2015 and served as its Chairperson from January 2014 until CHI merged with Bay Area Bioscience Association to become the California Life Sciences Association, or CLSA, in March 2015. Mr. Winningham served on the board of directors of CLSA from March 2015 to July 2023, and served as its Chairperson from March 2015 until November 2015. Mr. Winningham holds an M.B.A. from Texas Christian University and a B.S. from Southern Illinois University.</w:t>
      </w:r>
    </w:p>
    <w:p>
      <w:pPr>
        <w:spacing w:after="0" w:line="200" w:lineRule="exact"/>
        <w:rPr>
          <w:sz w:val="20"/>
          <w:szCs w:val="20"/>
          <w:color w:val="auto"/>
        </w:rPr>
      </w:pPr>
    </w:p>
    <w:p>
      <w:pPr>
        <w:sectPr>
          <w:pgSz w:w="11900" w:h="16838" w:orient="portrait"/>
          <w:cols w:equalWidth="0" w:num="2">
            <w:col w:w="3192" w:space="420"/>
            <w:col w:w="7600"/>
          </w:cols>
          <w:pgMar w:left="328" w:top="110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12" w:hanging="212"/>
        <w:spacing w:after="0"/>
        <w:tabs>
          <w:tab w:leader="none" w:pos="2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service on the board of directors of Jazz Pharmaceuticals, Inc., our predecessor.</w:t>
      </w:r>
    </w:p>
    <w:p>
      <w:pPr>
        <w:sectPr>
          <w:pgSz w:w="11900" w:h="16838" w:orient="portrait"/>
          <w:cols w:equalWidth="0" w:num="1">
            <w:col w:w="11212"/>
          </w:cols>
          <w:pgMar w:left="328" w:top="110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412"/>
        <w:spacing w:after="0"/>
        <w:tabs>
          <w:tab w:leader="none" w:pos="11032" w:val="left"/>
        </w:tabs>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r>
        <w:rPr>
          <w:sz w:val="20"/>
          <w:szCs w:val="20"/>
          <w:color w:val="auto"/>
        </w:rPr>
        <w:tab/>
      </w: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259715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01" w:right="359" w:bottom="1440" w:gutter="0" w:footer="0" w:header="0"/>
          <w:type w:val="continuous"/>
        </w:sectPr>
      </w:pPr>
    </w:p>
    <w:bookmarkStart w:id="25" w:name="page26"/>
    <w:bookmarkEnd w:id="25"/>
    <w:p>
      <w:pPr>
        <w:jc w:val="center"/>
        <w:ind w:right="-79"/>
        <w:spacing w:after="0"/>
        <w:rPr>
          <w:sz w:val="20"/>
          <w:szCs w:val="20"/>
          <w:color w:val="auto"/>
        </w:rPr>
      </w:pPr>
      <w:r>
        <w:rPr>
          <w:rFonts w:ascii="Arial" w:cs="Arial" w:eastAsia="Arial" w:hAnsi="Arial"/>
          <w:sz w:val="32"/>
          <w:szCs w:val="32"/>
          <w:b w:val="1"/>
          <w:bCs w:val="1"/>
          <w:color w:val="852166"/>
        </w:rPr>
        <w:t>CORPORATE GOVERNANCE AND BOARD MATTERS</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Overview</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We are committed to maintaining and enhancing exemplary corporate governance practices for the long-term benefit of our shareholders.</w:t>
      </w:r>
    </w:p>
    <w:p>
      <w:pPr>
        <w:spacing w:after="0" w:line="154" w:lineRule="exact"/>
        <w:rPr>
          <w:sz w:val="20"/>
          <w:szCs w:val="20"/>
          <w:color w:val="auto"/>
        </w:rPr>
      </w:pPr>
    </w:p>
    <w:p>
      <w:pPr>
        <w:ind w:right="520"/>
        <w:spacing w:after="0" w:line="306" w:lineRule="auto"/>
        <w:rPr>
          <w:sz w:val="20"/>
          <w:szCs w:val="20"/>
          <w:color w:val="auto"/>
        </w:rPr>
      </w:pPr>
      <w:r>
        <w:rPr>
          <w:rFonts w:ascii="Arial" w:cs="Arial" w:eastAsia="Arial" w:hAnsi="Arial"/>
          <w:sz w:val="16"/>
          <w:szCs w:val="16"/>
          <w:color w:val="auto"/>
        </w:rPr>
        <w:t>As a part of this commitment, our board has adopted a set of Corporate Governance Guidelines to provide the framework for the governance of our company and to assist our board in the exercise of its responsibilities. This is further supported by our Code of Conduct and committee charters. Our Corporate Governance Guidelines cover, among other topics, board composition, director qualifications and board membership criteria, board share ownership guidelines, and director orientation and education.</w:t>
      </w:r>
    </w:p>
    <w:p>
      <w:pPr>
        <w:spacing w:after="0" w:line="74" w:lineRule="exact"/>
        <w:rPr>
          <w:sz w:val="20"/>
          <w:szCs w:val="20"/>
          <w:color w:val="auto"/>
        </w:rPr>
      </w:pPr>
    </w:p>
    <w:p>
      <w:pPr>
        <w:ind w:right="1300"/>
        <w:spacing w:after="0" w:line="339" w:lineRule="auto"/>
        <w:rPr>
          <w:sz w:val="20"/>
          <w:szCs w:val="20"/>
          <w:color w:val="auto"/>
        </w:rPr>
      </w:pPr>
      <w:r>
        <w:rPr>
          <w:rFonts w:ascii="Arial" w:cs="Arial" w:eastAsia="Arial" w:hAnsi="Arial"/>
          <w:sz w:val="16"/>
          <w:szCs w:val="16"/>
          <w:color w:val="auto"/>
        </w:rPr>
        <w:t>Our corporate governance materials, including our Corporate Governance Guidelines and Code of Conduct, can be found on our website, www.jazzpharmaceuticals.com.</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The highlights of our corporate governance practices include the following:</w:t>
      </w:r>
    </w:p>
    <w:p>
      <w:pPr>
        <w:spacing w:after="0" w:line="154" w:lineRule="exact"/>
        <w:rPr>
          <w:sz w:val="20"/>
          <w:szCs w:val="20"/>
          <w:color w:val="auto"/>
        </w:rPr>
      </w:pPr>
    </w:p>
    <w:p>
      <w:pPr>
        <w:ind w:left="660" w:hanging="328"/>
        <w:spacing w:after="0" w:line="321"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12 out of 13 current directors and 10 out of 11 directors continuing in office after the annual meeting are independent. Ms. Hamill is also considered independent.</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Regular executive sessions of independent directors.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audit, compensation, SMC, and nominating committees are comprised solely of independent directors.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have a diverse board in terms of tenure, residency, gender, race, ethnicity, sexual orientation, experience, and skills.</w:t>
      </w:r>
    </w:p>
    <w:p>
      <w:pPr>
        <w:spacing w:after="0" w:line="140"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hold annual board self-evaluations and periodically use a third party to facilitate the evaluation.</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Risk oversight (as detailed below) is the responsibility of the full board with specific risks designated to certain committees.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board and each committee may engage outside advisors independent of management.</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compensation committee engages an independent compensation consultant.</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have mandated limits for directors on other public company board service.</w:t>
      </w:r>
    </w:p>
    <w:p>
      <w:pPr>
        <w:spacing w:after="0" w:line="140"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 shareholder rights plan, or poison pill, in place.</w:t>
      </w:r>
    </w:p>
    <w:p>
      <w:pPr>
        <w:spacing w:after="0" w:line="153" w:lineRule="exact"/>
        <w:rPr>
          <w:rFonts w:ascii="Arial" w:cs="Arial" w:eastAsia="Arial" w:hAnsi="Arial"/>
          <w:sz w:val="16"/>
          <w:szCs w:val="16"/>
          <w:color w:val="auto"/>
        </w:rPr>
      </w:pPr>
    </w:p>
    <w:p>
      <w:pPr>
        <w:ind w:left="660" w:right="440" w:hanging="328"/>
        <w:spacing w:after="0" w:line="339"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Corporate Governance Guidelines require our nominating committee to consider (and ask any search firm it engages to provide) a set of candidates that includes both underrepresented people of color and different genders when undertaking a search for director candidates.</w:t>
      </w:r>
    </w:p>
    <w:p>
      <w:pPr>
        <w:spacing w:after="0" w:line="47" w:lineRule="exact"/>
        <w:rPr>
          <w:rFonts w:ascii="Arial" w:cs="Arial" w:eastAsia="Arial" w:hAnsi="Arial"/>
          <w:sz w:val="16"/>
          <w:szCs w:val="16"/>
          <w:color w:val="auto"/>
        </w:rPr>
      </w:pPr>
    </w:p>
    <w:p>
      <w:pPr>
        <w:ind w:left="660" w:right="80" w:hanging="328"/>
        <w:spacing w:after="0" w:line="339"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seek annual advisory approval of executive compensation from shareholders; the frequency of such votes is subject to a non-binding advisory vote at this annual meeting.</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shareholders may call extraordinary meetings (as detailed below).</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run a targeted shareholder engagement program.</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have a Lead Independent Director with clearly delineated duties.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have a majority voting standard for elections of directors for a three-year term.</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Share ownership guidelines for directors and executive officers.</w:t>
      </w:r>
    </w:p>
    <w:p>
      <w:pPr>
        <w:spacing w:after="0" w:line="140"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Anti-hedging/pledging policy.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Board Leadership Structure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Mr. Cozadd has served as our chairperson and CEO since the closing of the Azur Merger in January 2012.</w:t>
      </w:r>
    </w:p>
    <w:p>
      <w:pPr>
        <w:spacing w:after="0" w:line="154"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color w:val="auto"/>
        </w:rPr>
        <w:t>Our board believes that combining the role of the chairperson and CEO is in the best interests of our company and its shareholders. Mr. Cozadd’s wealth of commercial and industry experience, together with his unique knowledge of our business, being a founder, means he is best positioned to drive strategic priorities and proactively address strategic risks with our board.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41" w:right="419" w:bottom="1440" w:gutter="0" w:footer="0" w:header="0"/>
        </w:sectPr>
      </w:pPr>
    </w:p>
    <w:bookmarkStart w:id="26" w:name="page27"/>
    <w:bookmarkEnd w:id="26"/>
    <w:p>
      <w:pPr>
        <w:ind w:right="660"/>
        <w:spacing w:after="0" w:line="339" w:lineRule="auto"/>
        <w:rPr>
          <w:sz w:val="20"/>
          <w:szCs w:val="20"/>
          <w:color w:val="auto"/>
        </w:rPr>
      </w:pPr>
      <w:r>
        <w:rPr>
          <w:rFonts w:ascii="Arial" w:cs="Arial" w:eastAsia="Arial" w:hAnsi="Arial"/>
          <w:sz w:val="16"/>
          <w:szCs w:val="16"/>
          <w:color w:val="auto"/>
        </w:rPr>
        <w:t>Together with our Lead Independent Director, this supports unified leadership for our management team and enhances communication between our management team and our board.</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Lead Independent Director</w:t>
      </w:r>
    </w:p>
    <w:p>
      <w:pPr>
        <w:spacing w:after="0" w:line="14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Where the role of chairperson and CEO is held by the same person, our Corporate Governance Guidelines require the independent directors to elect a Lead Independent Director. Rick E Winningham currently serves as our Lead Independent Director. Mr. Winningham has significant public company board experience with strong industry and business acumen. Mr. Winningham plays a critical role in promoting good corporate governance, maintaining board independence, and safeguarding shareholder interests.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Specific roles and responsibilities of the Lead Independent Director, which are detailed in our Corporate Governance Guidelines, include:</w:t>
      </w:r>
    </w:p>
    <w:p>
      <w:pPr>
        <w:spacing w:after="0" w:line="154"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serving as the principal liaison between the independent directors and the chairperson;</w:t>
      </w:r>
    </w:p>
    <w:p>
      <w:pPr>
        <w:spacing w:after="0" w:line="153" w:lineRule="exact"/>
        <w:rPr>
          <w:rFonts w:ascii="Arial" w:cs="Arial" w:eastAsia="Arial" w:hAnsi="Arial"/>
          <w:sz w:val="16"/>
          <w:szCs w:val="16"/>
          <w:color w:val="auto"/>
        </w:rPr>
      </w:pPr>
    </w:p>
    <w:p>
      <w:pPr>
        <w:ind w:left="660" w:right="280" w:hanging="328"/>
        <w:spacing w:after="0" w:line="339"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coordinating the activities of the independent directors, including developing agendas for and presiding at executive sessions of the independent directors;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advising the chairperson on board and committee agendas, meeting schedules and information provided to other directors;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discussing the results of the CEO’s performance evaluation with the chair of our compensation committee; and</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calling meetings of the independent directors of our board, where necessary.</w:t>
      </w:r>
    </w:p>
    <w:p>
      <w:pPr>
        <w:spacing w:after="0" w:line="15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addition to fulfilling the responsibilities of his role as Lead Independent Director, Mr. Winningham attends meetings of committees where he is not a member to remain informed and communicates with the chairperson and CEO on matters involving us on a regular basis, regularly seeks input from other independent directors relating to significant developments affecting us between regular board meetings, attends certain meetings involving strategic portfolio and/or scientific reviews and makes himself available for direct communication with significant shareholders as necessary.</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Classified Board Structure</w:t>
      </w:r>
    </w:p>
    <w:p>
      <w:pPr>
        <w:spacing w:after="0" w:line="144"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color w:val="auto"/>
        </w:rPr>
        <w:t>Our board is divided into three classes, designated Class I, Class II and Class III. Our nominating committee has discussed the shareholder feedback received in relation to our classified board structure and continues to believe that this structure is appropriate for us and remains in the best interests of our shareholders. In particular, our nominating committee believes that the classified board structure:</w:t>
      </w:r>
    </w:p>
    <w:p>
      <w:pPr>
        <w:spacing w:after="0" w:line="70" w:lineRule="exact"/>
        <w:rPr>
          <w:sz w:val="20"/>
          <w:szCs w:val="20"/>
          <w:color w:val="auto"/>
        </w:rPr>
      </w:pPr>
    </w:p>
    <w:p>
      <w:pPr>
        <w:ind w:left="660" w:right="320" w:hanging="328"/>
        <w:spacing w:after="0" w:line="339"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promotes stability and continuity, allowing our board and management to remain focused on our long-term strategy and value generation for our shareholders;</w:t>
      </w:r>
    </w:p>
    <w:p>
      <w:pPr>
        <w:spacing w:after="0" w:line="47" w:lineRule="exact"/>
        <w:rPr>
          <w:rFonts w:ascii="Arial" w:cs="Arial" w:eastAsia="Arial" w:hAnsi="Arial"/>
          <w:sz w:val="16"/>
          <w:szCs w:val="16"/>
          <w:color w:val="auto"/>
        </w:rPr>
      </w:pPr>
    </w:p>
    <w:p>
      <w:pPr>
        <w:ind w:left="660" w:right="40" w:hanging="328"/>
        <w:spacing w:after="0" w:line="321"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preserves the skillset present on our board and allows for the development of its members’ institutional knowledge, which is particularly important in our industry, given the multi-year life cycles of our product development programs; and</w:t>
      </w:r>
    </w:p>
    <w:p>
      <w:pPr>
        <w:spacing w:after="0" w:line="61" w:lineRule="exact"/>
        <w:rPr>
          <w:rFonts w:ascii="Arial" w:cs="Arial" w:eastAsia="Arial" w:hAnsi="Arial"/>
          <w:sz w:val="16"/>
          <w:szCs w:val="16"/>
          <w:color w:val="auto"/>
        </w:rPr>
      </w:pPr>
    </w:p>
    <w:p>
      <w:pPr>
        <w:ind w:left="660" w:right="320" w:hanging="328"/>
        <w:spacing w:after="0" w:line="339"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enhances director independence by decreasing pressures from special interest groups that might have short-term agendas contrary to the long-term interests of our shareholders.</w:t>
      </w:r>
    </w:p>
    <w:p>
      <w:pPr>
        <w:spacing w:after="0" w:line="47" w:lineRule="exact"/>
        <w:rPr>
          <w:sz w:val="20"/>
          <w:szCs w:val="20"/>
          <w:color w:val="auto"/>
        </w:rPr>
      </w:pPr>
    </w:p>
    <w:p>
      <w:pPr>
        <w:ind w:right="580"/>
        <w:spacing w:after="0" w:line="339" w:lineRule="auto"/>
        <w:rPr>
          <w:sz w:val="20"/>
          <w:szCs w:val="20"/>
          <w:color w:val="auto"/>
        </w:rPr>
      </w:pPr>
      <w:r>
        <w:rPr>
          <w:rFonts w:ascii="Arial" w:cs="Arial" w:eastAsia="Arial" w:hAnsi="Arial"/>
          <w:sz w:val="16"/>
          <w:szCs w:val="16"/>
          <w:color w:val="auto"/>
        </w:rPr>
        <w:t>While we recognized that some shareholders may see this structure as an entrenchment risk, we believe this risk is mitigated by the statutory right of shareholders of an Irish incorporated company to remove directors and replace any board vacancies created by such removal under Irish law.</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Independence of our Board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As required under the Nasdaq listing standards, the majority of our board must qualify as “independent,” as affirmatively determined by our board.</w:t>
      </w:r>
    </w:p>
    <w:p>
      <w:pPr>
        <w:spacing w:after="0" w:line="154"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At least annually, our nominating committee consults with counsel to ensure that our board’s determinations are consistent with the applicable Nasdaq and SEC rules and regulations regarding the definition of “independent”.</w:t>
      </w:r>
    </w:p>
    <w:p>
      <w:pPr>
        <w:spacing w:after="0" w:line="61"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auto"/>
        </w:rPr>
        <w:t>Following review of all relevant transactions or relationships between each director, or any of his or her family members, and us, our senior management and our independent registered public accounting firm, our board affirmatively determined that all of our</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406"/>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7" w:name="page28"/>
    <w:bookmarkEnd w:id="27"/>
    <w:p>
      <w:pPr>
        <w:ind w:right="460"/>
        <w:spacing w:after="0" w:line="339" w:lineRule="auto"/>
        <w:rPr>
          <w:sz w:val="20"/>
          <w:szCs w:val="20"/>
          <w:color w:val="auto"/>
        </w:rPr>
      </w:pPr>
      <w:r>
        <w:rPr>
          <w:rFonts w:ascii="Arial" w:cs="Arial" w:eastAsia="Arial" w:hAnsi="Arial"/>
          <w:sz w:val="16"/>
          <w:szCs w:val="16"/>
          <w:color w:val="auto"/>
        </w:rPr>
        <w:t>current directors, other than Mr. Cozadd, are independent within the meaning of the applicable Nasdaq listing standards. Mr. Cozadd is not considered independent by virtue of his employment with us.</w:t>
      </w:r>
    </w:p>
    <w:p>
      <w:pPr>
        <w:spacing w:after="0" w:line="34" w:lineRule="exact"/>
        <w:rPr>
          <w:sz w:val="20"/>
          <w:szCs w:val="20"/>
          <w:color w:val="auto"/>
        </w:rPr>
      </w:pPr>
    </w:p>
    <w:p>
      <w:pPr>
        <w:spacing w:after="0" w:line="319" w:lineRule="auto"/>
        <w:rPr>
          <w:sz w:val="20"/>
          <w:szCs w:val="20"/>
          <w:color w:val="auto"/>
        </w:rPr>
      </w:pPr>
      <w:r>
        <w:rPr>
          <w:rFonts w:ascii="Arial" w:cs="Arial" w:eastAsia="Arial" w:hAnsi="Arial"/>
          <w:sz w:val="16"/>
          <w:szCs w:val="16"/>
          <w:color w:val="auto"/>
        </w:rPr>
        <w:t>In addition, our board has determined that each member of our audit committee, compensation committee and nominating committee meets the applicable Nasdaq and SEC rules and regulations regarding “independence” and that each member is free of any relationship that would impair their individual exercise of independent judgment regarding us.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Director Commitments</w:t>
      </w:r>
    </w:p>
    <w:p>
      <w:pPr>
        <w:spacing w:after="0" w:line="131"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color w:val="auto"/>
        </w:rPr>
        <w:t>Our Corporate Governance Guidelines provide that directors may not serve on more than five public company boards (including our board), and if a director is also the chief executive officer of a public company, that director may not serve on more than three public company boards (including our board).</w:t>
      </w:r>
    </w:p>
    <w:p>
      <w:pPr>
        <w:spacing w:after="0" w:line="47"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auto"/>
        </w:rPr>
        <w:t>In addition, our Corporate Governance Guidelines require directors to seek prior approval from our chairperson, our Lead Independent Director and the chair of our nominating committee before accepting an invitation to serve on any additional boards of directors.</w:t>
      </w:r>
    </w:p>
    <w:p>
      <w:pPr>
        <w:spacing w:after="0" w:line="47"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We monitor our directors’ time commitments throughout the year, and we have determined that, as of the date of this proxy statement, all our directors are currently in compliance with our Corporate Governance Guidelines.</w:t>
      </w:r>
    </w:p>
    <w:p>
      <w:pPr>
        <w:spacing w:after="0" w:line="61" w:lineRule="exact"/>
        <w:rPr>
          <w:sz w:val="20"/>
          <w:szCs w:val="20"/>
          <w:color w:val="auto"/>
        </w:rPr>
      </w:pPr>
    </w:p>
    <w:p>
      <w:pPr>
        <w:ind w:right="660"/>
        <w:spacing w:after="0" w:line="339" w:lineRule="auto"/>
        <w:rPr>
          <w:sz w:val="20"/>
          <w:szCs w:val="20"/>
          <w:color w:val="auto"/>
        </w:rPr>
      </w:pPr>
      <w:r>
        <w:rPr>
          <w:rFonts w:ascii="Arial" w:cs="Arial" w:eastAsia="Arial" w:hAnsi="Arial"/>
          <w:sz w:val="16"/>
          <w:szCs w:val="16"/>
          <w:color w:val="auto"/>
        </w:rPr>
        <w:t>In accordance with our nominating committee charter and the Corporate Governance Guidelines, when performing our annual review of each of our director’s time commitments and service on other companies’ boards, we also review their service on other companies’ board committees.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Board Evaluation</w:t>
      </w:r>
    </w:p>
    <w:p>
      <w:pPr>
        <w:spacing w:after="0" w:line="131"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Our board is committed to conducting a rigorous annual self-evaluation and will periodically engage an independent third-party advisor experienced in corporate governance matters to facilitate, and bring an outside perspective to, our board’s annual self-assessment process. Our board engaged such an advisor in 2023. The scope and structure of the assessment was developed in conjunction with the chairperson, Lead Independent Director, chair of our nominating committee, Chief Legal Officer and Company Secretary. The advisor conducted one-on-one interviews with all board members to provide each director with the opportunity to openly discuss the performance and effectiveness of our board as a whole and its committees and facilitated the identification of areas for improvement.</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Board Refreshment</w:t>
      </w:r>
    </w:p>
    <w:p>
      <w:pPr>
        <w:spacing w:after="0" w:line="144" w:lineRule="exact"/>
        <w:rPr>
          <w:sz w:val="20"/>
          <w:szCs w:val="20"/>
          <w:color w:val="auto"/>
        </w:rPr>
      </w:pPr>
    </w:p>
    <w:p>
      <w:pPr>
        <w:ind w:right="200"/>
        <w:spacing w:after="0" w:line="303" w:lineRule="auto"/>
        <w:rPr>
          <w:sz w:val="20"/>
          <w:szCs w:val="20"/>
          <w:color w:val="auto"/>
        </w:rPr>
      </w:pPr>
      <w:r>
        <w:rPr>
          <w:rFonts w:ascii="Arial" w:cs="Arial" w:eastAsia="Arial" w:hAnsi="Arial"/>
          <w:sz w:val="16"/>
          <w:szCs w:val="16"/>
          <w:color w:val="auto"/>
        </w:rPr>
        <w:t>We believe it is critical that our board has the right skills and experience, while acknowledging the value of fresh and diverse voices in the boardroom. Our nominating committee is responsible for identifying, reviewing and evaluating candidates for our board (including conducting appropriate and necessary inquiries into the backgrounds and qualifications of possible candidates) and it prioritized the discussion and consideration of board refreshment at its meetings throughout 2023. Members of our nominating committee obtain recommendations for potential directors from their and other board members’ contacts. Our nominating committee also engages search firms to assist in identifying potential directors. In February 2024, our nominating committee recommended, and our board resolved, to appoint Patrick Kennedy. In June 2024, our nominating committee recommended Laura J. Hamill as a Class I director nominee.</w:t>
      </w:r>
    </w:p>
    <w:p>
      <w:pPr>
        <w:spacing w:after="0" w:line="62"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Of the director nominees and the continuing directors, our board will have four female directors, four Irish directors (one of whom is a non-Irish resident), one director that identifies as LGBTQ+ and one person of color. In the case of incumbent directors whose terms of office are set to expire, our nominating committee reviews these directors’ overall service to us during their terms, including the number of meetings attended, level of participation, quality of performance and any other relationships and transactions that might impair the directors’ independence, the importance of board refreshment, as well as the results of our board’s self-evaluation, to determine whether to recommend them to our board for nomination for a new term.</w:t>
      </w:r>
    </w:p>
    <w:p>
      <w:pPr>
        <w:spacing w:after="0" w:line="77"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auto"/>
        </w:rPr>
        <w:t>Our nominating committee will consider director candidates recommended by shareholders on a case-by-case basis, as appropriate. Shareholders wishing to recommend individuals for consideration by our nominating committee may do so by delivering a written recommendation to our Company Secretary at Fifth Floor, Waterloo Exchange, Waterloo Road, Dublin 4, Ireland with the candidate’s name, biographical data and qualifications and a document indicating the candidate’s willingness to serve if elected. Our nominating committee does not intend to alter the manner in which it evaluates candidates based on whether the candidate was recommended by a shareholder or not. To date, our nominating committee has not received any such nominations, nor has it rejected a director nominee from a shareholder or shareholders.</w:t>
      </w:r>
    </w:p>
    <w:p>
      <w:pPr>
        <w:spacing w:after="0" w:line="200" w:lineRule="exact"/>
        <w:rPr>
          <w:sz w:val="20"/>
          <w:szCs w:val="20"/>
          <w:color w:val="auto"/>
        </w:rPr>
      </w:pPr>
    </w:p>
    <w:p>
      <w:pPr>
        <w:spacing w:after="0" w:line="369"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28" w:name="page29"/>
    <w:bookmarkEnd w:id="28"/>
    <w:p>
      <w:pPr>
        <w:spacing w:after="0"/>
        <w:rPr>
          <w:sz w:val="20"/>
          <w:szCs w:val="20"/>
          <w:color w:val="auto"/>
        </w:rPr>
      </w:pPr>
      <w:r>
        <w:rPr>
          <w:rFonts w:ascii="Arial" w:cs="Arial" w:eastAsia="Arial" w:hAnsi="Arial"/>
          <w:sz w:val="20"/>
          <w:szCs w:val="20"/>
          <w:b w:val="1"/>
          <w:bCs w:val="1"/>
          <w:color w:val="852166"/>
        </w:rPr>
        <w:t>Committees of our Board</w:t>
      </w:r>
    </w:p>
    <w:p>
      <w:pPr>
        <w:spacing w:after="0" w:line="131" w:lineRule="exact"/>
        <w:rPr>
          <w:sz w:val="20"/>
          <w:szCs w:val="20"/>
          <w:color w:val="auto"/>
        </w:rPr>
      </w:pPr>
    </w:p>
    <w:p>
      <w:pPr>
        <w:ind w:right="860"/>
        <w:spacing w:after="0" w:line="339" w:lineRule="auto"/>
        <w:rPr>
          <w:sz w:val="20"/>
          <w:szCs w:val="20"/>
          <w:color w:val="auto"/>
        </w:rPr>
      </w:pPr>
      <w:r>
        <w:rPr>
          <w:rFonts w:ascii="Arial" w:cs="Arial" w:eastAsia="Arial" w:hAnsi="Arial"/>
          <w:sz w:val="16"/>
          <w:szCs w:val="16"/>
          <w:color w:val="auto"/>
        </w:rPr>
        <w:t>Our board has four standing committees: audit committee, compensation committee, nominating committee and SMC. In addition to our standing committees, we have a transaction committee, which meets on an ad hoc basis when necessary to approve specific transactions.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Board and Committee Information</w:t>
      </w:r>
    </w:p>
    <w:p>
      <w:pPr>
        <w:spacing w:after="0" w:line="158"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During 2023, our board met eight times and acted by written consent once. Each of our directors attended 75% or more of the total meetings of our board and our committees on which they served. All directors attended our 2023 Annual General Meeting.</w:t>
      </w:r>
    </w:p>
    <w:p>
      <w:pPr>
        <w:spacing w:after="0" w:line="61" w:lineRule="exact"/>
        <w:rPr>
          <w:sz w:val="20"/>
          <w:szCs w:val="20"/>
          <w:color w:val="auto"/>
        </w:rPr>
      </w:pPr>
    </w:p>
    <w:p>
      <w:pPr>
        <w:ind w:right="640"/>
        <w:spacing w:after="0" w:line="339" w:lineRule="auto"/>
        <w:rPr>
          <w:sz w:val="20"/>
          <w:szCs w:val="20"/>
          <w:color w:val="auto"/>
        </w:rPr>
      </w:pPr>
      <w:r>
        <w:rPr>
          <w:rFonts w:ascii="Arial" w:cs="Arial" w:eastAsia="Arial" w:hAnsi="Arial"/>
          <w:sz w:val="16"/>
          <w:szCs w:val="16"/>
          <w:color w:val="auto"/>
        </w:rPr>
        <w:t>As required under applicable Nasdaq listing standards, in 2023, the independent directors generally met at each regular board meeting in scheduled executive sessions at which only independent directors were present.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Committee Membership</w:t>
      </w:r>
    </w:p>
    <w:p>
      <w:pPr>
        <w:spacing w:after="0" w:line="127"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color w:val="auto"/>
        </w:rPr>
        <w:t>Our board, with recommendations from our nominating committee, reviews and resolves upon committee membership annually. The following table provides membership information for each committee as of June 1, 2024.</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shd w:val="clear" w:color="auto" w:fill="852166"/>
          </w:tcPr>
          <w:p>
            <w:pPr>
              <w:ind w:left="100"/>
              <w:spacing w:after="0"/>
              <w:rPr>
                <w:sz w:val="20"/>
                <w:szCs w:val="20"/>
                <w:color w:val="auto"/>
              </w:rPr>
            </w:pPr>
            <w:r>
              <w:rPr>
                <w:rFonts w:ascii="Arial" w:cs="Arial" w:eastAsia="Arial" w:hAnsi="Arial"/>
                <w:sz w:val="14"/>
                <w:szCs w:val="14"/>
                <w:b w:val="1"/>
                <w:bCs w:val="1"/>
                <w:color w:val="FFFFFF"/>
              </w:rPr>
              <w:t>Name</w:t>
            </w:r>
          </w:p>
        </w:tc>
        <w:tc>
          <w:tcPr>
            <w:tcW w:w="1060" w:type="dxa"/>
            <w:vAlign w:val="bottom"/>
            <w:shd w:val="clear" w:color="auto" w:fill="852166"/>
          </w:tcPr>
          <w:p>
            <w:pPr>
              <w:jc w:val="center"/>
              <w:ind w:right="220"/>
              <w:spacing w:after="0"/>
              <w:rPr>
                <w:sz w:val="20"/>
                <w:szCs w:val="20"/>
                <w:color w:val="auto"/>
              </w:rPr>
            </w:pPr>
            <w:r>
              <w:rPr>
                <w:rFonts w:ascii="Arial" w:cs="Arial" w:eastAsia="Arial" w:hAnsi="Arial"/>
                <w:sz w:val="14"/>
                <w:szCs w:val="14"/>
                <w:b w:val="1"/>
                <w:bCs w:val="1"/>
                <w:color w:val="FFFFFF"/>
              </w:rPr>
              <w:t>Audit</w:t>
            </w:r>
          </w:p>
        </w:tc>
        <w:tc>
          <w:tcPr>
            <w:tcW w:w="1900" w:type="dxa"/>
            <w:vAlign w:val="bottom"/>
            <w:shd w:val="clear" w:color="auto" w:fill="852166"/>
          </w:tcPr>
          <w:p>
            <w:pPr>
              <w:jc w:val="center"/>
              <w:ind w:left="21"/>
              <w:spacing w:after="0"/>
              <w:rPr>
                <w:sz w:val="20"/>
                <w:szCs w:val="20"/>
                <w:color w:val="auto"/>
              </w:rPr>
            </w:pPr>
            <w:r>
              <w:rPr>
                <w:rFonts w:ascii="Arial" w:cs="Arial" w:eastAsia="Arial" w:hAnsi="Arial"/>
                <w:sz w:val="14"/>
                <w:szCs w:val="14"/>
                <w:b w:val="1"/>
                <w:bCs w:val="1"/>
                <w:color w:val="FFFFFF"/>
              </w:rPr>
              <w:t>Compensation</w:t>
            </w:r>
          </w:p>
        </w:tc>
        <w:tc>
          <w:tcPr>
            <w:tcW w:w="1760" w:type="dxa"/>
            <w:vAlign w:val="bottom"/>
            <w:shd w:val="clear" w:color="auto" w:fill="852166"/>
          </w:tcPr>
          <w:p>
            <w:pPr>
              <w:jc w:val="center"/>
              <w:ind w:right="101"/>
              <w:spacing w:after="0"/>
              <w:rPr>
                <w:sz w:val="20"/>
                <w:szCs w:val="20"/>
                <w:color w:val="auto"/>
              </w:rPr>
            </w:pPr>
            <w:r>
              <w:rPr>
                <w:rFonts w:ascii="Arial" w:cs="Arial" w:eastAsia="Arial" w:hAnsi="Arial"/>
                <w:sz w:val="14"/>
                <w:szCs w:val="14"/>
                <w:b w:val="1"/>
                <w:bCs w:val="1"/>
                <w:color w:val="FFFFFF"/>
              </w:rPr>
              <w:t>Nominating</w:t>
            </w:r>
          </w:p>
        </w:tc>
        <w:tc>
          <w:tcPr>
            <w:tcW w:w="1440" w:type="dxa"/>
            <w:vAlign w:val="bottom"/>
            <w:shd w:val="clear" w:color="auto" w:fill="852166"/>
          </w:tcPr>
          <w:p>
            <w:pPr>
              <w:jc w:val="center"/>
              <w:spacing w:after="0"/>
              <w:rPr>
                <w:sz w:val="20"/>
                <w:szCs w:val="20"/>
                <w:color w:val="auto"/>
              </w:rPr>
            </w:pPr>
            <w:r>
              <w:rPr>
                <w:rFonts w:ascii="Arial" w:cs="Arial" w:eastAsia="Arial" w:hAnsi="Arial"/>
                <w:sz w:val="14"/>
                <w:szCs w:val="14"/>
                <w:b w:val="1"/>
                <w:bCs w:val="1"/>
                <w:color w:val="FFFFFF"/>
              </w:rPr>
              <w:t>SMC</w:t>
            </w:r>
          </w:p>
        </w:tc>
        <w:tc>
          <w:tcPr>
            <w:tcW w:w="1900" w:type="dxa"/>
            <w:vAlign w:val="bottom"/>
            <w:shd w:val="clear" w:color="auto" w:fill="852166"/>
          </w:tcPr>
          <w:p>
            <w:pPr>
              <w:jc w:val="center"/>
              <w:spacing w:after="0"/>
              <w:rPr>
                <w:sz w:val="20"/>
                <w:szCs w:val="20"/>
                <w:color w:val="auto"/>
              </w:rPr>
            </w:pPr>
            <w:r>
              <w:rPr>
                <w:rFonts w:ascii="Arial" w:cs="Arial" w:eastAsia="Arial" w:hAnsi="Arial"/>
                <w:sz w:val="14"/>
                <w:szCs w:val="14"/>
                <w:b w:val="1"/>
                <w:bCs w:val="1"/>
                <w:color w:val="FFFFFF"/>
              </w:rPr>
              <w:t>Transaction</w:t>
            </w:r>
          </w:p>
        </w:tc>
      </w:tr>
      <w:tr>
        <w:trPr>
          <w:trHeight w:val="67"/>
        </w:trPr>
        <w:tc>
          <w:tcPr>
            <w:tcW w:w="3180" w:type="dxa"/>
            <w:vAlign w:val="bottom"/>
            <w:shd w:val="clear" w:color="auto" w:fill="852166"/>
          </w:tcPr>
          <w:p>
            <w:pPr>
              <w:spacing w:after="0"/>
              <w:rPr>
                <w:sz w:val="5"/>
                <w:szCs w:val="5"/>
                <w:color w:val="auto"/>
              </w:rPr>
            </w:pPr>
          </w:p>
        </w:tc>
        <w:tc>
          <w:tcPr>
            <w:tcW w:w="1060" w:type="dxa"/>
            <w:vAlign w:val="bottom"/>
            <w:shd w:val="clear" w:color="auto" w:fill="852166"/>
          </w:tcPr>
          <w:p>
            <w:pPr>
              <w:spacing w:after="0"/>
              <w:rPr>
                <w:sz w:val="5"/>
                <w:szCs w:val="5"/>
                <w:color w:val="auto"/>
              </w:rPr>
            </w:pPr>
          </w:p>
        </w:tc>
        <w:tc>
          <w:tcPr>
            <w:tcW w:w="1900" w:type="dxa"/>
            <w:vAlign w:val="bottom"/>
            <w:shd w:val="clear" w:color="auto" w:fill="852166"/>
          </w:tcPr>
          <w:p>
            <w:pPr>
              <w:spacing w:after="0"/>
              <w:rPr>
                <w:sz w:val="5"/>
                <w:szCs w:val="5"/>
                <w:color w:val="auto"/>
              </w:rPr>
            </w:pPr>
          </w:p>
        </w:tc>
        <w:tc>
          <w:tcPr>
            <w:tcW w:w="1760" w:type="dxa"/>
            <w:vAlign w:val="bottom"/>
            <w:shd w:val="clear" w:color="auto" w:fill="852166"/>
          </w:tcPr>
          <w:p>
            <w:pPr>
              <w:spacing w:after="0"/>
              <w:rPr>
                <w:sz w:val="5"/>
                <w:szCs w:val="5"/>
                <w:color w:val="auto"/>
              </w:rPr>
            </w:pPr>
          </w:p>
        </w:tc>
        <w:tc>
          <w:tcPr>
            <w:tcW w:w="1440" w:type="dxa"/>
            <w:vAlign w:val="bottom"/>
            <w:shd w:val="clear" w:color="auto" w:fill="852166"/>
          </w:tcPr>
          <w:p>
            <w:pPr>
              <w:spacing w:after="0"/>
              <w:rPr>
                <w:sz w:val="5"/>
                <w:szCs w:val="5"/>
                <w:color w:val="auto"/>
              </w:rPr>
            </w:pPr>
          </w:p>
        </w:tc>
        <w:tc>
          <w:tcPr>
            <w:tcW w:w="1900" w:type="dxa"/>
            <w:vAlign w:val="bottom"/>
            <w:shd w:val="clear" w:color="auto" w:fill="852166"/>
          </w:tcPr>
          <w:p>
            <w:pPr>
              <w:spacing w:after="0"/>
              <w:rPr>
                <w:sz w:val="5"/>
                <w:szCs w:val="5"/>
                <w:color w:val="auto"/>
              </w:rPr>
            </w:pPr>
          </w:p>
        </w:tc>
      </w:tr>
      <w:tr>
        <w:trPr>
          <w:trHeight w:val="241"/>
        </w:trPr>
        <w:tc>
          <w:tcPr>
            <w:tcW w:w="3180" w:type="dxa"/>
            <w:vAlign w:val="bottom"/>
          </w:tcPr>
          <w:p>
            <w:pPr>
              <w:ind w:left="100"/>
              <w:spacing w:after="0"/>
              <w:rPr>
                <w:sz w:val="20"/>
                <w:szCs w:val="20"/>
                <w:color w:val="auto"/>
              </w:rPr>
            </w:pPr>
            <w:r>
              <w:rPr>
                <w:rFonts w:ascii="Arial" w:cs="Arial" w:eastAsia="Arial" w:hAnsi="Arial"/>
                <w:sz w:val="14"/>
                <w:szCs w:val="14"/>
                <w:color w:val="auto"/>
              </w:rPr>
              <w:t>Jennifer E. Cook</w:t>
            </w:r>
          </w:p>
        </w:tc>
        <w:tc>
          <w:tcPr>
            <w:tcW w:w="1060" w:type="dxa"/>
            <w:vAlign w:val="bottom"/>
          </w:tcPr>
          <w:p>
            <w:pPr>
              <w:spacing w:after="0"/>
              <w:rPr>
                <w:sz w:val="20"/>
                <w:szCs w:val="20"/>
                <w:color w:val="auto"/>
              </w:rPr>
            </w:pPr>
          </w:p>
        </w:tc>
        <w:tc>
          <w:tcPr>
            <w:tcW w:w="1900" w:type="dxa"/>
            <w:vAlign w:val="bottom"/>
          </w:tcPr>
          <w:p>
            <w:pPr>
              <w:jc w:val="center"/>
              <w:ind w:left="21"/>
              <w:spacing w:after="0"/>
              <w:rPr>
                <w:sz w:val="20"/>
                <w:szCs w:val="20"/>
                <w:color w:val="auto"/>
              </w:rPr>
            </w:pPr>
            <w:r>
              <w:rPr>
                <w:rFonts w:ascii="Arial" w:cs="Arial" w:eastAsia="Arial" w:hAnsi="Arial"/>
                <w:sz w:val="16"/>
                <w:szCs w:val="16"/>
                <w:color w:val="auto"/>
              </w:rPr>
              <w:t>C</w:t>
            </w:r>
          </w:p>
        </w:tc>
        <w:tc>
          <w:tcPr>
            <w:tcW w:w="17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w:t>
            </w:r>
          </w:p>
        </w:tc>
        <w:tc>
          <w:tcPr>
            <w:tcW w:w="1900" w:type="dxa"/>
            <w:vAlign w:val="bottom"/>
          </w:tcPr>
          <w:p>
            <w:pPr>
              <w:spacing w:after="0"/>
              <w:rPr>
                <w:sz w:val="20"/>
                <w:szCs w:val="20"/>
                <w:color w:val="auto"/>
              </w:rPr>
            </w:pPr>
          </w:p>
        </w:tc>
      </w:tr>
      <w:tr>
        <w:trPr>
          <w:trHeight w:val="43"/>
        </w:trPr>
        <w:tc>
          <w:tcPr>
            <w:tcW w:w="3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900" w:type="dxa"/>
            <w:vAlign w:val="bottom"/>
          </w:tcPr>
          <w:p>
            <w:pPr>
              <w:spacing w:after="0"/>
              <w:rPr>
                <w:sz w:val="3"/>
                <w:szCs w:val="3"/>
                <w:color w:val="auto"/>
              </w:rPr>
            </w:pPr>
          </w:p>
        </w:tc>
      </w:tr>
      <w:tr>
        <w:trPr>
          <w:trHeight w:val="263"/>
        </w:trPr>
        <w:tc>
          <w:tcPr>
            <w:tcW w:w="318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14"/>
                <w:szCs w:val="14"/>
                <w:color w:val="auto"/>
              </w:rPr>
              <w:t>Patrick G. Enright</w:t>
            </w:r>
          </w:p>
        </w:tc>
        <w:tc>
          <w:tcPr>
            <w:tcW w:w="1060" w:type="dxa"/>
            <w:vAlign w:val="bottom"/>
            <w:tcBorders>
              <w:bottom w:val="single" w:sz="8" w:color="EAEAEA"/>
            </w:tcBorders>
            <w:shd w:val="clear" w:color="auto" w:fill="EAEAEA"/>
          </w:tcPr>
          <w:p>
            <w:pPr>
              <w:jc w:val="center"/>
              <w:ind w:right="240"/>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EAEAEA"/>
            </w:tcBorders>
            <w:shd w:val="clear" w:color="auto" w:fill="EAEAEA"/>
          </w:tcPr>
          <w:p>
            <w:pPr>
              <w:jc w:val="center"/>
              <w:ind w:left="21"/>
              <w:spacing w:after="0"/>
              <w:rPr>
                <w:sz w:val="20"/>
                <w:szCs w:val="20"/>
                <w:color w:val="auto"/>
              </w:rPr>
            </w:pPr>
            <w:r>
              <w:rPr>
                <w:rFonts w:ascii="Arial" w:cs="Arial" w:eastAsia="Arial" w:hAnsi="Arial"/>
                <w:sz w:val="16"/>
                <w:szCs w:val="16"/>
                <w:color w:val="auto"/>
                <w:w w:val="82"/>
              </w:rPr>
              <w:t>●</w:t>
            </w:r>
          </w:p>
        </w:tc>
        <w:tc>
          <w:tcPr>
            <w:tcW w:w="1760" w:type="dxa"/>
            <w:vAlign w:val="bottom"/>
            <w:tcBorders>
              <w:bottom w:val="single" w:sz="8" w:color="EAEAEA"/>
            </w:tcBorders>
            <w:shd w:val="clear" w:color="auto" w:fill="EAEAEA"/>
          </w:tcPr>
          <w:p>
            <w:pPr>
              <w:spacing w:after="0"/>
              <w:rPr>
                <w:sz w:val="22"/>
                <w:szCs w:val="22"/>
                <w:color w:val="auto"/>
              </w:rPr>
            </w:pPr>
          </w:p>
        </w:tc>
        <w:tc>
          <w:tcPr>
            <w:tcW w:w="1440" w:type="dxa"/>
            <w:vAlign w:val="bottom"/>
            <w:tcBorders>
              <w:bottom w:val="single" w:sz="8" w:color="EAEAEA"/>
            </w:tcBorders>
            <w:shd w:val="clear" w:color="auto" w:fill="EAEAEA"/>
          </w:tcPr>
          <w:p>
            <w:pPr>
              <w:spacing w:after="0"/>
              <w:rPr>
                <w:sz w:val="22"/>
                <w:szCs w:val="22"/>
                <w:color w:val="auto"/>
              </w:rPr>
            </w:pPr>
          </w:p>
        </w:tc>
        <w:tc>
          <w:tcPr>
            <w:tcW w:w="1900" w:type="dxa"/>
            <w:vAlign w:val="bottom"/>
            <w:tcBorders>
              <w:bottom w:val="single" w:sz="8" w:color="EAEAEA"/>
            </w:tcBorders>
            <w:shd w:val="clear" w:color="auto" w:fill="EAEAEA"/>
          </w:tcPr>
          <w:p>
            <w:pPr>
              <w:spacing w:after="0"/>
              <w:rPr>
                <w:sz w:val="22"/>
                <w:szCs w:val="22"/>
                <w:color w:val="auto"/>
              </w:rPr>
            </w:pPr>
          </w:p>
        </w:tc>
      </w:tr>
      <w:tr>
        <w:trPr>
          <w:trHeight w:val="274"/>
        </w:trPr>
        <w:tc>
          <w:tcPr>
            <w:tcW w:w="3180" w:type="dxa"/>
            <w:vAlign w:val="bottom"/>
          </w:tcPr>
          <w:p>
            <w:pPr>
              <w:ind w:left="100"/>
              <w:spacing w:after="0"/>
              <w:rPr>
                <w:sz w:val="20"/>
                <w:szCs w:val="20"/>
                <w:color w:val="auto"/>
              </w:rPr>
            </w:pPr>
            <w:r>
              <w:rPr>
                <w:rFonts w:ascii="Arial" w:cs="Arial" w:eastAsia="Arial" w:hAnsi="Arial"/>
                <w:sz w:val="14"/>
                <w:szCs w:val="14"/>
                <w:color w:val="auto"/>
              </w:rPr>
              <w:t>Peter Gray</w:t>
            </w:r>
            <w:r>
              <w:rPr>
                <w:rFonts w:ascii="Arial" w:cs="Arial" w:eastAsia="Arial" w:hAnsi="Arial"/>
                <w:sz w:val="18"/>
                <w:szCs w:val="18"/>
                <w:color w:val="auto"/>
                <w:vertAlign w:val="superscript"/>
              </w:rPr>
              <w:t>(1)</w:t>
            </w:r>
          </w:p>
        </w:tc>
        <w:tc>
          <w:tcPr>
            <w:tcW w:w="1060" w:type="dxa"/>
            <w:vAlign w:val="bottom"/>
          </w:tcPr>
          <w:p>
            <w:pPr>
              <w:jc w:val="center"/>
              <w:ind w:right="220"/>
              <w:spacing w:after="0"/>
              <w:rPr>
                <w:sz w:val="20"/>
                <w:szCs w:val="20"/>
                <w:color w:val="auto"/>
              </w:rPr>
            </w:pPr>
            <w:r>
              <w:rPr>
                <w:rFonts w:ascii="Arial" w:cs="Arial" w:eastAsia="Arial" w:hAnsi="Arial"/>
                <w:sz w:val="16"/>
                <w:szCs w:val="16"/>
                <w:color w:val="auto"/>
              </w:rPr>
              <w:t>C</w:t>
            </w:r>
          </w:p>
        </w:tc>
        <w:tc>
          <w:tcPr>
            <w:tcW w:w="19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328"/>
        </w:trPr>
        <w:tc>
          <w:tcPr>
            <w:tcW w:w="3180" w:type="dxa"/>
            <w:vAlign w:val="bottom"/>
            <w:shd w:val="clear" w:color="auto" w:fill="EAEAEA"/>
          </w:tcPr>
          <w:p>
            <w:pPr>
              <w:ind w:left="100"/>
              <w:spacing w:after="0"/>
              <w:rPr>
                <w:sz w:val="20"/>
                <w:szCs w:val="20"/>
                <w:color w:val="auto"/>
              </w:rPr>
            </w:pPr>
            <w:r>
              <w:rPr>
                <w:rFonts w:ascii="Arial" w:cs="Arial" w:eastAsia="Arial" w:hAnsi="Arial"/>
                <w:sz w:val="14"/>
                <w:szCs w:val="14"/>
                <w:color w:val="auto"/>
              </w:rPr>
              <w:t>Patrick Kennedy</w:t>
            </w:r>
            <w:r>
              <w:rPr>
                <w:rFonts w:ascii="Arial" w:cs="Arial" w:eastAsia="Arial" w:hAnsi="Arial"/>
                <w:sz w:val="18"/>
                <w:szCs w:val="18"/>
                <w:color w:val="auto"/>
                <w:vertAlign w:val="superscript"/>
              </w:rPr>
              <w:t>(2)</w:t>
            </w:r>
          </w:p>
        </w:tc>
        <w:tc>
          <w:tcPr>
            <w:tcW w:w="1060" w:type="dxa"/>
            <w:vAlign w:val="bottom"/>
            <w:shd w:val="clear" w:color="auto" w:fill="EAEAEA"/>
          </w:tcPr>
          <w:p>
            <w:pPr>
              <w:jc w:val="center"/>
              <w:ind w:right="240"/>
              <w:spacing w:after="0"/>
              <w:rPr>
                <w:sz w:val="20"/>
                <w:szCs w:val="20"/>
                <w:color w:val="auto"/>
              </w:rPr>
            </w:pPr>
            <w:r>
              <w:rPr>
                <w:rFonts w:ascii="Arial" w:cs="Arial" w:eastAsia="Arial" w:hAnsi="Arial"/>
                <w:sz w:val="16"/>
                <w:szCs w:val="16"/>
                <w:color w:val="auto"/>
              </w:rPr>
              <w:t>●</w:t>
            </w:r>
          </w:p>
        </w:tc>
        <w:tc>
          <w:tcPr>
            <w:tcW w:w="1900" w:type="dxa"/>
            <w:vAlign w:val="bottom"/>
            <w:shd w:val="clear" w:color="auto" w:fill="EAEAEA"/>
          </w:tcPr>
          <w:p>
            <w:pPr>
              <w:spacing w:after="0"/>
              <w:rPr>
                <w:sz w:val="24"/>
                <w:szCs w:val="24"/>
                <w:color w:val="auto"/>
              </w:rPr>
            </w:pPr>
          </w:p>
        </w:tc>
        <w:tc>
          <w:tcPr>
            <w:tcW w:w="1760" w:type="dxa"/>
            <w:vAlign w:val="bottom"/>
            <w:shd w:val="clear" w:color="auto" w:fill="EAEAEA"/>
          </w:tcPr>
          <w:p>
            <w:pPr>
              <w:spacing w:after="0"/>
              <w:rPr>
                <w:sz w:val="24"/>
                <w:szCs w:val="24"/>
                <w:color w:val="auto"/>
              </w:rPr>
            </w:pPr>
          </w:p>
        </w:tc>
        <w:tc>
          <w:tcPr>
            <w:tcW w:w="1440" w:type="dxa"/>
            <w:vAlign w:val="bottom"/>
            <w:shd w:val="clear" w:color="auto" w:fill="EAEAEA"/>
          </w:tcPr>
          <w:p>
            <w:pPr>
              <w:spacing w:after="0"/>
              <w:rPr>
                <w:sz w:val="24"/>
                <w:szCs w:val="24"/>
                <w:color w:val="auto"/>
              </w:rPr>
            </w:pPr>
          </w:p>
        </w:tc>
        <w:tc>
          <w:tcPr>
            <w:tcW w:w="1900" w:type="dxa"/>
            <w:vAlign w:val="bottom"/>
            <w:shd w:val="clear" w:color="auto" w:fill="EAEAEA"/>
          </w:tcPr>
          <w:p>
            <w:pPr>
              <w:spacing w:after="0"/>
              <w:rPr>
                <w:sz w:val="24"/>
                <w:szCs w:val="24"/>
                <w:color w:val="auto"/>
              </w:rPr>
            </w:pPr>
          </w:p>
        </w:tc>
      </w:tr>
      <w:tr>
        <w:trPr>
          <w:trHeight w:val="72"/>
        </w:trPr>
        <w:tc>
          <w:tcPr>
            <w:tcW w:w="3180" w:type="dxa"/>
            <w:vAlign w:val="bottom"/>
            <w:shd w:val="clear" w:color="auto" w:fill="EAEAEA"/>
          </w:tcPr>
          <w:p>
            <w:pPr>
              <w:spacing w:after="0"/>
              <w:rPr>
                <w:sz w:val="6"/>
                <w:szCs w:val="6"/>
                <w:color w:val="auto"/>
              </w:rPr>
            </w:pPr>
          </w:p>
        </w:tc>
        <w:tc>
          <w:tcPr>
            <w:tcW w:w="1060" w:type="dxa"/>
            <w:vAlign w:val="bottom"/>
            <w:shd w:val="clear" w:color="auto" w:fill="EAEAEA"/>
          </w:tcPr>
          <w:p>
            <w:pPr>
              <w:spacing w:after="0"/>
              <w:rPr>
                <w:sz w:val="6"/>
                <w:szCs w:val="6"/>
                <w:color w:val="auto"/>
              </w:rPr>
            </w:pPr>
          </w:p>
        </w:tc>
        <w:tc>
          <w:tcPr>
            <w:tcW w:w="1900" w:type="dxa"/>
            <w:vAlign w:val="bottom"/>
            <w:shd w:val="clear" w:color="auto" w:fill="EAEAEA"/>
          </w:tcPr>
          <w:p>
            <w:pPr>
              <w:spacing w:after="0"/>
              <w:rPr>
                <w:sz w:val="6"/>
                <w:szCs w:val="6"/>
                <w:color w:val="auto"/>
              </w:rPr>
            </w:pPr>
          </w:p>
        </w:tc>
        <w:tc>
          <w:tcPr>
            <w:tcW w:w="1760" w:type="dxa"/>
            <w:vAlign w:val="bottom"/>
            <w:shd w:val="clear" w:color="auto" w:fill="EAEAEA"/>
          </w:tcPr>
          <w:p>
            <w:pPr>
              <w:spacing w:after="0"/>
              <w:rPr>
                <w:sz w:val="6"/>
                <w:szCs w:val="6"/>
                <w:color w:val="auto"/>
              </w:rPr>
            </w:pPr>
          </w:p>
        </w:tc>
        <w:tc>
          <w:tcPr>
            <w:tcW w:w="1440" w:type="dxa"/>
            <w:vAlign w:val="bottom"/>
            <w:shd w:val="clear" w:color="auto" w:fill="EAEAEA"/>
          </w:tcPr>
          <w:p>
            <w:pPr>
              <w:spacing w:after="0"/>
              <w:rPr>
                <w:sz w:val="6"/>
                <w:szCs w:val="6"/>
                <w:color w:val="auto"/>
              </w:rPr>
            </w:pPr>
          </w:p>
        </w:tc>
        <w:tc>
          <w:tcPr>
            <w:tcW w:w="1900" w:type="dxa"/>
            <w:vAlign w:val="bottom"/>
            <w:shd w:val="clear" w:color="auto" w:fill="EAEAEA"/>
          </w:tcPr>
          <w:p>
            <w:pPr>
              <w:spacing w:after="0"/>
              <w:rPr>
                <w:sz w:val="6"/>
                <w:szCs w:val="6"/>
                <w:color w:val="auto"/>
              </w:rPr>
            </w:pPr>
          </w:p>
        </w:tc>
      </w:tr>
      <w:tr>
        <w:trPr>
          <w:trHeight w:val="241"/>
        </w:trPr>
        <w:tc>
          <w:tcPr>
            <w:tcW w:w="3180" w:type="dxa"/>
            <w:vAlign w:val="bottom"/>
          </w:tcPr>
          <w:p>
            <w:pPr>
              <w:ind w:left="100"/>
              <w:spacing w:after="0"/>
              <w:rPr>
                <w:sz w:val="20"/>
                <w:szCs w:val="20"/>
                <w:color w:val="auto"/>
              </w:rPr>
            </w:pPr>
            <w:r>
              <w:rPr>
                <w:rFonts w:ascii="Arial" w:cs="Arial" w:eastAsia="Arial" w:hAnsi="Arial"/>
                <w:sz w:val="14"/>
                <w:szCs w:val="14"/>
                <w:color w:val="auto"/>
              </w:rPr>
              <w:t>Heather Ann McSharry</w:t>
            </w:r>
          </w:p>
        </w:tc>
        <w:tc>
          <w:tcPr>
            <w:tcW w:w="1060" w:type="dxa"/>
            <w:vAlign w:val="bottom"/>
          </w:tcPr>
          <w:p>
            <w:pPr>
              <w:jc w:val="center"/>
              <w:ind w:right="240"/>
              <w:spacing w:after="0"/>
              <w:rPr>
                <w:sz w:val="20"/>
                <w:szCs w:val="20"/>
                <w:color w:val="auto"/>
              </w:rPr>
            </w:pPr>
            <w:r>
              <w:rPr>
                <w:rFonts w:ascii="Arial" w:cs="Arial" w:eastAsia="Arial" w:hAnsi="Arial"/>
                <w:sz w:val="16"/>
                <w:szCs w:val="16"/>
                <w:color w:val="auto"/>
              </w:rPr>
              <w:t>●</w:t>
            </w:r>
          </w:p>
        </w:tc>
        <w:tc>
          <w:tcPr>
            <w:tcW w:w="1900" w:type="dxa"/>
            <w:vAlign w:val="bottom"/>
          </w:tcPr>
          <w:p>
            <w:pPr>
              <w:spacing w:after="0"/>
              <w:rPr>
                <w:sz w:val="20"/>
                <w:szCs w:val="20"/>
                <w:color w:val="auto"/>
              </w:rPr>
            </w:pPr>
          </w:p>
        </w:tc>
        <w:tc>
          <w:tcPr>
            <w:tcW w:w="1760" w:type="dxa"/>
            <w:vAlign w:val="bottom"/>
          </w:tcPr>
          <w:p>
            <w:pPr>
              <w:jc w:val="center"/>
              <w:ind w:right="121"/>
              <w:spacing w:after="0"/>
              <w:rPr>
                <w:sz w:val="20"/>
                <w:szCs w:val="20"/>
                <w:color w:val="auto"/>
              </w:rPr>
            </w:pPr>
            <w:r>
              <w:rPr>
                <w:rFonts w:ascii="Arial" w:cs="Arial" w:eastAsia="Arial" w:hAnsi="Arial"/>
                <w:sz w:val="16"/>
                <w:szCs w:val="16"/>
                <w:color w:val="auto"/>
              </w:rPr>
              <w:t>C</w:t>
            </w:r>
          </w:p>
        </w:tc>
        <w:tc>
          <w:tcPr>
            <w:tcW w:w="144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43"/>
        </w:trPr>
        <w:tc>
          <w:tcPr>
            <w:tcW w:w="3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900" w:type="dxa"/>
            <w:vAlign w:val="bottom"/>
          </w:tcPr>
          <w:p>
            <w:pPr>
              <w:spacing w:after="0"/>
              <w:rPr>
                <w:sz w:val="3"/>
                <w:szCs w:val="3"/>
                <w:color w:val="auto"/>
              </w:rPr>
            </w:pPr>
          </w:p>
        </w:tc>
      </w:tr>
      <w:tr>
        <w:trPr>
          <w:trHeight w:val="264"/>
        </w:trPr>
        <w:tc>
          <w:tcPr>
            <w:tcW w:w="318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14"/>
                <w:szCs w:val="14"/>
                <w:color w:val="auto"/>
              </w:rPr>
              <w:t>Seamus Mulligan</w:t>
            </w:r>
          </w:p>
        </w:tc>
        <w:tc>
          <w:tcPr>
            <w:tcW w:w="1060" w:type="dxa"/>
            <w:vAlign w:val="bottom"/>
            <w:tcBorders>
              <w:bottom w:val="single" w:sz="8" w:color="EAEAEA"/>
            </w:tcBorders>
            <w:shd w:val="clear" w:color="auto" w:fill="EAEAEA"/>
          </w:tcPr>
          <w:p>
            <w:pPr>
              <w:spacing w:after="0"/>
              <w:rPr>
                <w:sz w:val="22"/>
                <w:szCs w:val="22"/>
                <w:color w:val="auto"/>
              </w:rPr>
            </w:pPr>
          </w:p>
        </w:tc>
        <w:tc>
          <w:tcPr>
            <w:tcW w:w="1900" w:type="dxa"/>
            <w:vAlign w:val="bottom"/>
            <w:tcBorders>
              <w:bottom w:val="single" w:sz="8" w:color="EAEAEA"/>
            </w:tcBorders>
            <w:shd w:val="clear" w:color="auto" w:fill="EAEAEA"/>
          </w:tcPr>
          <w:p>
            <w:pPr>
              <w:spacing w:after="0"/>
              <w:rPr>
                <w:sz w:val="22"/>
                <w:szCs w:val="22"/>
                <w:color w:val="auto"/>
              </w:rPr>
            </w:pPr>
          </w:p>
        </w:tc>
        <w:tc>
          <w:tcPr>
            <w:tcW w:w="1760" w:type="dxa"/>
            <w:vAlign w:val="bottom"/>
            <w:tcBorders>
              <w:bottom w:val="single" w:sz="8" w:color="EAEAEA"/>
            </w:tcBorders>
            <w:shd w:val="clear" w:color="auto" w:fill="EAEAEA"/>
          </w:tcPr>
          <w:p>
            <w:pPr>
              <w:spacing w:after="0"/>
              <w:rPr>
                <w:sz w:val="22"/>
                <w:szCs w:val="22"/>
                <w:color w:val="auto"/>
              </w:rPr>
            </w:pPr>
          </w:p>
        </w:tc>
        <w:tc>
          <w:tcPr>
            <w:tcW w:w="144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6"/>
                <w:szCs w:val="16"/>
                <w:color w:val="auto"/>
              </w:rPr>
              <w:t>C</w:t>
            </w:r>
          </w:p>
        </w:tc>
      </w:tr>
      <w:tr>
        <w:trPr>
          <w:trHeight w:val="241"/>
        </w:trPr>
        <w:tc>
          <w:tcPr>
            <w:tcW w:w="3180" w:type="dxa"/>
            <w:vAlign w:val="bottom"/>
          </w:tcPr>
          <w:p>
            <w:pPr>
              <w:ind w:left="100"/>
              <w:spacing w:after="0"/>
              <w:rPr>
                <w:sz w:val="20"/>
                <w:szCs w:val="20"/>
                <w:color w:val="auto"/>
              </w:rPr>
            </w:pPr>
            <w:r>
              <w:rPr>
                <w:rFonts w:ascii="Arial" w:cs="Arial" w:eastAsia="Arial" w:hAnsi="Arial"/>
                <w:sz w:val="14"/>
                <w:szCs w:val="14"/>
                <w:color w:val="auto"/>
              </w:rPr>
              <w:t>Kenneth W. O’Keefe</w:t>
            </w:r>
          </w:p>
        </w:tc>
        <w:tc>
          <w:tcPr>
            <w:tcW w:w="1060" w:type="dxa"/>
            <w:vAlign w:val="bottom"/>
          </w:tcPr>
          <w:p>
            <w:pPr>
              <w:jc w:val="center"/>
              <w:ind w:right="240"/>
              <w:spacing w:after="0"/>
              <w:rPr>
                <w:sz w:val="20"/>
                <w:szCs w:val="20"/>
                <w:color w:val="auto"/>
              </w:rPr>
            </w:pPr>
            <w:r>
              <w:rPr>
                <w:rFonts w:ascii="Arial" w:cs="Arial" w:eastAsia="Arial" w:hAnsi="Arial"/>
                <w:sz w:val="16"/>
                <w:szCs w:val="16"/>
                <w:color w:val="auto"/>
              </w:rPr>
              <w:t>●</w:t>
            </w:r>
          </w:p>
        </w:tc>
        <w:tc>
          <w:tcPr>
            <w:tcW w:w="19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2"/>
        </w:trPr>
        <w:tc>
          <w:tcPr>
            <w:tcW w:w="3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900" w:type="dxa"/>
            <w:vAlign w:val="bottom"/>
          </w:tcPr>
          <w:p>
            <w:pPr>
              <w:spacing w:after="0"/>
              <w:rPr>
                <w:sz w:val="3"/>
                <w:szCs w:val="3"/>
                <w:color w:val="auto"/>
              </w:rPr>
            </w:pPr>
          </w:p>
        </w:tc>
      </w:tr>
      <w:tr>
        <w:trPr>
          <w:trHeight w:val="264"/>
        </w:trPr>
        <w:tc>
          <w:tcPr>
            <w:tcW w:w="318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14"/>
                <w:szCs w:val="14"/>
                <w:color w:val="auto"/>
              </w:rPr>
              <w:t>Anne O’Riordan</w:t>
            </w:r>
          </w:p>
        </w:tc>
        <w:tc>
          <w:tcPr>
            <w:tcW w:w="1060" w:type="dxa"/>
            <w:vAlign w:val="bottom"/>
            <w:tcBorders>
              <w:bottom w:val="single" w:sz="8" w:color="EAEAEA"/>
            </w:tcBorders>
            <w:shd w:val="clear" w:color="auto" w:fill="EAEAEA"/>
          </w:tcPr>
          <w:p>
            <w:pPr>
              <w:jc w:val="center"/>
              <w:ind w:right="240"/>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EAEAEA"/>
            </w:tcBorders>
            <w:shd w:val="clear" w:color="auto" w:fill="EAEAEA"/>
          </w:tcPr>
          <w:p>
            <w:pPr>
              <w:spacing w:after="0"/>
              <w:rPr>
                <w:sz w:val="22"/>
                <w:szCs w:val="22"/>
                <w:color w:val="auto"/>
              </w:rPr>
            </w:pPr>
          </w:p>
        </w:tc>
        <w:tc>
          <w:tcPr>
            <w:tcW w:w="1760" w:type="dxa"/>
            <w:vAlign w:val="bottom"/>
            <w:tcBorders>
              <w:bottom w:val="single" w:sz="8" w:color="EAEAEA"/>
            </w:tcBorders>
            <w:shd w:val="clear" w:color="auto" w:fill="EAEAEA"/>
          </w:tcPr>
          <w:p>
            <w:pPr>
              <w:jc w:val="center"/>
              <w:ind w:right="101"/>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EAEAEA"/>
            </w:tcBorders>
            <w:shd w:val="clear" w:color="auto" w:fill="EAEAEA"/>
          </w:tcPr>
          <w:p>
            <w:pPr>
              <w:spacing w:after="0"/>
              <w:rPr>
                <w:sz w:val="22"/>
                <w:szCs w:val="22"/>
                <w:color w:val="auto"/>
              </w:rPr>
            </w:pPr>
          </w:p>
        </w:tc>
        <w:tc>
          <w:tcPr>
            <w:tcW w:w="1900" w:type="dxa"/>
            <w:vAlign w:val="bottom"/>
            <w:tcBorders>
              <w:bottom w:val="single" w:sz="8" w:color="EAEAEA"/>
            </w:tcBorders>
            <w:shd w:val="clear" w:color="auto" w:fill="EAEAEA"/>
          </w:tcPr>
          <w:p>
            <w:pPr>
              <w:spacing w:after="0"/>
              <w:rPr>
                <w:sz w:val="22"/>
                <w:szCs w:val="22"/>
                <w:color w:val="auto"/>
              </w:rPr>
            </w:pPr>
          </w:p>
        </w:tc>
      </w:tr>
      <w:tr>
        <w:trPr>
          <w:trHeight w:val="241"/>
        </w:trPr>
        <w:tc>
          <w:tcPr>
            <w:tcW w:w="3180" w:type="dxa"/>
            <w:vAlign w:val="bottom"/>
          </w:tcPr>
          <w:p>
            <w:pPr>
              <w:ind w:left="100"/>
              <w:spacing w:after="0"/>
              <w:rPr>
                <w:sz w:val="20"/>
                <w:szCs w:val="20"/>
                <w:color w:val="auto"/>
              </w:rPr>
            </w:pPr>
            <w:r>
              <w:rPr>
                <w:rFonts w:ascii="Arial" w:cs="Arial" w:eastAsia="Arial" w:hAnsi="Arial"/>
                <w:sz w:val="14"/>
                <w:szCs w:val="14"/>
                <w:color w:val="auto"/>
              </w:rPr>
              <w:t>Norbert G. Riedel, Ph.D.</w:t>
            </w:r>
          </w:p>
        </w:tc>
        <w:tc>
          <w:tcPr>
            <w:tcW w:w="1060" w:type="dxa"/>
            <w:vAlign w:val="bottom"/>
          </w:tcPr>
          <w:p>
            <w:pPr>
              <w:spacing w:after="0"/>
              <w:rPr>
                <w:sz w:val="20"/>
                <w:szCs w:val="20"/>
                <w:color w:val="auto"/>
              </w:rPr>
            </w:pPr>
          </w:p>
        </w:tc>
        <w:tc>
          <w:tcPr>
            <w:tcW w:w="1900" w:type="dxa"/>
            <w:vAlign w:val="bottom"/>
          </w:tcPr>
          <w:p>
            <w:pPr>
              <w:jc w:val="center"/>
              <w:ind w:left="21"/>
              <w:spacing w:after="0"/>
              <w:rPr>
                <w:sz w:val="20"/>
                <w:szCs w:val="20"/>
                <w:color w:val="auto"/>
              </w:rPr>
            </w:pPr>
            <w:r>
              <w:rPr>
                <w:rFonts w:ascii="Arial" w:cs="Arial" w:eastAsia="Arial" w:hAnsi="Arial"/>
                <w:sz w:val="16"/>
                <w:szCs w:val="16"/>
                <w:color w:val="auto"/>
                <w:w w:val="82"/>
              </w:rPr>
              <w:t>●</w:t>
            </w:r>
          </w:p>
        </w:tc>
        <w:tc>
          <w:tcPr>
            <w:tcW w:w="17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C</w:t>
            </w:r>
          </w:p>
        </w:tc>
        <w:tc>
          <w:tcPr>
            <w:tcW w:w="1900" w:type="dxa"/>
            <w:vAlign w:val="bottom"/>
          </w:tcPr>
          <w:p>
            <w:pPr>
              <w:spacing w:after="0"/>
              <w:rPr>
                <w:sz w:val="20"/>
                <w:szCs w:val="20"/>
                <w:color w:val="auto"/>
              </w:rPr>
            </w:pPr>
          </w:p>
        </w:tc>
      </w:tr>
      <w:tr>
        <w:trPr>
          <w:trHeight w:val="43"/>
        </w:trPr>
        <w:tc>
          <w:tcPr>
            <w:tcW w:w="3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900" w:type="dxa"/>
            <w:vAlign w:val="bottom"/>
          </w:tcPr>
          <w:p>
            <w:pPr>
              <w:spacing w:after="0"/>
              <w:rPr>
                <w:sz w:val="3"/>
                <w:szCs w:val="3"/>
                <w:color w:val="auto"/>
              </w:rPr>
            </w:pPr>
          </w:p>
        </w:tc>
      </w:tr>
      <w:tr>
        <w:trPr>
          <w:trHeight w:val="264"/>
        </w:trPr>
        <w:tc>
          <w:tcPr>
            <w:tcW w:w="318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14"/>
                <w:szCs w:val="14"/>
                <w:color w:val="auto"/>
              </w:rPr>
              <w:t>Mark D. Smith, M.D.</w:t>
            </w:r>
          </w:p>
        </w:tc>
        <w:tc>
          <w:tcPr>
            <w:tcW w:w="1060" w:type="dxa"/>
            <w:vAlign w:val="bottom"/>
            <w:tcBorders>
              <w:bottom w:val="single" w:sz="8" w:color="EAEAEA"/>
            </w:tcBorders>
            <w:shd w:val="clear" w:color="auto" w:fill="EAEAEA"/>
          </w:tcPr>
          <w:p>
            <w:pPr>
              <w:spacing w:after="0"/>
              <w:rPr>
                <w:sz w:val="22"/>
                <w:szCs w:val="22"/>
                <w:color w:val="auto"/>
              </w:rPr>
            </w:pPr>
          </w:p>
        </w:tc>
        <w:tc>
          <w:tcPr>
            <w:tcW w:w="1900" w:type="dxa"/>
            <w:vAlign w:val="bottom"/>
            <w:tcBorders>
              <w:bottom w:val="single" w:sz="8" w:color="EAEAEA"/>
            </w:tcBorders>
            <w:shd w:val="clear" w:color="auto" w:fill="EAEAEA"/>
          </w:tcPr>
          <w:p>
            <w:pPr>
              <w:spacing w:after="0"/>
              <w:rPr>
                <w:sz w:val="22"/>
                <w:szCs w:val="22"/>
                <w:color w:val="auto"/>
              </w:rPr>
            </w:pPr>
          </w:p>
        </w:tc>
        <w:tc>
          <w:tcPr>
            <w:tcW w:w="1760" w:type="dxa"/>
            <w:vAlign w:val="bottom"/>
            <w:tcBorders>
              <w:bottom w:val="single" w:sz="8" w:color="EAEAEA"/>
            </w:tcBorders>
            <w:shd w:val="clear" w:color="auto" w:fill="EAEAEA"/>
          </w:tcPr>
          <w:p>
            <w:pPr>
              <w:jc w:val="center"/>
              <w:ind w:right="101"/>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EAEAEA"/>
            </w:tcBorders>
            <w:shd w:val="clear" w:color="auto" w:fill="EAEAEA"/>
          </w:tcPr>
          <w:p>
            <w:pPr>
              <w:spacing w:after="0"/>
              <w:rPr>
                <w:sz w:val="22"/>
                <w:szCs w:val="22"/>
                <w:color w:val="auto"/>
              </w:rPr>
            </w:pPr>
          </w:p>
        </w:tc>
      </w:tr>
      <w:tr>
        <w:trPr>
          <w:trHeight w:val="274"/>
        </w:trPr>
        <w:tc>
          <w:tcPr>
            <w:tcW w:w="3180" w:type="dxa"/>
            <w:vAlign w:val="bottom"/>
          </w:tcPr>
          <w:p>
            <w:pPr>
              <w:ind w:left="100"/>
              <w:spacing w:after="0"/>
              <w:rPr>
                <w:sz w:val="20"/>
                <w:szCs w:val="20"/>
                <w:color w:val="auto"/>
              </w:rPr>
            </w:pPr>
            <w:r>
              <w:rPr>
                <w:rFonts w:ascii="Arial" w:cs="Arial" w:eastAsia="Arial" w:hAnsi="Arial"/>
                <w:sz w:val="14"/>
                <w:szCs w:val="14"/>
                <w:color w:val="auto"/>
              </w:rPr>
              <w:t>Catherine A. Sohn, Pharm.D.</w:t>
            </w:r>
            <w:r>
              <w:rPr>
                <w:rFonts w:ascii="Arial" w:cs="Arial" w:eastAsia="Arial" w:hAnsi="Arial"/>
                <w:sz w:val="18"/>
                <w:szCs w:val="18"/>
                <w:color w:val="auto"/>
                <w:vertAlign w:val="superscript"/>
              </w:rPr>
              <w:t>(3)</w:t>
            </w:r>
          </w:p>
        </w:tc>
        <w:tc>
          <w:tcPr>
            <w:tcW w:w="1060" w:type="dxa"/>
            <w:vAlign w:val="bottom"/>
          </w:tcPr>
          <w:p>
            <w:pPr>
              <w:spacing w:after="0"/>
              <w:rPr>
                <w:sz w:val="23"/>
                <w:szCs w:val="23"/>
                <w:color w:val="auto"/>
              </w:rPr>
            </w:pPr>
          </w:p>
        </w:tc>
        <w:tc>
          <w:tcPr>
            <w:tcW w:w="1900" w:type="dxa"/>
            <w:vAlign w:val="bottom"/>
          </w:tcPr>
          <w:p>
            <w:pPr>
              <w:jc w:val="center"/>
              <w:ind w:left="21"/>
              <w:spacing w:after="0"/>
              <w:rPr>
                <w:sz w:val="20"/>
                <w:szCs w:val="20"/>
                <w:color w:val="auto"/>
              </w:rPr>
            </w:pPr>
            <w:r>
              <w:rPr>
                <w:rFonts w:ascii="Arial" w:cs="Arial" w:eastAsia="Arial" w:hAnsi="Arial"/>
                <w:sz w:val="16"/>
                <w:szCs w:val="16"/>
                <w:color w:val="auto"/>
                <w:w w:val="82"/>
              </w:rPr>
              <w:t>●</w:t>
            </w:r>
          </w:p>
        </w:tc>
        <w:tc>
          <w:tcPr>
            <w:tcW w:w="176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w:t>
            </w:r>
          </w:p>
        </w:tc>
        <w:tc>
          <w:tcPr>
            <w:tcW w:w="1900" w:type="dxa"/>
            <w:vAlign w:val="bottom"/>
          </w:tcPr>
          <w:p>
            <w:pPr>
              <w:spacing w:after="0"/>
              <w:rPr>
                <w:sz w:val="23"/>
                <w:szCs w:val="23"/>
                <w:color w:val="auto"/>
              </w:rPr>
            </w:pPr>
          </w:p>
        </w:tc>
      </w:tr>
      <w:tr>
        <w:trPr>
          <w:trHeight w:val="298"/>
        </w:trPr>
        <w:tc>
          <w:tcPr>
            <w:tcW w:w="318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14"/>
                <w:szCs w:val="14"/>
                <w:color w:val="auto"/>
              </w:rPr>
              <w:t>Rick E Winningham</w:t>
            </w:r>
          </w:p>
        </w:tc>
        <w:tc>
          <w:tcPr>
            <w:tcW w:w="1060" w:type="dxa"/>
            <w:vAlign w:val="bottom"/>
            <w:tcBorders>
              <w:bottom w:val="single" w:sz="8" w:color="EAEAEA"/>
            </w:tcBorders>
            <w:shd w:val="clear" w:color="auto" w:fill="EAEAEA"/>
          </w:tcPr>
          <w:p>
            <w:pPr>
              <w:spacing w:after="0"/>
              <w:rPr>
                <w:sz w:val="24"/>
                <w:szCs w:val="24"/>
                <w:color w:val="auto"/>
              </w:rPr>
            </w:pPr>
          </w:p>
        </w:tc>
        <w:tc>
          <w:tcPr>
            <w:tcW w:w="1900" w:type="dxa"/>
            <w:vAlign w:val="bottom"/>
            <w:tcBorders>
              <w:bottom w:val="single" w:sz="8" w:color="EAEAEA"/>
            </w:tcBorders>
            <w:shd w:val="clear" w:color="auto" w:fill="EAEAEA"/>
          </w:tcPr>
          <w:p>
            <w:pPr>
              <w:spacing w:after="0"/>
              <w:rPr>
                <w:sz w:val="24"/>
                <w:szCs w:val="24"/>
                <w:color w:val="auto"/>
              </w:rPr>
            </w:pPr>
          </w:p>
        </w:tc>
        <w:tc>
          <w:tcPr>
            <w:tcW w:w="1760" w:type="dxa"/>
            <w:vAlign w:val="bottom"/>
            <w:tcBorders>
              <w:bottom w:val="single" w:sz="8" w:color="EAEAEA"/>
            </w:tcBorders>
            <w:shd w:val="clear" w:color="auto" w:fill="EAEAEA"/>
          </w:tcPr>
          <w:p>
            <w:pPr>
              <w:jc w:val="center"/>
              <w:ind w:right="101"/>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EAEAEA"/>
            </w:tcBorders>
            <w:shd w:val="clear" w:color="auto" w:fill="EAEAEA"/>
          </w:tcPr>
          <w:p>
            <w:pPr>
              <w:spacing w:after="0"/>
              <w:rPr>
                <w:sz w:val="24"/>
                <w:szCs w:val="24"/>
                <w:color w:val="auto"/>
              </w:rPr>
            </w:pPr>
          </w:p>
        </w:tc>
      </w:tr>
      <w:tr>
        <w:trPr>
          <w:trHeight w:val="310"/>
        </w:trPr>
        <w:tc>
          <w:tcPr>
            <w:tcW w:w="3180" w:type="dxa"/>
            <w:vAlign w:val="bottom"/>
            <w:tcBorders>
              <w:top w:val="single" w:sz="8" w:color="852166"/>
            </w:tcBorders>
          </w:tcPr>
          <w:p>
            <w:pPr>
              <w:spacing w:after="0"/>
              <w:rPr>
                <w:sz w:val="20"/>
                <w:szCs w:val="20"/>
                <w:color w:val="auto"/>
              </w:rPr>
            </w:pPr>
            <w:r>
              <w:rPr>
                <w:rFonts w:ascii="Arial" w:cs="Arial" w:eastAsia="Arial" w:hAnsi="Arial"/>
                <w:sz w:val="14"/>
                <w:szCs w:val="14"/>
                <w:color w:val="auto"/>
              </w:rPr>
              <w:t>C = committee chair   ● = committee member</w:t>
            </w:r>
          </w:p>
        </w:tc>
        <w:tc>
          <w:tcPr>
            <w:tcW w:w="1060" w:type="dxa"/>
            <w:vAlign w:val="bottom"/>
            <w:tcBorders>
              <w:top w:val="single" w:sz="8" w:color="852166"/>
            </w:tcBorders>
          </w:tcPr>
          <w:p>
            <w:pPr>
              <w:spacing w:after="0"/>
              <w:rPr>
                <w:sz w:val="24"/>
                <w:szCs w:val="24"/>
                <w:color w:val="auto"/>
              </w:rPr>
            </w:pPr>
          </w:p>
        </w:tc>
        <w:tc>
          <w:tcPr>
            <w:tcW w:w="1900" w:type="dxa"/>
            <w:vAlign w:val="bottom"/>
            <w:tcBorders>
              <w:top w:val="single" w:sz="8" w:color="852166"/>
            </w:tcBorders>
          </w:tcPr>
          <w:p>
            <w:pPr>
              <w:spacing w:after="0"/>
              <w:rPr>
                <w:sz w:val="24"/>
                <w:szCs w:val="24"/>
                <w:color w:val="auto"/>
              </w:rPr>
            </w:pPr>
          </w:p>
        </w:tc>
        <w:tc>
          <w:tcPr>
            <w:tcW w:w="1760" w:type="dxa"/>
            <w:vAlign w:val="bottom"/>
            <w:tcBorders>
              <w:top w:val="single" w:sz="8" w:color="852166"/>
            </w:tcBorders>
          </w:tcPr>
          <w:p>
            <w:pPr>
              <w:spacing w:after="0"/>
              <w:rPr>
                <w:sz w:val="24"/>
                <w:szCs w:val="24"/>
                <w:color w:val="auto"/>
              </w:rPr>
            </w:pPr>
          </w:p>
        </w:tc>
        <w:tc>
          <w:tcPr>
            <w:tcW w:w="1440" w:type="dxa"/>
            <w:vAlign w:val="bottom"/>
            <w:tcBorders>
              <w:top w:val="single" w:sz="8" w:color="852166"/>
            </w:tcBorders>
          </w:tcPr>
          <w:p>
            <w:pPr>
              <w:spacing w:after="0"/>
              <w:rPr>
                <w:sz w:val="24"/>
                <w:szCs w:val="24"/>
                <w:color w:val="auto"/>
              </w:rPr>
            </w:pPr>
          </w:p>
        </w:tc>
        <w:tc>
          <w:tcPr>
            <w:tcW w:w="1900" w:type="dxa"/>
            <w:vAlign w:val="bottom"/>
            <w:tcBorders>
              <w:top w:val="single" w:sz="8" w:color="852166"/>
            </w:tcBorders>
          </w:tcPr>
          <w:p>
            <w:pPr>
              <w:spacing w:after="0"/>
              <w:rPr>
                <w:sz w:val="24"/>
                <w:szCs w:val="24"/>
                <w:color w:val="auto"/>
              </w:rPr>
            </w:pPr>
          </w:p>
        </w:tc>
      </w:tr>
    </w:tbl>
    <w:p>
      <w:pPr>
        <w:spacing w:after="0" w:line="53"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Mr. Gray is not standing for re-election at the annual meeting and his term of office as a director will expire at the annual meeting.</w:t>
      </w:r>
    </w:p>
    <w:p>
      <w:pPr>
        <w:spacing w:after="0" w:line="82" w:lineRule="exact"/>
        <w:rPr>
          <w:rFonts w:ascii="Arial" w:cs="Arial" w:eastAsia="Arial" w:hAnsi="Arial"/>
          <w:sz w:val="14"/>
          <w:szCs w:val="14"/>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Mr. Kennedy was appointed to our board and joined our audit committee effective as of March 1, 2024.</w:t>
      </w:r>
    </w:p>
    <w:p>
      <w:pPr>
        <w:spacing w:after="0" w:line="82" w:lineRule="exact"/>
        <w:rPr>
          <w:rFonts w:ascii="Arial" w:cs="Arial" w:eastAsia="Arial" w:hAnsi="Arial"/>
          <w:sz w:val="14"/>
          <w:szCs w:val="14"/>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Dr. Sohn is not standing for re-election at the annual meeting and her term of office as a director will expire at the annual meeting.</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Audit Committee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primary responsibilities of our audit committee include:</w:t>
      </w:r>
    </w:p>
    <w:p>
      <w:pPr>
        <w:spacing w:after="0" w:line="154"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evaluating the performance of and assessing the qualifications of our independent auditors;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determining and approving the engagement and remuneration of our independent auditors;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determining whether to retain or terminate our existing independent auditors or to appoint and engage new independent auditors;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determining and approving the engagement of our independent auditors to perform any proposed permissible non-audit services;</w:t>
      </w:r>
    </w:p>
    <w:p>
      <w:pPr>
        <w:spacing w:after="0" w:line="140"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monitoring the rotation of partners of the independent auditors on our audit engagement team as required by applicable laws and rules;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39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29" w:name="page30"/>
    <w:bookmarkEnd w:id="29"/>
    <w:p>
      <w:pPr>
        <w:ind w:left="660" w:right="420" w:hanging="328"/>
        <w:spacing w:after="0" w:line="339"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reviewing and advising on the selection and removal of our head of our internal audit function, the activities and organizational structure of our internal audit function and the results of internal audit activities;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reviewing and approving our internal audit charter at least annually and our annual internal audit plan and budget;</w:t>
      </w:r>
    </w:p>
    <w:p>
      <w:pPr>
        <w:spacing w:after="0" w:line="153" w:lineRule="exact"/>
        <w:rPr>
          <w:rFonts w:ascii="Arial" w:cs="Arial" w:eastAsia="Arial" w:hAnsi="Arial"/>
          <w:sz w:val="16"/>
          <w:szCs w:val="16"/>
          <w:color w:val="auto"/>
        </w:rPr>
      </w:pPr>
    </w:p>
    <w:p>
      <w:pPr>
        <w:ind w:left="660" w:hanging="328"/>
        <w:spacing w:after="0" w:line="319"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meeting to review our annual audited financial statements, our quarterly financial statements and our financial press releases with management and the independent auditors, including reviewing our disclosures under “Management’s Discussion and Analysis of Financial Condition and Results of Operations” included in our annual and quarterly reports filed with the SEC;</w:t>
      </w:r>
    </w:p>
    <w:p>
      <w:pPr>
        <w:spacing w:after="0" w:line="62"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reviewing, overseeing and approving transactions between us and any related persons;</w:t>
      </w:r>
    </w:p>
    <w:p>
      <w:pPr>
        <w:spacing w:after="0" w:line="140" w:lineRule="exact"/>
        <w:rPr>
          <w:rFonts w:ascii="Arial" w:cs="Arial" w:eastAsia="Arial" w:hAnsi="Arial"/>
          <w:sz w:val="16"/>
          <w:szCs w:val="16"/>
          <w:color w:val="auto"/>
        </w:rPr>
      </w:pPr>
    </w:p>
    <w:p>
      <w:pPr>
        <w:ind w:left="660" w:right="440" w:hanging="328"/>
        <w:spacing w:after="0" w:line="339"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conferring with management, our internal audit function and our independent auditors regarding the scope, adequacy and effectiveness of our internal control over financial reporting;</w:t>
      </w:r>
    </w:p>
    <w:p>
      <w:pPr>
        <w:spacing w:after="0" w:line="47" w:lineRule="exact"/>
        <w:rPr>
          <w:rFonts w:ascii="Arial" w:cs="Arial" w:eastAsia="Arial" w:hAnsi="Arial"/>
          <w:sz w:val="16"/>
          <w:szCs w:val="16"/>
          <w:color w:val="auto"/>
        </w:rPr>
      </w:pPr>
    </w:p>
    <w:p>
      <w:pPr>
        <w:ind w:left="660" w:right="420" w:hanging="328"/>
        <w:spacing w:after="0" w:line="319"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reviewing with management, our internal audit function and our independent auditors, as appropriate, major financial risk exposures, including reviewing, evaluating and approving our hedging and other financial risk management policies, as well as the steps taken by management to monitor and control these exposures;</w:t>
      </w:r>
    </w:p>
    <w:p>
      <w:pPr>
        <w:spacing w:after="0" w:line="49" w:lineRule="exact"/>
        <w:rPr>
          <w:rFonts w:ascii="Arial" w:cs="Arial" w:eastAsia="Arial" w:hAnsi="Arial"/>
          <w:sz w:val="16"/>
          <w:szCs w:val="16"/>
          <w:color w:val="auto"/>
        </w:rPr>
      </w:pPr>
    </w:p>
    <w:p>
      <w:pPr>
        <w:ind w:left="660" w:right="100" w:hanging="328"/>
        <w:spacing w:after="0" w:line="319"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establishing procedures, when and as required under applicable laws and rules, for the receipt, retention and treatment of any complaints received by us regarding accounting, internal accounting controls or auditing matters and the confidential and anonymous submission by employees of concerns regarding questionable accounting or auditing matters; and</w:t>
      </w:r>
    </w:p>
    <w:p>
      <w:pPr>
        <w:spacing w:after="0" w:line="62" w:lineRule="exact"/>
        <w:rPr>
          <w:rFonts w:ascii="Arial" w:cs="Arial" w:eastAsia="Arial" w:hAnsi="Arial"/>
          <w:sz w:val="16"/>
          <w:szCs w:val="16"/>
          <w:color w:val="auto"/>
        </w:rPr>
      </w:pPr>
    </w:p>
    <w:p>
      <w:pPr>
        <w:ind w:left="660" w:right="220" w:hanging="328"/>
        <w:spacing w:after="0" w:line="339"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reviewing with management our information security (including cybersecurity) risk exposures and the steps taken by management to monitor and mitigate these exposures.</w:t>
      </w:r>
    </w:p>
    <w:p>
      <w:pPr>
        <w:spacing w:after="0" w:line="34" w:lineRule="exact"/>
        <w:rPr>
          <w:sz w:val="20"/>
          <w:szCs w:val="20"/>
          <w:color w:val="auto"/>
        </w:rPr>
      </w:pPr>
    </w:p>
    <w:p>
      <w:pPr>
        <w:ind w:right="320"/>
        <w:spacing w:after="0" w:line="319" w:lineRule="auto"/>
        <w:rPr>
          <w:sz w:val="20"/>
          <w:szCs w:val="20"/>
          <w:color w:val="auto"/>
        </w:rPr>
      </w:pPr>
      <w:r>
        <w:rPr>
          <w:rFonts w:ascii="Arial" w:cs="Arial" w:eastAsia="Arial" w:hAnsi="Arial"/>
          <w:sz w:val="16"/>
          <w:szCs w:val="16"/>
          <w:color w:val="auto"/>
        </w:rPr>
        <w:t>Our board has determined that each of Mr. Gray, Mr. Enright, Mr. Kennedy, Ms. McSharry, Mr. O’Keefe and Ms. O’Riordan meets the independence requirements of Rule 10A-3 of the Securities Exchange Act of 1934, as amended, or the Exchange Act, and the Nasdaq listing standards with respect to audit committee members.</w:t>
      </w:r>
    </w:p>
    <w:p>
      <w:pPr>
        <w:spacing w:after="0" w:line="6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Our board has also determined that each of Mr. Gray, Mr. Enright, Mr. Kennedy, Ms. McSharry and Mr. O’Keefe qualifies as an “audit committee financial expert” within the meaning of SEC regulations. In making this determination, our board considered the overall knowledge, experience and familiarity of each with accounting matters, analyzing and evaluating financial statements, and, in the case of Mr. O’Keefe, managing private equity investments, and, in the case of Mr. Enright, managing venture capital investments.</w:t>
      </w:r>
    </w:p>
    <w:p>
      <w:pPr>
        <w:spacing w:after="0" w:line="74" w:lineRule="exact"/>
        <w:rPr>
          <w:sz w:val="20"/>
          <w:szCs w:val="20"/>
          <w:color w:val="auto"/>
        </w:rPr>
      </w:pPr>
    </w:p>
    <w:p>
      <w:pPr>
        <w:ind w:right="200"/>
        <w:spacing w:after="0" w:line="339" w:lineRule="auto"/>
        <w:rPr>
          <w:sz w:val="20"/>
          <w:szCs w:val="20"/>
          <w:color w:val="auto"/>
        </w:rPr>
      </w:pPr>
      <w:r>
        <w:rPr>
          <w:rFonts w:ascii="Arial" w:cs="Arial" w:eastAsia="Arial" w:hAnsi="Arial"/>
          <w:sz w:val="16"/>
          <w:szCs w:val="16"/>
          <w:color w:val="auto"/>
        </w:rPr>
        <w:t>During 2023, our audit committee met four times. Our audit committee also had a number of informal discussions and consultations with one another, with our Chief Financial Officer, our Chief Accounting Officer and our Head of Internal Audit and with Mr. Cozadd during 2023.</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Our Audit Committee is governed by an annually reviewed, board approved Charter, which is available on our website, jazzpharmaceuticals.com.</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Compensation and Management Development Committee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primary responsibilities of our compensation committee include:</w:t>
      </w:r>
    </w:p>
    <w:p>
      <w:pPr>
        <w:spacing w:after="0" w:line="154"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reviewing, modifying (as needed) and approving overall compensation strategy and policies;</w:t>
      </w:r>
    </w:p>
    <w:p>
      <w:pPr>
        <w:spacing w:after="0" w:line="153" w:lineRule="exact"/>
        <w:rPr>
          <w:rFonts w:ascii="Arial" w:cs="Arial" w:eastAsia="Arial" w:hAnsi="Arial"/>
          <w:sz w:val="16"/>
          <w:szCs w:val="16"/>
          <w:color w:val="auto"/>
        </w:rPr>
      </w:pPr>
    </w:p>
    <w:p>
      <w:pPr>
        <w:ind w:left="660" w:right="500" w:hanging="328"/>
        <w:spacing w:after="0" w:line="321"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recommending to our board for determination and approval the compensation and other terms of employment of our CEO and evaluating our CEO’s performance in light of relevant goals and objectives;</w:t>
      </w:r>
    </w:p>
    <w:p>
      <w:pPr>
        <w:spacing w:after="0" w:line="61" w:lineRule="exact"/>
        <w:rPr>
          <w:rFonts w:ascii="Arial" w:cs="Arial" w:eastAsia="Arial" w:hAnsi="Arial"/>
          <w:sz w:val="16"/>
          <w:szCs w:val="16"/>
          <w:color w:val="auto"/>
        </w:rPr>
      </w:pPr>
    </w:p>
    <w:p>
      <w:pPr>
        <w:ind w:left="660" w:right="80" w:hanging="328"/>
        <w:spacing w:after="0" w:line="339"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reviewing and approving the goals and objectives of our other executive officers and determining and approving the compensation and other terms of employment of these executive officers, as appropriate;</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reviewing and recommending to our board the type and amount of compensation to be paid or awarded to the members of our board;</w:t>
      </w:r>
    </w:p>
    <w:p>
      <w:pPr>
        <w:spacing w:after="0" w:line="140" w:lineRule="exact"/>
        <w:rPr>
          <w:rFonts w:ascii="Arial" w:cs="Arial" w:eastAsia="Arial" w:hAnsi="Arial"/>
          <w:sz w:val="16"/>
          <w:szCs w:val="16"/>
          <w:color w:val="auto"/>
        </w:rPr>
      </w:pPr>
    </w:p>
    <w:p>
      <w:pPr>
        <w:ind w:left="660" w:right="120" w:hanging="328"/>
        <w:spacing w:after="0" w:line="339"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having the full power and authority of our board regarding the adoption, amendment and termination of our compensation plans and programs and administering these plans and programs;</w:t>
      </w:r>
    </w:p>
    <w:p>
      <w:pPr>
        <w:spacing w:after="0" w:line="200" w:lineRule="exact"/>
        <w:rPr>
          <w:sz w:val="20"/>
          <w:szCs w:val="20"/>
          <w:color w:val="auto"/>
        </w:rPr>
      </w:pPr>
    </w:p>
    <w:p>
      <w:pPr>
        <w:spacing w:after="0" w:line="338"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0" w:name="page31"/>
    <w:bookmarkEnd w:id="30"/>
    <w:p>
      <w:pPr>
        <w:ind w:left="660" w:right="520" w:hanging="328"/>
        <w:spacing w:after="0" w:line="339"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having direct responsibility for appointing, and providing compensation and oversight of the work of, any compensation consultants and other advisors retained by our compensation committee and considering the independence of each such advisor;</w:t>
      </w:r>
    </w:p>
    <w:p>
      <w:pPr>
        <w:spacing w:after="0" w:line="33" w:lineRule="exact"/>
        <w:rPr>
          <w:rFonts w:ascii="Arial" w:cs="Arial" w:eastAsia="Arial" w:hAnsi="Arial"/>
          <w:sz w:val="16"/>
          <w:szCs w:val="16"/>
          <w:color w:val="auto"/>
        </w:rPr>
      </w:pPr>
    </w:p>
    <w:p>
      <w:pPr>
        <w:ind w:left="660" w:right="100" w:hanging="328"/>
        <w:spacing w:after="0" w:line="339"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reviewing our practices and policies of employee compensation as they relate to risk management and risk-taking incentives, to determine whether such compensation policies and practices are reasonably likely to have a material adverse effect on us;</w:t>
      </w:r>
    </w:p>
    <w:p>
      <w:pPr>
        <w:spacing w:after="0" w:line="47" w:lineRule="exact"/>
        <w:rPr>
          <w:rFonts w:ascii="Arial" w:cs="Arial" w:eastAsia="Arial" w:hAnsi="Arial"/>
          <w:sz w:val="16"/>
          <w:szCs w:val="16"/>
          <w:color w:val="auto"/>
        </w:rPr>
      </w:pPr>
    </w:p>
    <w:p>
      <w:pPr>
        <w:ind w:left="660" w:right="80" w:hanging="328"/>
        <w:spacing w:after="0" w:line="339"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periodically reviewing with our CEO the plans for succession to the offices of our executive officers and making recommendations to our board with respect to the selection of appropriate individuals to succeed to these positions; and</w:t>
      </w:r>
    </w:p>
    <w:p>
      <w:pPr>
        <w:spacing w:after="0" w:line="47" w:lineRule="exact"/>
        <w:rPr>
          <w:rFonts w:ascii="Arial" w:cs="Arial" w:eastAsia="Arial" w:hAnsi="Arial"/>
          <w:sz w:val="16"/>
          <w:szCs w:val="16"/>
          <w:color w:val="auto"/>
        </w:rPr>
      </w:pPr>
    </w:p>
    <w:p>
      <w:pPr>
        <w:ind w:left="660" w:right="320" w:hanging="328"/>
        <w:spacing w:after="0" w:line="321"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reviewing and discussing with management our disclosures contained under the caption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in our annual proxy statement.</w:t>
      </w:r>
    </w:p>
    <w:p>
      <w:pPr>
        <w:spacing w:after="0" w:line="61" w:lineRule="exact"/>
        <w:rPr>
          <w:sz w:val="20"/>
          <w:szCs w:val="20"/>
          <w:color w:val="auto"/>
        </w:rPr>
      </w:pPr>
    </w:p>
    <w:p>
      <w:pPr>
        <w:ind w:right="220"/>
        <w:spacing w:after="0" w:line="303" w:lineRule="auto"/>
        <w:rPr>
          <w:sz w:val="20"/>
          <w:szCs w:val="20"/>
          <w:color w:val="auto"/>
        </w:rPr>
      </w:pPr>
      <w:r>
        <w:rPr>
          <w:rFonts w:ascii="Arial" w:cs="Arial" w:eastAsia="Arial" w:hAnsi="Arial"/>
          <w:sz w:val="16"/>
          <w:szCs w:val="16"/>
          <w:color w:val="auto"/>
        </w:rPr>
        <w:t>Each member of our compensation committee meets the independence requirements of the Nasdaq listing standards with respect to compensation committee members. In determining whether Mr. Enright, Dr. Riedel, Dr. Sohn and Ms. Cook are independent within the meaning of the Nasdaq listing standards pertaining to compensation committee membership, our board determined, based on its consideration of factors specifically relevant to determining whether any such director has a relationship to us that is material to that director’s ability to be independent from management in connection with the duties of a compensation committee member, that no member of our compensation committee has a relationship that would impair that member’s ability to make independent judgments about compensation of our executive officers.</w:t>
      </w:r>
    </w:p>
    <w:p>
      <w:pPr>
        <w:spacing w:after="0" w:line="78"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color w:val="auto"/>
        </w:rPr>
        <w:t>Our compensation committee met five times during 2023. Our compensation committee is governed by an annually reviewed, board approved charter, which is available on our website, www.jazzpharmaceuticals.com.</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Compensation Committee Processes and Procedures</w:t>
      </w:r>
    </w:p>
    <w:p>
      <w:pPr>
        <w:spacing w:after="0" w:line="131"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color w:val="auto"/>
        </w:rPr>
        <w:t>Our compensation committee meets as often as it determines necessary to carry out its duties and responsibilities through regularly scheduled meetings and, if necessary, special meetings. The agenda for each compensation committee meeting is usually developed by members of our human resources department and our CEO with input from members of our legal department, and is reviewed and finalized with the chair of our compensation committee. Members of our human resources department also attend compensation committee meetings. From time to time, various other members of management and other employees as well as outside advisors or consultants may be invited by our compensation committee to make presentations, provide financial or other background information or advice or otherwise participate in our compensation committee meetings.</w:t>
      </w:r>
    </w:p>
    <w:p>
      <w:pPr>
        <w:spacing w:after="0" w:line="7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In making executive compensation determinations (other than for our CEO), our compensation committee considers recommendations from our CEO. In making his recommendations, our CEO receives input from our human resources department and from the individuals who manage or report directly to the other executive officers, and he reviews various third party compensation surveys and compensation data provided by the independent compensation consultant to our compensation committee, as described in the section of this proxy statement entitled </w:t>
      </w:r>
      <w:r>
        <w:rPr>
          <w:rFonts w:ascii="Arial" w:cs="Arial" w:eastAsia="Arial" w:hAnsi="Arial"/>
          <w:sz w:val="16"/>
          <w:szCs w:val="16"/>
          <w:i w:val="1"/>
          <w:iCs w:val="1"/>
          <w:color w:val="auto"/>
        </w:rPr>
        <w:t>“Executive Compensation—Compensation Discussion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Analysis.” </w:t>
      </w:r>
      <w:r>
        <w:rPr>
          <w:rFonts w:ascii="Arial" w:cs="Arial" w:eastAsia="Arial" w:hAnsi="Arial"/>
          <w:sz w:val="16"/>
          <w:szCs w:val="16"/>
          <w:color w:val="auto"/>
        </w:rPr>
        <w:t>While our CEO discusses his recommendations for the other executive officers with our compensation committee, he does not participate in</w:t>
      </w:r>
      <w:r>
        <w:rPr>
          <w:rFonts w:ascii="Arial" w:cs="Arial" w:eastAsia="Arial" w:hAnsi="Arial"/>
          <w:sz w:val="16"/>
          <w:szCs w:val="16"/>
          <w:i w:val="1"/>
          <w:iCs w:val="1"/>
          <w:color w:val="auto"/>
        </w:rPr>
        <w:t xml:space="preserve"> </w:t>
      </w:r>
      <w:r>
        <w:rPr>
          <w:rFonts w:ascii="Arial" w:cs="Arial" w:eastAsia="Arial" w:hAnsi="Arial"/>
          <w:sz w:val="16"/>
          <w:szCs w:val="16"/>
          <w:color w:val="auto"/>
        </w:rPr>
        <w:t>the deliberations and recommendations to our board concerning, or our board’s determination of, his own compensation. The charter of our compensation committee grants our compensation committee full access to all of our books, records, facilities and personnel, as well as authority to obtain, at our expense, advice and assistance from compensation consultants and internal and external legal, accounting or other advisors and consultants and other external resources that our compensation committee considers necessary or appropriate in the performance of its duties. In particular, our compensation committee has the authority, in its sole discretion, to retain or obtain, at our expense, compensation consultants to assist in its evaluation of executive compensation, and is directly responsible for the appointment, compensation and oversight of the work of its compensation consultants. Our compensation committee engages an independent compensation consultant each year to provide a competitive compensation assessment with respect to the executive officers to assist our compensation committee in making annual compensation decisions. Since 2010, Aon’s Human Capital Solutions practice, a division of Aon plc, or Aon, has been engaged by our compensation committee each year to provide peer company and industry compensation data and provide our compensation committee with advice regarding executive officers’ compensation, including base salaries, performance-based bonuses and long-term equity compensation, and similar advice regarding non-employee director compensation.</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407"/>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1" w:name="page32"/>
    <w:bookmarkEnd w:id="31"/>
    <w:p>
      <w:pPr>
        <w:ind w:right="100"/>
        <w:spacing w:after="0" w:line="306" w:lineRule="auto"/>
        <w:rPr>
          <w:sz w:val="20"/>
          <w:szCs w:val="20"/>
          <w:color w:val="auto"/>
        </w:rPr>
      </w:pPr>
      <w:r>
        <w:rPr>
          <w:rFonts w:ascii="Arial" w:cs="Arial" w:eastAsia="Arial" w:hAnsi="Arial"/>
          <w:sz w:val="16"/>
          <w:szCs w:val="16"/>
          <w:color w:val="auto"/>
        </w:rPr>
        <w:t>The charter of our compensation committee provides that our compensation committee may delegate any responsibility or authority of our compensation committee under its charter to the chair of the committee or to one or more committee members, including subcommittees, except to the extent inconsistent with any applicable laws and rules, including the Nasdaq listing standards. Our compensation committee does not, however, delegate any of its functions to others in determining or recommending executive or director compensation.</w:t>
      </w:r>
    </w:p>
    <w:p>
      <w:pPr>
        <w:spacing w:after="0" w:line="74"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 xml:space="preserve">For additional information regarding our processes and procedures for the consideration and determination of executive compensation, including the role of Radford in determining and recommending executive compensation, see the section of this proxy statement entitled </w:t>
      </w:r>
      <w:r>
        <w:rPr>
          <w:rFonts w:ascii="Arial" w:cs="Arial" w:eastAsia="Arial" w:hAnsi="Arial"/>
          <w:sz w:val="16"/>
          <w:szCs w:val="16"/>
          <w:i w:val="1"/>
          <w:iCs w:val="1"/>
          <w:color w:val="auto"/>
        </w:rPr>
        <w:t>“Executive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Discussion and Analysis.” </w:t>
      </w:r>
      <w:r>
        <w:rPr>
          <w:rFonts w:ascii="Arial" w:cs="Arial" w:eastAsia="Arial" w:hAnsi="Arial"/>
          <w:sz w:val="16"/>
          <w:szCs w:val="16"/>
          <w:color w:val="auto"/>
        </w:rPr>
        <w:t>With respect to director compensation matters, our compensation committee recommends to our board and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determines and sets non-employee director compensation.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Our compensation arrangements for our non-employee directors are described under the section of this proxy statement entitled </w:t>
      </w:r>
      <w:r>
        <w:rPr>
          <w:rFonts w:ascii="Arial" w:cs="Arial" w:eastAsia="Arial" w:hAnsi="Arial"/>
          <w:sz w:val="16"/>
          <w:szCs w:val="16"/>
          <w:i w:val="1"/>
          <w:iCs w:val="1"/>
          <w:color w:val="auto"/>
        </w:rPr>
        <w:t>“Director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Nominating and Corporate Governance Committee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primary responsibilities of our nominating committee include:</w:t>
      </w:r>
    </w:p>
    <w:p>
      <w:pPr>
        <w:spacing w:after="0" w:line="140" w:lineRule="exact"/>
        <w:rPr>
          <w:sz w:val="20"/>
          <w:szCs w:val="20"/>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overseeing all aspects of our corporate governance functions on behalf of our board;</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making recommendations to our board regarding corporate governance issues;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identifying, reviewing and evaluating candidates to serve on our board, and reviewing and evaluating incumbent directors;</w:t>
      </w:r>
    </w:p>
    <w:p>
      <w:pPr>
        <w:spacing w:after="0" w:line="153" w:lineRule="exact"/>
        <w:rPr>
          <w:rFonts w:ascii="Arial" w:cs="Arial" w:eastAsia="Arial" w:hAnsi="Arial"/>
          <w:sz w:val="16"/>
          <w:szCs w:val="16"/>
          <w:color w:val="auto"/>
        </w:rPr>
      </w:pPr>
    </w:p>
    <w:p>
      <w:pPr>
        <w:ind w:left="660" w:right="300" w:hanging="328"/>
        <w:spacing w:after="0" w:line="339"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reviewing, evaluating and considering the recommendation for nomination of incumbent members for reelection to our board and monitoring the size of our board;</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recommending director candidates to our board;</w:t>
      </w:r>
    </w:p>
    <w:p>
      <w:pPr>
        <w:spacing w:after="0" w:line="153" w:lineRule="exact"/>
        <w:rPr>
          <w:rFonts w:ascii="Arial" w:cs="Arial" w:eastAsia="Arial" w:hAnsi="Arial"/>
          <w:sz w:val="16"/>
          <w:szCs w:val="16"/>
          <w:color w:val="auto"/>
        </w:rPr>
      </w:pPr>
    </w:p>
    <w:p>
      <w:pPr>
        <w:ind w:left="660" w:right="80" w:hanging="328"/>
        <w:spacing w:after="0" w:line="339"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overseeing on behalf of our board our compliance with applicable laws and regulations, other than the financial compliance issues overseen by our audit committee;</w:t>
      </w:r>
    </w:p>
    <w:p>
      <w:pPr>
        <w:spacing w:after="0" w:line="47" w:lineRule="exact"/>
        <w:rPr>
          <w:rFonts w:ascii="Arial" w:cs="Arial" w:eastAsia="Arial" w:hAnsi="Arial"/>
          <w:sz w:val="16"/>
          <w:szCs w:val="16"/>
          <w:color w:val="auto"/>
        </w:rPr>
      </w:pPr>
    </w:p>
    <w:p>
      <w:pPr>
        <w:ind w:left="660" w:right="20" w:hanging="328"/>
        <w:spacing w:after="0" w:line="310"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overseeing on behalf of our board our risk management matters, other than with respect to risks that are financial or information security risks (as to which our audit committee has oversight responsibility on behalf of our board) or risks related to compensation policies (as to which our compensation committee has oversight responsibility on behalf of our board);</w:t>
      </w:r>
    </w:p>
    <w:p>
      <w:pPr>
        <w:spacing w:after="0" w:line="70" w:lineRule="exact"/>
        <w:rPr>
          <w:rFonts w:ascii="Arial" w:cs="Arial" w:eastAsia="Arial" w:hAnsi="Arial"/>
          <w:sz w:val="16"/>
          <w:szCs w:val="16"/>
          <w:color w:val="auto"/>
        </w:rPr>
      </w:pPr>
    </w:p>
    <w:p>
      <w:pPr>
        <w:ind w:left="660" w:hanging="328"/>
        <w:spacing w:after="0" w:line="339"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evaluating director nominations and proposals by our shareholders and establishing policies, requirements, criteria and procedures in furtherance of the foregoing;</w:t>
      </w:r>
    </w:p>
    <w:p>
      <w:pPr>
        <w:spacing w:after="0" w:line="47" w:lineRule="exact"/>
        <w:rPr>
          <w:rFonts w:ascii="Arial" w:cs="Arial" w:eastAsia="Arial" w:hAnsi="Arial"/>
          <w:sz w:val="16"/>
          <w:szCs w:val="16"/>
          <w:color w:val="auto"/>
        </w:rPr>
      </w:pPr>
    </w:p>
    <w:p>
      <w:pPr>
        <w:ind w:left="660" w:right="280" w:hanging="328"/>
        <w:spacing w:after="0" w:line="339"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assessing the effectiveness and performance of our board and its committees, and recommending and implementing our board’s self-evaluation process;</w:t>
      </w:r>
    </w:p>
    <w:p>
      <w:pPr>
        <w:spacing w:after="0" w:line="33" w:lineRule="exact"/>
        <w:rPr>
          <w:rFonts w:ascii="Arial" w:cs="Arial" w:eastAsia="Arial" w:hAnsi="Arial"/>
          <w:sz w:val="16"/>
          <w:szCs w:val="16"/>
          <w:color w:val="auto"/>
        </w:rPr>
      </w:pPr>
    </w:p>
    <w:p>
      <w:pPr>
        <w:ind w:left="660" w:right="120" w:hanging="328"/>
        <w:spacing w:after="0" w:line="339"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overseeing our ESG strategy and practices and periodically reviewing and discussing with management our practices with respect to ESG matters that are expected to have a significant impact on our performance, business activities, or reputation; and</w:t>
      </w:r>
    </w:p>
    <w:p>
      <w:pPr>
        <w:spacing w:after="0" w:line="47" w:lineRule="exact"/>
        <w:rPr>
          <w:rFonts w:ascii="Arial" w:cs="Arial" w:eastAsia="Arial" w:hAnsi="Arial"/>
          <w:sz w:val="16"/>
          <w:szCs w:val="16"/>
          <w:color w:val="auto"/>
        </w:rPr>
      </w:pPr>
    </w:p>
    <w:p>
      <w:pPr>
        <w:ind w:left="660" w:right="460" w:hanging="328"/>
        <w:spacing w:after="0" w:line="339"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reviewing, discussing and assessing the performance of our board, including committees of our board, seeking input from all board members, senior management and others.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Each member of our nominating committee meets the independence requirements of the Nasdaq listing standards.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Our nominating committee met five times during 2023.</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Our nominating committee is governed by a regularly reviewed, board approved charter, which is available on our website, www.jazzpharmaceuticals.com.</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2" w:name="page33"/>
    <w:bookmarkEnd w:id="32"/>
    <w:p>
      <w:pPr>
        <w:spacing w:after="0"/>
        <w:rPr>
          <w:sz w:val="20"/>
          <w:szCs w:val="20"/>
          <w:color w:val="auto"/>
        </w:rPr>
      </w:pPr>
      <w:r>
        <w:rPr>
          <w:rFonts w:ascii="Arial" w:cs="Arial" w:eastAsia="Arial" w:hAnsi="Arial"/>
          <w:sz w:val="20"/>
          <w:szCs w:val="20"/>
          <w:b w:val="1"/>
          <w:bCs w:val="1"/>
          <w:color w:val="852166"/>
        </w:rPr>
        <w:t>Science and Medicine Committee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Our SMC reviews research, development and technology, or R&amp;D, initiatives. Specific responsibilities of our SMC include:</w:t>
      </w:r>
    </w:p>
    <w:p>
      <w:pPr>
        <w:spacing w:after="0" w:line="154" w:lineRule="exact"/>
        <w:rPr>
          <w:sz w:val="20"/>
          <w:szCs w:val="20"/>
          <w:color w:val="auto"/>
        </w:rPr>
      </w:pPr>
    </w:p>
    <w:p>
      <w:pPr>
        <w:ind w:left="660" w:right="180" w:hanging="328"/>
        <w:spacing w:after="0" w:line="339" w:lineRule="auto"/>
        <w:tabs>
          <w:tab w:leader="none" w:pos="6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review and advise management and our board regarding the strategy, direction, value and progress of our R&amp;D program, pipeline and technology platforms;</w:t>
      </w:r>
    </w:p>
    <w:p>
      <w:pPr>
        <w:spacing w:after="0" w:line="47" w:lineRule="exact"/>
        <w:rPr>
          <w:rFonts w:ascii="Arial" w:cs="Arial" w:eastAsia="Arial" w:hAnsi="Arial"/>
          <w:sz w:val="16"/>
          <w:szCs w:val="16"/>
          <w:color w:val="auto"/>
        </w:rPr>
      </w:pPr>
    </w:p>
    <w:p>
      <w:pPr>
        <w:ind w:left="660" w:right="880" w:hanging="328"/>
        <w:spacing w:after="0" w:line="339" w:lineRule="auto"/>
        <w:tabs>
          <w:tab w:leader="none" w:pos="6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review and advise management and our board on pertinent scientific, technological and medical elements of our corporate development opportunities and transactions;</w:t>
      </w:r>
    </w:p>
    <w:p>
      <w:pPr>
        <w:spacing w:after="0" w:line="33" w:lineRule="exact"/>
        <w:rPr>
          <w:rFonts w:ascii="Arial" w:cs="Arial" w:eastAsia="Arial" w:hAnsi="Arial"/>
          <w:sz w:val="16"/>
          <w:szCs w:val="16"/>
          <w:color w:val="auto"/>
        </w:rPr>
      </w:pPr>
    </w:p>
    <w:p>
      <w:pPr>
        <w:ind w:left="660" w:right="320" w:hanging="328"/>
        <w:spacing w:after="0" w:line="339" w:lineRule="auto"/>
        <w:tabs>
          <w:tab w:leader="none" w:pos="6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review and advise management and our board on our R&amp;D resource allocation strategy, including internal and external investments, investment allocation across R&amp;D stages across franchises/therapeutic areas and technology platforms; and</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identify and discuss new and emerging trends in pharmaceutical and biotechnological science, technology and regulation.</w:t>
      </w:r>
    </w:p>
    <w:p>
      <w:pPr>
        <w:spacing w:after="0" w:line="154" w:lineRule="exact"/>
        <w:rPr>
          <w:sz w:val="20"/>
          <w:szCs w:val="20"/>
          <w:color w:val="auto"/>
        </w:rPr>
      </w:pPr>
    </w:p>
    <w:p>
      <w:pPr>
        <w:ind w:right="940"/>
        <w:spacing w:after="0" w:line="339" w:lineRule="auto"/>
        <w:rPr>
          <w:sz w:val="20"/>
          <w:szCs w:val="20"/>
          <w:color w:val="auto"/>
        </w:rPr>
      </w:pPr>
      <w:r>
        <w:rPr>
          <w:rFonts w:ascii="Arial" w:cs="Arial" w:eastAsia="Arial" w:hAnsi="Arial"/>
          <w:sz w:val="16"/>
          <w:szCs w:val="16"/>
          <w:color w:val="auto"/>
        </w:rPr>
        <w:t>During 2023, our SMC met four times. Our SMC is governed by a regularly reviewed, board approved charter, which is available on our website, www.jazzpharmaceuticals.com.</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39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33" w:name="page34"/>
    <w:bookmarkEnd w:id="33"/>
    <w:p>
      <w:pPr>
        <w:spacing w:after="0"/>
        <w:rPr>
          <w:sz w:val="20"/>
          <w:szCs w:val="20"/>
          <w:color w:val="auto"/>
        </w:rPr>
      </w:pPr>
      <w:r>
        <w:rPr>
          <w:rFonts w:ascii="Arial" w:cs="Arial" w:eastAsia="Arial" w:hAnsi="Arial"/>
          <w:sz w:val="20"/>
          <w:szCs w:val="20"/>
          <w:b w:val="1"/>
          <w:bCs w:val="1"/>
          <w:color w:val="852166"/>
        </w:rPr>
        <w:t>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440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440180"/>
                    </a:xfrm>
                    <a:prstGeom prst="rect">
                      <a:avLst/>
                    </a:prstGeom>
                    <a:noFill/>
                  </pic:spPr>
                </pic:pic>
              </a:graphicData>
            </a:graphic>
          </wp:anchor>
        </w:drawing>
      </w:r>
    </w:p>
    <w:p>
      <w:pPr>
        <w:spacing w:after="0" w:line="26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We recognize that risks are an inherent part of conducting business in today’s environment.</w:t>
      </w:r>
    </w:p>
    <w:p>
      <w:pPr>
        <w:spacing w:after="0" w:line="150" w:lineRule="exact"/>
        <w:rPr>
          <w:sz w:val="20"/>
          <w:szCs w:val="20"/>
          <w:color w:val="auto"/>
        </w:rPr>
      </w:pPr>
    </w:p>
    <w:p>
      <w:pPr>
        <w:jc w:val="both"/>
        <w:ind w:left="140" w:right="20"/>
        <w:spacing w:after="0" w:line="313" w:lineRule="auto"/>
        <w:rPr>
          <w:sz w:val="20"/>
          <w:szCs w:val="20"/>
          <w:color w:val="auto"/>
        </w:rPr>
      </w:pPr>
      <w:r>
        <w:rPr>
          <w:rFonts w:ascii="Arial" w:cs="Arial" w:eastAsia="Arial" w:hAnsi="Arial"/>
          <w:sz w:val="14"/>
          <w:szCs w:val="14"/>
          <w:color w:val="auto"/>
        </w:rPr>
        <w:t>Our board provides oversight of our risk management, including financial, operational, business, intellectual property, information technology (including cybersecurity), public policy, reputational risk, governance and compliance. At its regular meetings, our board is updated with respect to relevant risks by each committee chair, with an opportunity to raise questions and give feedback. Senior Management also regularly presents to our board on material risks and concerns and/or significant related updates to them.</w:t>
      </w:r>
    </w:p>
    <w:p>
      <w:pPr>
        <w:spacing w:after="0" w:line="59" w:lineRule="exact"/>
        <w:rPr>
          <w:sz w:val="20"/>
          <w:szCs w:val="20"/>
          <w:color w:val="auto"/>
        </w:rPr>
      </w:pPr>
    </w:p>
    <w:p>
      <w:pPr>
        <w:ind w:left="140" w:right="80"/>
        <w:spacing w:after="0" w:line="302" w:lineRule="auto"/>
        <w:rPr>
          <w:sz w:val="20"/>
          <w:szCs w:val="20"/>
          <w:color w:val="auto"/>
        </w:rPr>
      </w:pPr>
      <w:r>
        <w:rPr>
          <w:rFonts w:ascii="Arial" w:cs="Arial" w:eastAsia="Arial" w:hAnsi="Arial"/>
          <w:sz w:val="14"/>
          <w:szCs w:val="14"/>
          <w:color w:val="auto"/>
        </w:rPr>
        <w:t>Our Enterprise Risk Management, or ERM, is a comprehensive business strategy designed to identify, assess, prepare for and mitigate risks that may affect us. Governed by our nominating committee with oversight from our senior management, our ERM team facilitates this ERM program. This team is comprised of senior cross-functional management and subject matter experts who meet at least twice a year to review and consider high risks and changes to our risk profile. Subsequent reviews and reporting are then provided to our nominating committee and our senior management, as applicable. Our proactive and collaborative approach to ERM is designed to allow us to not only safeguard our business but to also contribute positives to our stakeholders, communities and environment in which we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655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65505"/>
                    </a:xfrm>
                    <a:prstGeom prst="rect">
                      <a:avLst/>
                    </a:prstGeom>
                    <a:noFill/>
                  </pic:spPr>
                </pic:pic>
              </a:graphicData>
            </a:graphic>
          </wp:anchor>
        </w:drawing>
      </w:r>
    </w:p>
    <w:p>
      <w:pPr>
        <w:sectPr>
          <w:pgSz w:w="11900" w:h="16838" w:orient="portrait"/>
          <w:cols w:equalWidth="0" w:num="1">
            <w:col w:w="11140"/>
          </w:cols>
          <w:pgMar w:left="320" w:top="1155" w:right="4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FFFFF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795020</wp:posOffset>
            </wp:positionV>
            <wp:extent cx="1165860" cy="9944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6586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left="260"/>
        <w:spacing w:after="0" w:line="279" w:lineRule="auto"/>
        <w:rPr>
          <w:sz w:val="20"/>
          <w:szCs w:val="20"/>
          <w:color w:val="auto"/>
        </w:rPr>
      </w:pPr>
      <w:r>
        <w:rPr>
          <w:rFonts w:ascii="Arial" w:cs="Arial" w:eastAsia="Arial" w:hAnsi="Arial"/>
          <w:sz w:val="14"/>
          <w:szCs w:val="14"/>
          <w:b w:val="1"/>
          <w:bCs w:val="1"/>
          <w:color w:val="FFFFFF"/>
        </w:rPr>
        <w:t>Compensation &amp; Management Development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1165860" cy="14827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65860"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260"/>
        <w:spacing w:after="0"/>
        <w:rPr>
          <w:sz w:val="20"/>
          <w:szCs w:val="20"/>
          <w:color w:val="auto"/>
        </w:rPr>
      </w:pPr>
      <w:r>
        <w:rPr>
          <w:rFonts w:ascii="Arial" w:cs="Arial" w:eastAsia="Arial" w:hAnsi="Arial"/>
          <w:sz w:val="14"/>
          <w:szCs w:val="14"/>
          <w:b w:val="1"/>
          <w:bCs w:val="1"/>
          <w:color w:val="FFFFFF"/>
        </w:rPr>
        <w:t>Nominating &amp;</w:t>
      </w:r>
    </w:p>
    <w:p>
      <w:pPr>
        <w:spacing w:after="0" w:line="29" w:lineRule="exact"/>
        <w:rPr>
          <w:sz w:val="20"/>
          <w:szCs w:val="20"/>
          <w:color w:val="auto"/>
        </w:rPr>
      </w:pPr>
    </w:p>
    <w:p>
      <w:pPr>
        <w:jc w:val="center"/>
        <w:ind w:left="260"/>
        <w:spacing w:after="0"/>
        <w:rPr>
          <w:sz w:val="20"/>
          <w:szCs w:val="20"/>
          <w:color w:val="auto"/>
        </w:rPr>
      </w:pPr>
      <w:r>
        <w:rPr>
          <w:rFonts w:ascii="Arial" w:cs="Arial" w:eastAsia="Arial" w:hAnsi="Arial"/>
          <w:sz w:val="14"/>
          <w:szCs w:val="14"/>
          <w:b w:val="1"/>
          <w:bCs w:val="1"/>
          <w:color w:val="FFFFFF"/>
        </w:rPr>
        <w:t>Corporate</w:t>
      </w:r>
    </w:p>
    <w:p>
      <w:pPr>
        <w:spacing w:after="0" w:line="15" w:lineRule="exact"/>
        <w:rPr>
          <w:sz w:val="20"/>
          <w:szCs w:val="20"/>
          <w:color w:val="auto"/>
        </w:rPr>
      </w:pPr>
    </w:p>
    <w:p>
      <w:pPr>
        <w:jc w:val="center"/>
        <w:ind w:left="260"/>
        <w:spacing w:after="0"/>
        <w:rPr>
          <w:sz w:val="20"/>
          <w:szCs w:val="20"/>
          <w:color w:val="auto"/>
        </w:rPr>
      </w:pPr>
      <w:r>
        <w:rPr>
          <w:rFonts w:ascii="Arial" w:cs="Arial" w:eastAsia="Arial" w:hAnsi="Arial"/>
          <w:sz w:val="14"/>
          <w:szCs w:val="14"/>
          <w:b w:val="1"/>
          <w:bCs w:val="1"/>
          <w:color w:val="FFFFFF"/>
        </w:rPr>
        <w:t>Governance</w:t>
      </w:r>
    </w:p>
    <w:p>
      <w:pPr>
        <w:spacing w:after="0" w:line="15" w:lineRule="exact"/>
        <w:rPr>
          <w:sz w:val="20"/>
          <w:szCs w:val="20"/>
          <w:color w:val="auto"/>
        </w:rPr>
      </w:pPr>
    </w:p>
    <w:p>
      <w:pPr>
        <w:jc w:val="center"/>
        <w:ind w:left="260"/>
        <w:spacing w:after="0"/>
        <w:rPr>
          <w:sz w:val="20"/>
          <w:szCs w:val="20"/>
          <w:color w:val="auto"/>
        </w:rPr>
      </w:pPr>
      <w:r>
        <w:rPr>
          <w:rFonts w:ascii="Arial" w:cs="Arial" w:eastAsia="Arial" w:hAnsi="Arial"/>
          <w:sz w:val="14"/>
          <w:szCs w:val="14"/>
          <w:b w:val="1"/>
          <w:bCs w:val="1"/>
          <w:color w:val="FFFFF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1060450</wp:posOffset>
            </wp:positionV>
            <wp:extent cx="1165860" cy="900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6586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left="260"/>
        <w:spacing w:after="0"/>
        <w:rPr>
          <w:sz w:val="20"/>
          <w:szCs w:val="20"/>
          <w:color w:val="auto"/>
        </w:rPr>
      </w:pPr>
      <w:r>
        <w:rPr>
          <w:rFonts w:ascii="Arial" w:cs="Arial" w:eastAsia="Arial" w:hAnsi="Arial"/>
          <w:sz w:val="14"/>
          <w:szCs w:val="14"/>
          <w:b w:val="1"/>
          <w:bCs w:val="1"/>
          <w:color w:val="FFFFFF"/>
        </w:rPr>
        <w:t>Science &amp; Medicine</w:t>
      </w:r>
    </w:p>
    <w:p>
      <w:pPr>
        <w:spacing w:after="0" w:line="29" w:lineRule="exact"/>
        <w:rPr>
          <w:sz w:val="20"/>
          <w:szCs w:val="20"/>
          <w:color w:val="auto"/>
        </w:rPr>
      </w:pPr>
    </w:p>
    <w:p>
      <w:pPr>
        <w:jc w:val="center"/>
        <w:ind w:left="260"/>
        <w:spacing w:after="0"/>
        <w:rPr>
          <w:sz w:val="20"/>
          <w:szCs w:val="20"/>
          <w:color w:val="auto"/>
        </w:rPr>
      </w:pPr>
      <w:r>
        <w:rPr>
          <w:rFonts w:ascii="Arial" w:cs="Arial" w:eastAsia="Arial" w:hAnsi="Arial"/>
          <w:sz w:val="14"/>
          <w:szCs w:val="14"/>
          <w:b w:val="1"/>
          <w:bCs w:val="1"/>
          <w:color w:val="FFFFFF"/>
        </w:rPr>
        <w:t>Committee</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line="298" w:lineRule="auto"/>
        <w:rPr>
          <w:sz w:val="20"/>
          <w:szCs w:val="20"/>
          <w:color w:val="auto"/>
        </w:rPr>
      </w:pPr>
      <w:r>
        <w:rPr>
          <w:rFonts w:ascii="Arial" w:cs="Arial" w:eastAsia="Arial" w:hAnsi="Arial"/>
          <w:sz w:val="14"/>
          <w:szCs w:val="14"/>
          <w:color w:val="auto"/>
        </w:rPr>
        <w:t>Our audit committee is responsible for overseeing our financial reporting process on behalf of our board and reviewing with management and our auditors, as appropriate, our major financial risk exposures and the steps taken by management to monitor and control these exposures. Our Board addresses our cybersecurity risk management as part of its general oversight function. Our audit committee helps oversee our cybersecurity risk management processes, including oversight of risks from cybersecurity threats. The audit committee receives quarterly updates on information security developments, cybersecurity incidents and the steps taken by management to monitor and mitigate risk exposures in these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127000</wp:posOffset>
            </wp:positionV>
            <wp:extent cx="5820410" cy="9944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20410" cy="994410"/>
                    </a:xfrm>
                    <a:prstGeom prst="rect">
                      <a:avLst/>
                    </a:prstGeom>
                    <a:noFill/>
                  </pic:spPr>
                </pic:pic>
              </a:graphicData>
            </a:graphic>
          </wp:anchor>
        </w:drawing>
      </w:r>
    </w:p>
    <w:p>
      <w:pPr>
        <w:spacing w:after="0" w:line="306" w:lineRule="exact"/>
        <w:rPr>
          <w:sz w:val="20"/>
          <w:szCs w:val="20"/>
          <w:color w:val="auto"/>
        </w:rPr>
      </w:pPr>
    </w:p>
    <w:p>
      <w:pPr>
        <w:ind w:right="80"/>
        <w:spacing w:after="0" w:line="299" w:lineRule="auto"/>
        <w:rPr>
          <w:sz w:val="20"/>
          <w:szCs w:val="20"/>
          <w:color w:val="auto"/>
        </w:rPr>
      </w:pPr>
      <w:r>
        <w:rPr>
          <w:rFonts w:ascii="Arial" w:cs="Arial" w:eastAsia="Arial" w:hAnsi="Arial"/>
          <w:sz w:val="14"/>
          <w:szCs w:val="14"/>
          <w:color w:val="auto"/>
        </w:rPr>
        <w:t>Our compensation committee approves compensation of executive officers and all material compensation plans and reviews our compensation practices to ensure that they do not encourage excessive risk taking and provide appropriate incentives for meeting both short-term and long-term objectives and increasing shareholder value over time. Our compensation committee also works with our board to oversee matters related to diversity, talent, and culture strategy including human capital programs and policies regarding management development, talent planning, diversity and inclusion initiatives, and employee engagement, as well as human capital management, which includes reviewing workforce trends, executive succession plans and talent risk and maintaining compensation objectives and corporate policies that appropriately incentivize creating and maintaining a positive workplace and corporate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125730</wp:posOffset>
            </wp:positionV>
            <wp:extent cx="5820410" cy="14827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20410" cy="1482725"/>
                    </a:xfrm>
                    <a:prstGeom prst="rect">
                      <a:avLst/>
                    </a:prstGeom>
                    <a:noFill/>
                  </pic:spPr>
                </pic:pic>
              </a:graphicData>
            </a:graphic>
          </wp:anchor>
        </w:drawing>
      </w:r>
    </w:p>
    <w:p>
      <w:pPr>
        <w:spacing w:after="0" w:line="304" w:lineRule="exact"/>
        <w:rPr>
          <w:sz w:val="20"/>
          <w:szCs w:val="20"/>
          <w:color w:val="auto"/>
        </w:rPr>
      </w:pPr>
    </w:p>
    <w:p>
      <w:pPr>
        <w:ind w:right="40"/>
        <w:spacing w:after="0" w:line="294" w:lineRule="auto"/>
        <w:rPr>
          <w:sz w:val="20"/>
          <w:szCs w:val="20"/>
          <w:color w:val="auto"/>
        </w:rPr>
      </w:pPr>
      <w:r>
        <w:rPr>
          <w:rFonts w:ascii="Arial" w:cs="Arial" w:eastAsia="Arial" w:hAnsi="Arial"/>
          <w:sz w:val="14"/>
          <w:szCs w:val="14"/>
          <w:color w:val="auto"/>
        </w:rPr>
        <w:t>Our nominating committee oversees the company’s risk management other than those concerning our company’s major financial, business or cybersecurity risk exposures or risks related to our compensation programs and policies, on behalf of our board. Our nominating committee has oversight responsibility over our ESG program and strategy and compliance and ethics program. Our nominating committee has had oversight responsibility related to administration of and certifies to compliance with our company’s corporate integrity agreement, or CIA, including compliance with CIA requirements related to training and disclosures of instances of potential non-compliance with certain federal laws, regulations, or company policy and meets at least quarterly. Our period of compliance obligations under the CIA has expired; however, we remain obligated to submit a final report and remain to subject to the CIA until that report has been reviewed and it is confirmed that we have met our obligations under the CIA. Additionally, our nominating committee maintains oversight over our enterprise risk management program. Because enterprise risk management is holistic risk management, reported risks and their mitigation often include risks more fully governed by other committees, such as cybersecurity. Our nominating committee review program methodology and results to ensure management has properly identified and are monitoring enterprise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120015</wp:posOffset>
            </wp:positionV>
            <wp:extent cx="5820410" cy="9004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20410" cy="900430"/>
                    </a:xfrm>
                    <a:prstGeom prst="rect">
                      <a:avLst/>
                    </a:prstGeom>
                    <a:noFill/>
                  </pic:spPr>
                </pic:pic>
              </a:graphicData>
            </a:graphic>
          </wp:anchor>
        </w:drawing>
      </w:r>
    </w:p>
    <w:p>
      <w:pPr>
        <w:spacing w:after="0" w:line="295" w:lineRule="exact"/>
        <w:rPr>
          <w:sz w:val="20"/>
          <w:szCs w:val="20"/>
          <w:color w:val="auto"/>
        </w:rPr>
      </w:pPr>
    </w:p>
    <w:p>
      <w:pPr>
        <w:ind w:right="320"/>
        <w:spacing w:after="0" w:line="345" w:lineRule="auto"/>
        <w:rPr>
          <w:sz w:val="20"/>
          <w:szCs w:val="20"/>
          <w:color w:val="auto"/>
        </w:rPr>
      </w:pPr>
      <w:r>
        <w:rPr>
          <w:rFonts w:ascii="Arial" w:cs="Arial" w:eastAsia="Arial" w:hAnsi="Arial"/>
          <w:sz w:val="14"/>
          <w:szCs w:val="14"/>
          <w:color w:val="auto"/>
        </w:rPr>
        <w:t>Our SMC is responsible for overseeing research, development and technology initiatives. Our SMC also discusses significant emerging trends, issues and risks in science and technology and considers the potential impact these may have on us.</w:t>
      </w:r>
    </w:p>
    <w:p>
      <w:pPr>
        <w:spacing w:after="0" w:line="200" w:lineRule="exact"/>
        <w:rPr>
          <w:sz w:val="20"/>
          <w:szCs w:val="20"/>
          <w:color w:val="auto"/>
        </w:rPr>
      </w:pPr>
    </w:p>
    <w:p>
      <w:pPr>
        <w:sectPr>
          <w:pgSz w:w="11900" w:h="16838" w:orient="portrait"/>
          <w:cols w:equalWidth="0" w:num="2">
            <w:col w:w="1600" w:space="620"/>
            <w:col w:w="8920"/>
          </w:cols>
          <w:pgMar w:left="320" w:top="115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30</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55" w:right="4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20"/>
          <w:szCs w:val="20"/>
          <w:b w:val="1"/>
          <w:bCs w:val="1"/>
          <w:color w:val="852166"/>
        </w:rPr>
        <w:t>Ethical Business Practices</w:t>
      </w:r>
    </w:p>
    <w:p>
      <w:pPr>
        <w:spacing w:after="0" w:line="13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are committed to conducting our business with integrity and the pursuit of excellence in all that we do. Our management team and our board are committed to honesty and we strive to comply with all laws, rules, regulations and corporate policies that apply to our business, and we expect the same commitment from our employees, consultants, business partners and service providers. In particular, we are committed to acting responsibly, safely and with transparency in our interactions with patients, doctors and other stakeholders in the healthcare system.</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Compliance and Ethics Program – I-CARE</w:t>
      </w:r>
    </w:p>
    <w:p>
      <w:pPr>
        <w:spacing w:after="0" w:line="127" w:lineRule="exact"/>
        <w:rPr>
          <w:sz w:val="20"/>
          <w:szCs w:val="20"/>
          <w:color w:val="auto"/>
        </w:rPr>
      </w:pPr>
    </w:p>
    <w:p>
      <w:pPr>
        <w:ind w:right="700"/>
        <w:spacing w:after="0" w:line="339" w:lineRule="auto"/>
        <w:rPr>
          <w:sz w:val="20"/>
          <w:szCs w:val="20"/>
          <w:color w:val="auto"/>
        </w:rPr>
      </w:pPr>
      <w:r>
        <w:rPr>
          <w:rFonts w:ascii="Arial" w:cs="Arial" w:eastAsia="Arial" w:hAnsi="Arial"/>
          <w:sz w:val="16"/>
          <w:szCs w:val="16"/>
          <w:color w:val="auto"/>
        </w:rPr>
        <w:t>I-CARE is our philosophy that acknowledges it takes more than just striving to adhere to the law and company policy to create a healthy and ethical corporate culture. The following elements comprise I-CARE:</w:t>
      </w:r>
    </w:p>
    <w:p>
      <w:pPr>
        <w:spacing w:after="0" w:line="47" w:lineRule="exact"/>
        <w:rPr>
          <w:sz w:val="20"/>
          <w:szCs w:val="20"/>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Integrity: Our corporate value of integrity is the foundation of our approach.</w:t>
      </w:r>
    </w:p>
    <w:p>
      <w:pPr>
        <w:spacing w:after="0" w:line="140" w:lineRule="exact"/>
        <w:rPr>
          <w:rFonts w:ascii="Arial" w:cs="Arial" w:eastAsia="Arial" w:hAnsi="Arial"/>
          <w:sz w:val="16"/>
          <w:szCs w:val="16"/>
          <w:color w:val="auto"/>
        </w:rPr>
      </w:pPr>
    </w:p>
    <w:p>
      <w:pPr>
        <w:ind w:left="660" w:right="500" w:hanging="328"/>
        <w:spacing w:after="0" w:line="339" w:lineRule="auto"/>
        <w:tabs>
          <w:tab w:leader="none" w:pos="6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Compliance: The elements of an effective compliance program are managed in a way designed to deter, detect, and respond appropriately to potential wrongdoing.</w:t>
      </w:r>
    </w:p>
    <w:p>
      <w:pPr>
        <w:spacing w:after="0" w:line="47" w:lineRule="exact"/>
        <w:rPr>
          <w:rFonts w:ascii="Arial" w:cs="Arial" w:eastAsia="Arial" w:hAnsi="Arial"/>
          <w:sz w:val="16"/>
          <w:szCs w:val="16"/>
          <w:color w:val="auto"/>
        </w:rPr>
      </w:pPr>
    </w:p>
    <w:p>
      <w:pPr>
        <w:ind w:left="660" w:right="340" w:hanging="328"/>
        <w:spacing w:after="0" w:line="339" w:lineRule="auto"/>
        <w:tabs>
          <w:tab w:leader="none" w:pos="6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Accountability: Every employee is asked to play a role in ensuring our actions live up to our expectations, and every employee is encouraged to speak up if something looks wrong.</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Respect: Respect for our patients, company and each other keep us on the right path.</w:t>
      </w:r>
    </w:p>
    <w:p>
      <w:pPr>
        <w:spacing w:after="0" w:line="140"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Ethics: Being lawful is the minimum bar we must meet. Our commitment to patients and other stakeholders requires a higher ethical standard.</w:t>
      </w:r>
    </w:p>
    <w:p>
      <w:pPr>
        <w:spacing w:after="0" w:line="154" w:lineRule="exact"/>
        <w:rPr>
          <w:sz w:val="20"/>
          <w:szCs w:val="20"/>
          <w:color w:val="auto"/>
        </w:rPr>
      </w:pPr>
    </w:p>
    <w:p>
      <w:pPr>
        <w:ind w:right="440"/>
        <w:spacing w:after="0" w:line="339" w:lineRule="auto"/>
        <w:rPr>
          <w:sz w:val="20"/>
          <w:szCs w:val="20"/>
          <w:color w:val="auto"/>
        </w:rPr>
      </w:pPr>
      <w:r>
        <w:rPr>
          <w:rFonts w:ascii="Arial" w:cs="Arial" w:eastAsia="Arial" w:hAnsi="Arial"/>
          <w:sz w:val="16"/>
          <w:szCs w:val="16"/>
          <w:color w:val="auto"/>
        </w:rPr>
        <w:t>I-CARE strives to create a strong, effective compliance and ethics program by educating and advising our employees to empower smart risk decisions, advance our value of integrity, and promote operational efficiencies.</w:t>
      </w:r>
    </w:p>
    <w:p>
      <w:pPr>
        <w:spacing w:after="0" w:line="47" w:lineRule="exact"/>
        <w:rPr>
          <w:sz w:val="20"/>
          <w:szCs w:val="20"/>
          <w:color w:val="auto"/>
        </w:rPr>
      </w:pPr>
    </w:p>
    <w:p>
      <w:pPr>
        <w:ind w:right="320"/>
        <w:spacing w:after="0" w:line="339" w:lineRule="auto"/>
        <w:rPr>
          <w:sz w:val="20"/>
          <w:szCs w:val="20"/>
          <w:color w:val="auto"/>
        </w:rPr>
      </w:pPr>
      <w:r>
        <w:rPr>
          <w:rFonts w:ascii="Arial" w:cs="Arial" w:eastAsia="Arial" w:hAnsi="Arial"/>
          <w:sz w:val="16"/>
          <w:szCs w:val="16"/>
          <w:color w:val="auto"/>
        </w:rPr>
        <w:t>We have established various methods of confidential communication for our employees, vendors and others to report suspected violations of laws, rules, regulations or company policies. Where permitted by local laws, anonymous reporting is available.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Chief Compliance and Ethics Officer</w:t>
      </w:r>
    </w:p>
    <w:p>
      <w:pPr>
        <w:spacing w:after="0" w:line="140"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auto"/>
        </w:rPr>
        <w:t>The Chief Compliance and Ethics Officer is responsible for designing and implementing our compliance program, managing the I-CARE team and compliance program elements, and administering the obligations and reporting requirements of the CIA. The Chief Compliance and Ethics Officer reports to the CEO, and makes periodic reports to our board.</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Compliance Committee</w:t>
      </w:r>
    </w:p>
    <w:p>
      <w:pPr>
        <w:spacing w:after="0" w:line="140"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The corporate compliance committee is comprised of members of our management team and is responsible for overseeing the implementation and effectiveness of our compliance program to support the Chief Compliance and Ethics Officer. The corporate compliance committee’s responsibilities include:</w:t>
      </w:r>
    </w:p>
    <w:p>
      <w:pPr>
        <w:spacing w:after="0" w:line="61" w:lineRule="exact"/>
        <w:rPr>
          <w:sz w:val="20"/>
          <w:szCs w:val="20"/>
          <w:color w:val="auto"/>
        </w:rPr>
      </w:pPr>
    </w:p>
    <w:p>
      <w:pPr>
        <w:ind w:left="660" w:right="120" w:hanging="328"/>
        <w:spacing w:after="0" w:line="339" w:lineRule="auto"/>
        <w:tabs>
          <w:tab w:leader="none" w:pos="6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Adopting a system of standards of conduct, policies, procedures, trainings, communications, reporting mechanisms, monitoring, investigations and internal control system reasonably designed to prevent and detect violations of applicable laws, rules and regulations;</w:t>
      </w:r>
    </w:p>
    <w:p>
      <w:pPr>
        <w:spacing w:after="0" w:line="47" w:lineRule="exact"/>
        <w:rPr>
          <w:rFonts w:ascii="Arial" w:cs="Arial" w:eastAsia="Arial" w:hAnsi="Arial"/>
          <w:sz w:val="16"/>
          <w:szCs w:val="16"/>
          <w:color w:val="auto"/>
        </w:rPr>
      </w:pPr>
    </w:p>
    <w:p>
      <w:pPr>
        <w:jc w:val="both"/>
        <w:ind w:left="660" w:right="80" w:hanging="328"/>
        <w:spacing w:after="0" w:line="310" w:lineRule="auto"/>
        <w:tabs>
          <w:tab w:leader="none" w:pos="6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Overseeing the enforcement of compliance policies program and procedures by directing that all received reports of potential compliance violations are investigated and resolved, and that appropriate incentives and disciplinary measures are utilized, including discipline of employees responsible for violations;</w:t>
      </w:r>
    </w:p>
    <w:p>
      <w:pPr>
        <w:spacing w:after="0" w:line="70" w:lineRule="exact"/>
        <w:rPr>
          <w:rFonts w:ascii="Arial" w:cs="Arial" w:eastAsia="Arial" w:hAnsi="Arial"/>
          <w:sz w:val="16"/>
          <w:szCs w:val="16"/>
          <w:color w:val="auto"/>
        </w:rPr>
      </w:pPr>
    </w:p>
    <w:p>
      <w:pPr>
        <w:ind w:left="660" w:right="40" w:hanging="328"/>
        <w:spacing w:after="0" w:line="339" w:lineRule="auto"/>
        <w:tabs>
          <w:tab w:leader="none" w:pos="6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Taking steps designed to ensure that the individuals responsible for our compliance program have adequate resources, authority and competencies to carry out their responsibilities;</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Periodically reviewing the effectiveness of the day-to-day compliance activities engaged in by Jazz; and</w:t>
      </w:r>
    </w:p>
    <w:p>
      <w:pPr>
        <w:spacing w:after="0" w:line="140"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Taking such other actions, or making such other recommendations, designed to promote a compliant and ethical organizational culture at Jazz.</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39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Board Oversight of Compliance</w:t>
      </w:r>
    </w:p>
    <w:p>
      <w:pPr>
        <w:spacing w:after="0" w:line="127"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Our board oversees matters related to compliance requirements and our compliance program generally, including: the adequacy of resources dedicated to the compliance function; the identification and handling of instances of non-compliance; and the overall effectiveness of the design and implementation of the compliance program. Our nominating committee has responsibility for review and oversight of matters related to compliance with U.S. federal health care program requirements and the obligations of the CIA, including the performance of the Chief Compliance and Ethics Officer and corporate compliance committee. Our nominating committee meets at least quarterly with the Chief Compliance and Ethics Officer to review our compliance program and annually adopt a resolution summarizing its review and oversight of Jazz’s compliance with U.S. federal health care program requirements and the obligations of the CIA. In addition, our board meets regularly with the Chief Compliance and Ethics Officer.</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Anti-Corruption Policy</w:t>
      </w:r>
    </w:p>
    <w:p>
      <w:pPr>
        <w:spacing w:after="0" w:line="12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global Anti-Corruption Policy applies to all of our employees, directors and officers, our subsidiaries and affiliates, and third party vendors and other agents acting on our behalf. We are committed to complying with applicable anti-corruption and anti-bribery laws, including the Foreign Corrupt Practices Act (FCPA) and the UK Bribery Act (UKBA). The Anti-Corruption Policy is available on our website at www.jazzpharmaceuticals.com under the section entitled “Ethical Standards” under “Our Purpose.”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Anti-Slavery and Human Trafficking Commitment</w:t>
      </w:r>
    </w:p>
    <w:p>
      <w:pPr>
        <w:spacing w:after="0" w:line="140"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We are committed to operating our global business with integrity and upholding a high level of ethical conduct among our employees and business partners including assessing and addressing the risk of modern slavery and human trafficking within our business operations and supply chain. We have existing procedures designed to assess our suppliers that provide materials for use in our tangible goods for sale, and we have enhanced these procedures to include steps for reasonably evaluating whether these suppliers have policies and procedures in place that are designed to promote compliance with applicable laws related to eradication of human trafficking, slavery and illegal child labor.</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Conduct</w:t>
      </w:r>
    </w:p>
    <w:p>
      <w:pPr>
        <w:spacing w:after="0" w:line="127"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Our Code of Conduct applies to all of our employees, directors and officers, including our principal executive officer, principal financial officer, principal accounting officer or controller, or persons performing similar functions, and those of our subsidiaries. The Code of Conduct is available on our website at www.jazzpharmaceuticals.com under the section entitled “Ethical Standards” under “Our Purpose.” We intend to satisfy the disclosure requirements under Item 5.05 of SEC Form 8-K regarding any amendment to, or waiver from, a provision of our Code of Conduct by posting such information on our website at the website address and location specified above.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Political Contributions Guidance</w:t>
      </w:r>
    </w:p>
    <w:p>
      <w:pPr>
        <w:spacing w:after="0" w:line="127" w:lineRule="exact"/>
        <w:rPr>
          <w:sz w:val="20"/>
          <w:szCs w:val="20"/>
          <w:color w:val="auto"/>
        </w:rPr>
      </w:pPr>
    </w:p>
    <w:p>
      <w:pPr>
        <w:ind w:right="140"/>
        <w:spacing w:after="0" w:line="319" w:lineRule="auto"/>
        <w:rPr>
          <w:sz w:val="20"/>
          <w:szCs w:val="20"/>
          <w:color w:val="auto"/>
        </w:rPr>
      </w:pPr>
      <w:r>
        <w:rPr>
          <w:rFonts w:ascii="Arial" w:cs="Arial" w:eastAsia="Arial" w:hAnsi="Arial"/>
          <w:sz w:val="16"/>
          <w:szCs w:val="16"/>
          <w:color w:val="auto"/>
        </w:rPr>
        <w:t>Our Political Contributions Guidance outlines a process intended to ensure political contributions (including political action committee contributions) are made with transparency, segregated from lobby activities and also designed to ensure that these activities are conducted in accordance with the applicable federal, state, and local campaign and lobbying laws.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Other Corporate Governance Matters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Director Orientation</w:t>
      </w:r>
    </w:p>
    <w:p>
      <w:pPr>
        <w:spacing w:after="0" w:line="140"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color w:val="auto"/>
        </w:rPr>
        <w:t>We have a robust onboarding program for new directors, wherein all key Jazz materials and policies are shared with them, including comprehensive information and materials on our corporate, operational, financial and business activities/performance. Individual meetings for new directors are set up with members of the Jazz executive team and key leaders across the organization.</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Anti-Hedging/Pledging Policy</w:t>
      </w:r>
    </w:p>
    <w:p>
      <w:pPr>
        <w:spacing w:after="0" w:line="140"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color w:val="auto"/>
        </w:rPr>
        <w:t>Our insider trading policy prohibits directors, executive officers and other employees from engaging in speculative trading activities, including hedging transactions or other inherently speculative transactions with respect to our securities. Our insider trading policy also prohibits directors, executive officers and other employees from pledging our securities as collateral for any loans.</w:t>
      </w:r>
    </w:p>
    <w:p>
      <w:pPr>
        <w:spacing w:after="0" w:line="200" w:lineRule="exact"/>
        <w:rPr>
          <w:sz w:val="20"/>
          <w:szCs w:val="20"/>
          <w:color w:val="auto"/>
        </w:rPr>
      </w:pPr>
    </w:p>
    <w:p>
      <w:pPr>
        <w:spacing w:after="0" w:line="36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Clawback Policy</w:t>
      </w:r>
    </w:p>
    <w:p>
      <w:pPr>
        <w:spacing w:after="0" w:line="127"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color w:val="auto"/>
        </w:rPr>
        <w:t>In November 2023, our compensation committee adopted an incentive compensation recoupment policy, or Clawback Policy, that complies with the new listing standards adopted by Nasdaq that implement the new SEC rules under the Dodd-Frank Wall Street Reform and Consumer Protection Act, or the Dodd-Frank Act, and applies to our executive officers (as defined in applicable SEC rules). The Clawback Policy, which replaces and supersedes our prior clawback policy adopted in April 2021, requires us to recover from covered executive officers the amount of erroneously awarded compensation resulting from an accounting restatement due to our material noncompliance with any financial reporting requirement under the securities laws. The Clawback Policy applies to incentive compensation that is received by a covered officer on or after October 2, 2023.</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Ownership Guidelines for Directors and Executive Officers</w:t>
      </w:r>
    </w:p>
    <w:p>
      <w:pPr>
        <w:spacing w:after="0" w:line="12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maintain and periodically review share ownership guidelines for our non-employee directors, CEO and certain other employees who serve on our executive committee. More information about our share ownership guidelines can be found under the sections of this proxy statement entitled “Executive Compensation—Compensation Discussion and Analysis—Additional Compensation Information—Ownership Guidelines for Executive Officers” and “Director Compensation—Ownership Guidelines for Directors.”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Ability to Call Extraordinary Meetings</w:t>
      </w:r>
    </w:p>
    <w:p>
      <w:pPr>
        <w:spacing w:after="0" w:line="127"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color w:val="auto"/>
        </w:rPr>
        <w:t>Irish law provides that shareholders holding 10% or more of the total voting rights may at any time request that the directors call an extraordinary general meeting (i.e., special meeting). The shareholders who wish to request an extraordinary general meeting must deliver to our principal executive office a written notice, signed by the shareholders requesting the meeting and stating the purposes of the meeting. If the directors do not, within 21 days of the date of delivery of the request, proceed to convene a meeting to be held within two months of that date, those shareholders (or any of them representing more than half of the total voting rights of all of them) may themselves convene a meeting within a specified period, but any meeting so convened cannot be held after the expiration of three months from the date of delivery of the request.</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Communications with our Board</w:t>
      </w:r>
    </w:p>
    <w:p>
      <w:pPr>
        <w:spacing w:after="0" w:line="127"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Our board believes that shareholders should have an opportunity to communicate with our board, and efforts have been made to ensure that the views of shareholders are heard by our board or individual directors, as applicable, and that appropriate responses are provided to shareholders in a timely manner. We believe that our responsiveness to shareholder communications to our board has been excellent. Shareholders interested in communicating with our board or a particular director (including our Chairperson or our Lead Independent Director) may do so by sending written communication to: Jazz Pharmaceuticals plc, Attention: Company Secretary, Fifth Floor, Waterloo Exchange, Waterloo Road, Dublin 4, Ireland. Each communication should set forth the name and address of the shareholder as it appears on our records (and, if the shares are held by a nominee, the name and address of the beneficial owner of the shares), and the number of our ordinary shares that are owned of record by the record holder or beneficially by the beneficial owner, as applicable. Our Company Secretary will, in his or her discretion, screen out communications from shareholders that are not related to the duties and responsibilities of our board. The purpose of this screening is to allow our board to avoid having to consider irrelevant or inappropriate communications (such as advertisements, solicitations and hostile communications). If deemed an appropriate communication, our Company Secretary will forward the communication, depending on the subject matter, to the Chairperson, the Lead Independent Director or the chair of the appropriate committee of our board.</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407"/>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7" w:name="page38"/>
    <w:bookmarkEnd w:id="37"/>
    <w:p>
      <w:pPr>
        <w:jc w:val="center"/>
        <w:ind w:left="340" w:right="540"/>
        <w:spacing w:after="0" w:line="307" w:lineRule="auto"/>
        <w:rPr>
          <w:sz w:val="20"/>
          <w:szCs w:val="20"/>
          <w:color w:val="auto"/>
        </w:rPr>
      </w:pPr>
      <w:r>
        <w:rPr>
          <w:rFonts w:ascii="Arial" w:cs="Arial" w:eastAsia="Arial" w:hAnsi="Arial"/>
          <w:sz w:val="32"/>
          <w:szCs w:val="32"/>
          <w:b w:val="1"/>
          <w:bCs w:val="1"/>
          <w:color w:val="852166"/>
        </w:rPr>
        <w:t>SECURITY OWNERSHIP OF CERTAIN BENEFICIAL OWNERS AND MANAGEMENT</w:t>
      </w:r>
    </w:p>
    <w:p>
      <w:pPr>
        <w:spacing w:after="0" w:line="2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 xml:space="preserve">The following table sets forth certain information regarding the ownership of our ordinary shares as of May 1, 2024 (except as noted) by: (i) each director and director nominee; (ii) each of the executive officers named in the Summary Compensation Table under </w:t>
      </w:r>
      <w:r>
        <w:rPr>
          <w:rFonts w:ascii="Arial" w:cs="Arial" w:eastAsia="Arial" w:hAnsi="Arial"/>
          <w:sz w:val="16"/>
          <w:szCs w:val="16"/>
          <w:i w:val="1"/>
          <w:iCs w:val="1"/>
          <w:color w:val="auto"/>
        </w:rPr>
        <w:t>“Executive Compensation”</w:t>
      </w:r>
      <w:r>
        <w:rPr>
          <w:rFonts w:ascii="Arial" w:cs="Arial" w:eastAsia="Arial" w:hAnsi="Arial"/>
          <w:sz w:val="16"/>
          <w:szCs w:val="16"/>
          <w:color w:val="auto"/>
        </w:rPr>
        <w:t xml:space="preserve"> below (referred to throughout this proxy statement as our NEOs); (iii) all of our current executive officers, directors and director nominee as a group; and (iv) all those known by us to be beneficial owners of more than five percent of our ordinary shares.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 w:type="dxa"/>
            <w:vAlign w:val="bottom"/>
            <w:shd w:val="clear" w:color="auto" w:fill="870064"/>
          </w:tcPr>
          <w:p>
            <w:pPr>
              <w:spacing w:after="0"/>
              <w:rPr>
                <w:sz w:val="19"/>
                <w:szCs w:val="19"/>
                <w:color w:val="auto"/>
              </w:rPr>
            </w:pPr>
          </w:p>
        </w:tc>
        <w:tc>
          <w:tcPr>
            <w:tcW w:w="120" w:type="dxa"/>
            <w:vAlign w:val="bottom"/>
            <w:shd w:val="clear" w:color="auto" w:fill="870064"/>
          </w:tcPr>
          <w:p>
            <w:pPr>
              <w:spacing w:after="0"/>
              <w:rPr>
                <w:sz w:val="19"/>
                <w:szCs w:val="19"/>
                <w:color w:val="auto"/>
              </w:rPr>
            </w:pPr>
          </w:p>
        </w:tc>
        <w:tc>
          <w:tcPr>
            <w:tcW w:w="6600" w:type="dxa"/>
            <w:vAlign w:val="bottom"/>
            <w:shd w:val="clear" w:color="auto" w:fill="870064"/>
          </w:tcPr>
          <w:p>
            <w:pPr>
              <w:spacing w:after="0"/>
              <w:rPr>
                <w:sz w:val="19"/>
                <w:szCs w:val="19"/>
                <w:color w:val="auto"/>
              </w:rPr>
            </w:pPr>
          </w:p>
        </w:tc>
        <w:tc>
          <w:tcPr>
            <w:tcW w:w="2960" w:type="dxa"/>
            <w:vAlign w:val="bottom"/>
            <w:shd w:val="clear" w:color="auto" w:fill="870064"/>
          </w:tcPr>
          <w:p>
            <w:pPr>
              <w:jc w:val="right"/>
              <w:spacing w:after="0"/>
              <w:rPr>
                <w:sz w:val="20"/>
                <w:szCs w:val="20"/>
                <w:color w:val="auto"/>
              </w:rPr>
            </w:pPr>
            <w:r>
              <w:rPr>
                <w:rFonts w:ascii="Arial" w:cs="Arial" w:eastAsia="Arial" w:hAnsi="Arial"/>
                <w:sz w:val="14"/>
                <w:szCs w:val="14"/>
                <w:b w:val="1"/>
                <w:bCs w:val="1"/>
                <w:color w:val="FFFFFF"/>
              </w:rPr>
              <w:t>Beneficial Ownership</w:t>
            </w:r>
            <w:r>
              <w:rPr>
                <w:rFonts w:ascii="Arial" w:cs="Arial" w:eastAsia="Arial" w:hAnsi="Arial"/>
                <w:sz w:val="18"/>
                <w:szCs w:val="18"/>
                <w:b w:val="1"/>
                <w:bCs w:val="1"/>
                <w:color w:val="FFFFFF"/>
                <w:vertAlign w:val="superscript"/>
              </w:rPr>
              <w:t>(2)</w:t>
            </w:r>
          </w:p>
        </w:tc>
        <w:tc>
          <w:tcPr>
            <w:tcW w:w="1480" w:type="dxa"/>
            <w:vAlign w:val="bottom"/>
            <w:shd w:val="clear" w:color="auto" w:fill="870064"/>
          </w:tcPr>
          <w:p>
            <w:pPr>
              <w:spacing w:after="0"/>
              <w:rPr>
                <w:sz w:val="19"/>
                <w:szCs w:val="19"/>
                <w:color w:val="auto"/>
              </w:rPr>
            </w:pPr>
          </w:p>
        </w:tc>
      </w:tr>
      <w:tr>
        <w:trPr>
          <w:trHeight w:val="193"/>
        </w:trPr>
        <w:tc>
          <w:tcPr>
            <w:tcW w:w="80" w:type="dxa"/>
            <w:vAlign w:val="bottom"/>
            <w:shd w:val="clear" w:color="auto" w:fill="870064"/>
          </w:tcPr>
          <w:p>
            <w:pPr>
              <w:spacing w:after="0"/>
              <w:rPr>
                <w:sz w:val="16"/>
                <w:szCs w:val="16"/>
                <w:color w:val="auto"/>
              </w:rPr>
            </w:pPr>
          </w:p>
        </w:tc>
        <w:tc>
          <w:tcPr>
            <w:tcW w:w="120" w:type="dxa"/>
            <w:vAlign w:val="bottom"/>
            <w:shd w:val="clear" w:color="auto" w:fill="870064"/>
          </w:tcPr>
          <w:p>
            <w:pPr>
              <w:spacing w:after="0"/>
              <w:rPr>
                <w:sz w:val="16"/>
                <w:szCs w:val="16"/>
                <w:color w:val="auto"/>
              </w:rPr>
            </w:pPr>
          </w:p>
        </w:tc>
        <w:tc>
          <w:tcPr>
            <w:tcW w:w="6600" w:type="dxa"/>
            <w:vAlign w:val="bottom"/>
            <w:shd w:val="clear" w:color="auto" w:fill="870064"/>
          </w:tcPr>
          <w:p>
            <w:pPr>
              <w:spacing w:after="0"/>
              <w:rPr>
                <w:sz w:val="16"/>
                <w:szCs w:val="16"/>
                <w:color w:val="auto"/>
              </w:rPr>
            </w:pPr>
          </w:p>
        </w:tc>
        <w:tc>
          <w:tcPr>
            <w:tcW w:w="2960" w:type="dxa"/>
            <w:vAlign w:val="bottom"/>
            <w:shd w:val="clear" w:color="auto" w:fill="870064"/>
          </w:tcPr>
          <w:p>
            <w:pPr>
              <w:jc w:val="right"/>
              <w:ind w:right="728"/>
              <w:spacing w:after="0"/>
              <w:rPr>
                <w:sz w:val="20"/>
                <w:szCs w:val="20"/>
                <w:color w:val="auto"/>
              </w:rPr>
            </w:pPr>
            <w:r>
              <w:rPr>
                <w:rFonts w:ascii="Arial" w:cs="Arial" w:eastAsia="Arial" w:hAnsi="Arial"/>
                <w:sz w:val="14"/>
                <w:szCs w:val="14"/>
                <w:b w:val="1"/>
                <w:bCs w:val="1"/>
                <w:color w:val="FFFFFF"/>
              </w:rPr>
              <w:t>Number of Shares</w:t>
            </w:r>
          </w:p>
        </w:tc>
        <w:tc>
          <w:tcPr>
            <w:tcW w:w="1480" w:type="dxa"/>
            <w:vAlign w:val="bottom"/>
            <w:shd w:val="clear" w:color="auto" w:fill="870064"/>
          </w:tcPr>
          <w:p>
            <w:pPr>
              <w:jc w:val="right"/>
              <w:ind w:right="88"/>
              <w:spacing w:after="0"/>
              <w:rPr>
                <w:sz w:val="20"/>
                <w:szCs w:val="20"/>
                <w:color w:val="auto"/>
              </w:rPr>
            </w:pPr>
            <w:r>
              <w:rPr>
                <w:rFonts w:ascii="Arial" w:cs="Arial" w:eastAsia="Arial" w:hAnsi="Arial"/>
                <w:sz w:val="14"/>
                <w:szCs w:val="14"/>
                <w:b w:val="1"/>
                <w:bCs w:val="1"/>
                <w:color w:val="FFFFFF"/>
              </w:rPr>
              <w:t>Percentage of Total</w:t>
            </w:r>
          </w:p>
        </w:tc>
      </w:tr>
      <w:tr>
        <w:trPr>
          <w:trHeight w:val="259"/>
        </w:trPr>
        <w:tc>
          <w:tcPr>
            <w:tcW w:w="80" w:type="dxa"/>
            <w:vAlign w:val="bottom"/>
            <w:tcBorders>
              <w:bottom w:val="single" w:sz="8" w:color="870064"/>
            </w:tcBorders>
            <w:shd w:val="clear" w:color="auto" w:fill="870064"/>
          </w:tcPr>
          <w:p>
            <w:pPr>
              <w:spacing w:after="0"/>
              <w:rPr>
                <w:sz w:val="22"/>
                <w:szCs w:val="22"/>
                <w:color w:val="auto"/>
              </w:rPr>
            </w:pPr>
          </w:p>
        </w:tc>
        <w:tc>
          <w:tcPr>
            <w:tcW w:w="6720" w:type="dxa"/>
            <w:vAlign w:val="bottom"/>
            <w:tcBorders>
              <w:bottom w:val="single" w:sz="8" w:color="870064"/>
            </w:tcBorders>
            <w:gridSpan w:val="2"/>
            <w:shd w:val="clear" w:color="auto" w:fill="870064"/>
          </w:tcPr>
          <w:p>
            <w:pPr>
              <w:ind w:left="20"/>
              <w:spacing w:after="0"/>
              <w:rPr>
                <w:sz w:val="20"/>
                <w:szCs w:val="20"/>
                <w:color w:val="auto"/>
              </w:rPr>
            </w:pPr>
            <w:r>
              <w:rPr>
                <w:rFonts w:ascii="Arial" w:cs="Arial" w:eastAsia="Arial" w:hAnsi="Arial"/>
                <w:sz w:val="14"/>
                <w:szCs w:val="14"/>
                <w:b w:val="1"/>
                <w:bCs w:val="1"/>
                <w:color w:val="FFFFFF"/>
              </w:rPr>
              <w:t>Name and Address of Beneficial Owner</w:t>
            </w:r>
            <w:r>
              <w:rPr>
                <w:rFonts w:ascii="Arial" w:cs="Arial" w:eastAsia="Arial" w:hAnsi="Arial"/>
                <w:sz w:val="18"/>
                <w:szCs w:val="18"/>
                <w:b w:val="1"/>
                <w:bCs w:val="1"/>
                <w:color w:val="FFFFFF"/>
                <w:vertAlign w:val="superscript"/>
              </w:rPr>
              <w:t>(1)</w:t>
            </w:r>
          </w:p>
        </w:tc>
        <w:tc>
          <w:tcPr>
            <w:tcW w:w="2960" w:type="dxa"/>
            <w:vAlign w:val="bottom"/>
            <w:tcBorders>
              <w:bottom w:val="single" w:sz="8" w:color="870064"/>
            </w:tcBorders>
            <w:shd w:val="clear" w:color="auto" w:fill="870064"/>
          </w:tcPr>
          <w:p>
            <w:pPr>
              <w:jc w:val="right"/>
              <w:ind w:right="728"/>
              <w:spacing w:after="0"/>
              <w:rPr>
                <w:sz w:val="20"/>
                <w:szCs w:val="20"/>
                <w:color w:val="auto"/>
              </w:rPr>
            </w:pPr>
            <w:r>
              <w:rPr>
                <w:rFonts w:ascii="Arial" w:cs="Arial" w:eastAsia="Arial" w:hAnsi="Arial"/>
                <w:sz w:val="14"/>
                <w:szCs w:val="14"/>
                <w:b w:val="1"/>
                <w:bCs w:val="1"/>
                <w:color w:val="FFFFFF"/>
              </w:rPr>
              <w:t>(#)</w:t>
            </w:r>
          </w:p>
        </w:tc>
        <w:tc>
          <w:tcPr>
            <w:tcW w:w="1480" w:type="dxa"/>
            <w:vAlign w:val="bottom"/>
            <w:tcBorders>
              <w:bottom w:val="single" w:sz="8" w:color="870064"/>
            </w:tcBorders>
            <w:shd w:val="clear" w:color="auto" w:fill="870064"/>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229"/>
        </w:trPr>
        <w:tc>
          <w:tcPr>
            <w:tcW w:w="80" w:type="dxa"/>
            <w:vAlign w:val="bottom"/>
            <w:shd w:val="clear" w:color="auto" w:fill="EAEAEA"/>
          </w:tcPr>
          <w:p>
            <w:pPr>
              <w:spacing w:after="0"/>
              <w:rPr>
                <w:sz w:val="19"/>
                <w:szCs w:val="19"/>
                <w:color w:val="auto"/>
              </w:rPr>
            </w:pPr>
          </w:p>
        </w:tc>
        <w:tc>
          <w:tcPr>
            <w:tcW w:w="6720" w:type="dxa"/>
            <w:vAlign w:val="bottom"/>
            <w:gridSpan w:val="2"/>
            <w:shd w:val="clear" w:color="auto" w:fill="EAEAEA"/>
          </w:tcPr>
          <w:p>
            <w:pPr>
              <w:ind w:left="20"/>
              <w:spacing w:after="0"/>
              <w:rPr>
                <w:sz w:val="20"/>
                <w:szCs w:val="20"/>
                <w:color w:val="auto"/>
              </w:rPr>
            </w:pPr>
            <w:r>
              <w:rPr>
                <w:rFonts w:ascii="Arial" w:cs="Arial" w:eastAsia="Arial" w:hAnsi="Arial"/>
                <w:sz w:val="14"/>
                <w:szCs w:val="14"/>
                <w:b w:val="1"/>
                <w:bCs w:val="1"/>
                <w:color w:val="auto"/>
              </w:rPr>
              <w:t>5% Shareholders:</w:t>
            </w:r>
          </w:p>
        </w:tc>
        <w:tc>
          <w:tcPr>
            <w:tcW w:w="2960" w:type="dxa"/>
            <w:vAlign w:val="bottom"/>
            <w:shd w:val="clear" w:color="auto" w:fill="EAEAEA"/>
          </w:tcPr>
          <w:p>
            <w:pPr>
              <w:spacing w:after="0"/>
              <w:rPr>
                <w:sz w:val="19"/>
                <w:szCs w:val="19"/>
                <w:color w:val="auto"/>
              </w:rPr>
            </w:pPr>
          </w:p>
        </w:tc>
        <w:tc>
          <w:tcPr>
            <w:tcW w:w="1480" w:type="dxa"/>
            <w:vAlign w:val="bottom"/>
            <w:shd w:val="clear" w:color="auto" w:fill="EAEAEA"/>
          </w:tcPr>
          <w:p>
            <w:pPr>
              <w:spacing w:after="0"/>
              <w:rPr>
                <w:sz w:val="19"/>
                <w:szCs w:val="19"/>
                <w:color w:val="auto"/>
              </w:rPr>
            </w:pPr>
          </w:p>
        </w:tc>
      </w:tr>
      <w:tr>
        <w:trPr>
          <w:trHeight w:val="153"/>
        </w:trPr>
        <w:tc>
          <w:tcPr>
            <w:tcW w:w="80" w:type="dxa"/>
            <w:vAlign w:val="bottom"/>
          </w:tcPr>
          <w:p>
            <w:pPr>
              <w:spacing w:after="0"/>
              <w:rPr>
                <w:sz w:val="13"/>
                <w:szCs w:val="13"/>
                <w:color w:val="auto"/>
              </w:rPr>
            </w:pPr>
          </w:p>
        </w:tc>
        <w:tc>
          <w:tcPr>
            <w:tcW w:w="6720" w:type="dxa"/>
            <w:vAlign w:val="bottom"/>
            <w:gridSpan w:val="2"/>
          </w:tcPr>
          <w:p>
            <w:pPr>
              <w:ind w:left="80"/>
              <w:spacing w:after="0" w:line="153" w:lineRule="exact"/>
              <w:rPr>
                <w:sz w:val="20"/>
                <w:szCs w:val="20"/>
                <w:color w:val="auto"/>
              </w:rPr>
            </w:pPr>
            <w:r>
              <w:rPr>
                <w:rFonts w:ascii="Arial" w:cs="Arial" w:eastAsia="Arial" w:hAnsi="Arial"/>
                <w:sz w:val="14"/>
                <w:szCs w:val="14"/>
                <w:color w:val="auto"/>
              </w:rPr>
              <w:t>BlackRock, Inc.</w:t>
            </w:r>
            <w:r>
              <w:rPr>
                <w:rFonts w:ascii="Arial" w:cs="Arial" w:eastAsia="Arial" w:hAnsi="Arial"/>
                <w:sz w:val="17"/>
                <w:szCs w:val="17"/>
                <w:color w:val="auto"/>
                <w:vertAlign w:val="superscript"/>
              </w:rPr>
              <w:t>(3)</w:t>
            </w:r>
          </w:p>
        </w:tc>
        <w:tc>
          <w:tcPr>
            <w:tcW w:w="296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62"/>
        </w:trPr>
        <w:tc>
          <w:tcPr>
            <w:tcW w:w="80" w:type="dxa"/>
            <w:vAlign w:val="bottom"/>
          </w:tcPr>
          <w:p>
            <w:pPr>
              <w:spacing w:after="0"/>
              <w:rPr>
                <w:sz w:val="14"/>
                <w:szCs w:val="14"/>
                <w:color w:val="auto"/>
              </w:rPr>
            </w:pPr>
          </w:p>
        </w:tc>
        <w:tc>
          <w:tcPr>
            <w:tcW w:w="6720" w:type="dxa"/>
            <w:vAlign w:val="bottom"/>
            <w:gridSpan w:val="2"/>
          </w:tcPr>
          <w:p>
            <w:pPr>
              <w:ind w:left="80"/>
              <w:spacing w:after="0"/>
              <w:rPr>
                <w:sz w:val="20"/>
                <w:szCs w:val="20"/>
                <w:color w:val="auto"/>
              </w:rPr>
            </w:pPr>
            <w:r>
              <w:rPr>
                <w:rFonts w:ascii="Arial" w:cs="Arial" w:eastAsia="Arial" w:hAnsi="Arial"/>
                <w:sz w:val="14"/>
                <w:szCs w:val="14"/>
                <w:color w:val="auto"/>
              </w:rPr>
              <w:t>50 Hudson Yards</w:t>
            </w:r>
          </w:p>
        </w:tc>
        <w:tc>
          <w:tcPr>
            <w:tcW w:w="2960" w:type="dxa"/>
            <w:vAlign w:val="bottom"/>
          </w:tcPr>
          <w:p>
            <w:pPr>
              <w:jc w:val="right"/>
              <w:ind w:right="788"/>
              <w:spacing w:after="0"/>
              <w:rPr>
                <w:sz w:val="20"/>
                <w:szCs w:val="20"/>
                <w:color w:val="auto"/>
              </w:rPr>
            </w:pPr>
            <w:r>
              <w:rPr>
                <w:rFonts w:ascii="Arial" w:cs="Arial" w:eastAsia="Arial" w:hAnsi="Arial"/>
                <w:sz w:val="14"/>
                <w:szCs w:val="14"/>
                <w:color w:val="auto"/>
              </w:rPr>
              <w:t>7,055,747</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11.2 %</w:t>
            </w:r>
          </w:p>
        </w:tc>
      </w:tr>
      <w:tr>
        <w:trPr>
          <w:trHeight w:val="190"/>
        </w:trPr>
        <w:tc>
          <w:tcPr>
            <w:tcW w:w="80" w:type="dxa"/>
            <w:vAlign w:val="bottom"/>
          </w:tcPr>
          <w:p>
            <w:pPr>
              <w:spacing w:after="0"/>
              <w:rPr>
                <w:sz w:val="16"/>
                <w:szCs w:val="16"/>
                <w:color w:val="auto"/>
              </w:rPr>
            </w:pPr>
          </w:p>
        </w:tc>
        <w:tc>
          <w:tcPr>
            <w:tcW w:w="6720" w:type="dxa"/>
            <w:vAlign w:val="bottom"/>
            <w:gridSpan w:val="2"/>
          </w:tcPr>
          <w:p>
            <w:pPr>
              <w:ind w:left="80"/>
              <w:spacing w:after="0"/>
              <w:rPr>
                <w:sz w:val="20"/>
                <w:szCs w:val="20"/>
                <w:color w:val="auto"/>
              </w:rPr>
            </w:pPr>
            <w:r>
              <w:rPr>
                <w:rFonts w:ascii="Arial" w:cs="Arial" w:eastAsia="Arial" w:hAnsi="Arial"/>
                <w:sz w:val="14"/>
                <w:szCs w:val="14"/>
                <w:color w:val="auto"/>
              </w:rPr>
              <w:t>New York, NY 10001</w:t>
            </w:r>
          </w:p>
        </w:tc>
        <w:tc>
          <w:tcPr>
            <w:tcW w:w="29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2"/>
        </w:trPr>
        <w:tc>
          <w:tcPr>
            <w:tcW w:w="80" w:type="dxa"/>
            <w:vAlign w:val="bottom"/>
            <w:tcBorders>
              <w:bottom w:val="single" w:sz="8" w:color="auto"/>
            </w:tcBorders>
          </w:tcPr>
          <w:p>
            <w:pPr>
              <w:spacing w:after="0" w:line="20" w:lineRule="exact"/>
              <w:rPr>
                <w:sz w:val="1"/>
                <w:szCs w:val="1"/>
                <w:color w:val="auto"/>
              </w:rPr>
            </w:pPr>
          </w:p>
        </w:tc>
        <w:tc>
          <w:tcPr>
            <w:tcW w:w="6720" w:type="dxa"/>
            <w:vAlign w:val="bottom"/>
            <w:tcBorders>
              <w:bottom w:val="single" w:sz="8" w:color="auto"/>
            </w:tcBorders>
            <w:gridSpan w:val="2"/>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46"/>
        </w:trPr>
        <w:tc>
          <w:tcPr>
            <w:tcW w:w="80" w:type="dxa"/>
            <w:vAlign w:val="bottom"/>
          </w:tcPr>
          <w:p>
            <w:pPr>
              <w:spacing w:after="0"/>
              <w:rPr>
                <w:sz w:val="12"/>
                <w:szCs w:val="12"/>
                <w:color w:val="auto"/>
              </w:rPr>
            </w:pPr>
          </w:p>
        </w:tc>
        <w:tc>
          <w:tcPr>
            <w:tcW w:w="6720" w:type="dxa"/>
            <w:vAlign w:val="bottom"/>
            <w:gridSpan w:val="2"/>
          </w:tcPr>
          <w:p>
            <w:pPr>
              <w:ind w:left="80"/>
              <w:spacing w:after="0" w:line="146" w:lineRule="exact"/>
              <w:rPr>
                <w:sz w:val="20"/>
                <w:szCs w:val="20"/>
                <w:color w:val="auto"/>
              </w:rPr>
            </w:pPr>
            <w:r>
              <w:rPr>
                <w:rFonts w:ascii="Arial" w:cs="Arial" w:eastAsia="Arial" w:hAnsi="Arial"/>
                <w:sz w:val="13"/>
                <w:szCs w:val="13"/>
                <w:color w:val="auto"/>
              </w:rPr>
              <w:t>The Vanguard Group</w:t>
            </w:r>
            <w:r>
              <w:rPr>
                <w:rFonts w:ascii="Arial" w:cs="Arial" w:eastAsia="Arial" w:hAnsi="Arial"/>
                <w:sz w:val="16"/>
                <w:szCs w:val="16"/>
                <w:color w:val="auto"/>
                <w:vertAlign w:val="superscript"/>
              </w:rPr>
              <w:t>(4)</w:t>
            </w:r>
          </w:p>
        </w:tc>
        <w:tc>
          <w:tcPr>
            <w:tcW w:w="296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62"/>
        </w:trPr>
        <w:tc>
          <w:tcPr>
            <w:tcW w:w="80" w:type="dxa"/>
            <w:vAlign w:val="bottom"/>
          </w:tcPr>
          <w:p>
            <w:pPr>
              <w:spacing w:after="0"/>
              <w:rPr>
                <w:sz w:val="14"/>
                <w:szCs w:val="14"/>
                <w:color w:val="auto"/>
              </w:rPr>
            </w:pPr>
          </w:p>
        </w:tc>
        <w:tc>
          <w:tcPr>
            <w:tcW w:w="6720" w:type="dxa"/>
            <w:vAlign w:val="bottom"/>
            <w:gridSpan w:val="2"/>
          </w:tcPr>
          <w:p>
            <w:pPr>
              <w:ind w:left="80"/>
              <w:spacing w:after="0"/>
              <w:rPr>
                <w:sz w:val="20"/>
                <w:szCs w:val="20"/>
                <w:color w:val="auto"/>
              </w:rPr>
            </w:pPr>
            <w:r>
              <w:rPr>
                <w:rFonts w:ascii="Arial" w:cs="Arial" w:eastAsia="Arial" w:hAnsi="Arial"/>
                <w:sz w:val="14"/>
                <w:szCs w:val="14"/>
                <w:color w:val="auto"/>
              </w:rPr>
              <w:t>100 Vanguard Blvd.</w:t>
            </w:r>
          </w:p>
        </w:tc>
        <w:tc>
          <w:tcPr>
            <w:tcW w:w="2960" w:type="dxa"/>
            <w:vAlign w:val="bottom"/>
          </w:tcPr>
          <w:p>
            <w:pPr>
              <w:jc w:val="right"/>
              <w:ind w:right="788"/>
              <w:spacing w:after="0"/>
              <w:rPr>
                <w:sz w:val="20"/>
                <w:szCs w:val="20"/>
                <w:color w:val="auto"/>
              </w:rPr>
            </w:pPr>
            <w:r>
              <w:rPr>
                <w:rFonts w:ascii="Arial" w:cs="Arial" w:eastAsia="Arial" w:hAnsi="Arial"/>
                <w:sz w:val="14"/>
                <w:szCs w:val="14"/>
                <w:color w:val="auto"/>
              </w:rPr>
              <w:t>6,363,748</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10.1 %</w:t>
            </w:r>
          </w:p>
        </w:tc>
      </w:tr>
      <w:tr>
        <w:trPr>
          <w:trHeight w:val="190"/>
        </w:trPr>
        <w:tc>
          <w:tcPr>
            <w:tcW w:w="80" w:type="dxa"/>
            <w:vAlign w:val="bottom"/>
          </w:tcPr>
          <w:p>
            <w:pPr>
              <w:spacing w:after="0"/>
              <w:rPr>
                <w:sz w:val="16"/>
                <w:szCs w:val="16"/>
                <w:color w:val="auto"/>
              </w:rPr>
            </w:pPr>
          </w:p>
        </w:tc>
        <w:tc>
          <w:tcPr>
            <w:tcW w:w="6720" w:type="dxa"/>
            <w:vAlign w:val="bottom"/>
            <w:gridSpan w:val="2"/>
          </w:tcPr>
          <w:p>
            <w:pPr>
              <w:ind w:left="80"/>
              <w:spacing w:after="0"/>
              <w:rPr>
                <w:sz w:val="20"/>
                <w:szCs w:val="20"/>
                <w:color w:val="auto"/>
              </w:rPr>
            </w:pPr>
            <w:r>
              <w:rPr>
                <w:rFonts w:ascii="Arial" w:cs="Arial" w:eastAsia="Arial" w:hAnsi="Arial"/>
                <w:sz w:val="14"/>
                <w:szCs w:val="14"/>
                <w:color w:val="auto"/>
              </w:rPr>
              <w:t>Malvern, PA 19355</w:t>
            </w:r>
          </w:p>
        </w:tc>
        <w:tc>
          <w:tcPr>
            <w:tcW w:w="29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2"/>
        </w:trPr>
        <w:tc>
          <w:tcPr>
            <w:tcW w:w="8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29"/>
        </w:trPr>
        <w:tc>
          <w:tcPr>
            <w:tcW w:w="80" w:type="dxa"/>
            <w:vAlign w:val="bottom"/>
            <w:shd w:val="clear" w:color="auto" w:fill="EAEAEA"/>
          </w:tcPr>
          <w:p>
            <w:pPr>
              <w:spacing w:after="0"/>
              <w:rPr>
                <w:sz w:val="19"/>
                <w:szCs w:val="19"/>
                <w:color w:val="auto"/>
              </w:rPr>
            </w:pPr>
          </w:p>
        </w:tc>
        <w:tc>
          <w:tcPr>
            <w:tcW w:w="6720" w:type="dxa"/>
            <w:vAlign w:val="bottom"/>
            <w:gridSpan w:val="2"/>
            <w:shd w:val="clear" w:color="auto" w:fill="EAEAEA"/>
          </w:tcPr>
          <w:p>
            <w:pPr>
              <w:ind w:left="20"/>
              <w:spacing w:after="0"/>
              <w:rPr>
                <w:sz w:val="20"/>
                <w:szCs w:val="20"/>
                <w:color w:val="auto"/>
              </w:rPr>
            </w:pPr>
            <w:r>
              <w:rPr>
                <w:rFonts w:ascii="Arial" w:cs="Arial" w:eastAsia="Arial" w:hAnsi="Arial"/>
                <w:sz w:val="14"/>
                <w:szCs w:val="14"/>
                <w:b w:val="1"/>
                <w:bCs w:val="1"/>
                <w:color w:val="auto"/>
              </w:rPr>
              <w:t>Named Executive Officers, Directors and Director Nominee:</w:t>
            </w:r>
          </w:p>
        </w:tc>
        <w:tc>
          <w:tcPr>
            <w:tcW w:w="2960" w:type="dxa"/>
            <w:vAlign w:val="bottom"/>
            <w:shd w:val="clear" w:color="auto" w:fill="EAEAEA"/>
          </w:tcPr>
          <w:p>
            <w:pPr>
              <w:spacing w:after="0"/>
              <w:rPr>
                <w:sz w:val="19"/>
                <w:szCs w:val="19"/>
                <w:color w:val="auto"/>
              </w:rPr>
            </w:pPr>
          </w:p>
        </w:tc>
        <w:tc>
          <w:tcPr>
            <w:tcW w:w="1480" w:type="dxa"/>
            <w:vAlign w:val="bottom"/>
            <w:shd w:val="clear" w:color="auto" w:fill="EAEAEA"/>
          </w:tcPr>
          <w:p>
            <w:pPr>
              <w:spacing w:after="0"/>
              <w:rPr>
                <w:sz w:val="19"/>
                <w:szCs w:val="19"/>
                <w:color w:val="auto"/>
              </w:rPr>
            </w:pPr>
          </w:p>
        </w:tc>
      </w:tr>
      <w:tr>
        <w:trPr>
          <w:trHeight w:val="277"/>
        </w:trPr>
        <w:tc>
          <w:tcPr>
            <w:tcW w:w="8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Bruce C. Cozadd</w:t>
            </w:r>
            <w:r>
              <w:rPr>
                <w:rFonts w:ascii="Arial" w:cs="Arial" w:eastAsia="Arial" w:hAnsi="Arial"/>
                <w:sz w:val="18"/>
                <w:szCs w:val="18"/>
                <w:color w:val="auto"/>
                <w:vertAlign w:val="superscript"/>
              </w:rPr>
              <w:t>(5)</w:t>
            </w:r>
          </w:p>
        </w:tc>
        <w:tc>
          <w:tcPr>
            <w:tcW w:w="2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899,956</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1.4 %</w:t>
            </w:r>
          </w:p>
        </w:tc>
      </w:tr>
      <w:tr>
        <w:trPr>
          <w:trHeight w:val="277"/>
        </w:trPr>
        <w:tc>
          <w:tcPr>
            <w:tcW w:w="8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Renée Galá</w:t>
            </w:r>
            <w:r>
              <w:rPr>
                <w:rFonts w:ascii="Arial" w:cs="Arial" w:eastAsia="Arial" w:hAnsi="Arial"/>
                <w:sz w:val="18"/>
                <w:szCs w:val="18"/>
                <w:color w:val="auto"/>
                <w:vertAlign w:val="superscript"/>
              </w:rPr>
              <w:t>(6)</w:t>
            </w:r>
          </w:p>
        </w:tc>
        <w:tc>
          <w:tcPr>
            <w:tcW w:w="2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58,189</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77"/>
        </w:trPr>
        <w:tc>
          <w:tcPr>
            <w:tcW w:w="8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Patricia Carr</w:t>
            </w:r>
            <w:r>
              <w:rPr>
                <w:rFonts w:ascii="Arial" w:cs="Arial" w:eastAsia="Arial" w:hAnsi="Arial"/>
                <w:sz w:val="18"/>
                <w:szCs w:val="18"/>
                <w:color w:val="auto"/>
                <w:vertAlign w:val="superscript"/>
              </w:rPr>
              <w:t>(7)</w:t>
            </w:r>
          </w:p>
        </w:tc>
        <w:tc>
          <w:tcPr>
            <w:tcW w:w="2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23,313</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77"/>
        </w:trPr>
        <w:tc>
          <w:tcPr>
            <w:tcW w:w="8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Robert Iannone, M.D., M.S.C.E</w:t>
            </w:r>
            <w:r>
              <w:rPr>
                <w:rFonts w:ascii="Arial" w:cs="Arial" w:eastAsia="Arial" w:hAnsi="Arial"/>
                <w:sz w:val="18"/>
                <w:szCs w:val="18"/>
                <w:color w:val="auto"/>
                <w:vertAlign w:val="superscript"/>
              </w:rPr>
              <w:t>(8)</w:t>
            </w:r>
          </w:p>
        </w:tc>
        <w:tc>
          <w:tcPr>
            <w:tcW w:w="2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85,644</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77"/>
        </w:trPr>
        <w:tc>
          <w:tcPr>
            <w:tcW w:w="8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Neena M. Patil</w:t>
            </w:r>
            <w:r>
              <w:rPr>
                <w:rFonts w:ascii="Arial" w:cs="Arial" w:eastAsia="Arial" w:hAnsi="Arial"/>
                <w:sz w:val="18"/>
                <w:szCs w:val="18"/>
                <w:color w:val="auto"/>
                <w:vertAlign w:val="superscript"/>
              </w:rPr>
              <w:t>(9)</w:t>
            </w:r>
          </w:p>
        </w:tc>
        <w:tc>
          <w:tcPr>
            <w:tcW w:w="2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66,958</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77"/>
        </w:trPr>
        <w:tc>
          <w:tcPr>
            <w:tcW w:w="8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Daniel N. Swisher, Jr.</w:t>
            </w:r>
            <w:r>
              <w:rPr>
                <w:rFonts w:ascii="Arial" w:cs="Arial" w:eastAsia="Arial" w:hAnsi="Arial"/>
                <w:sz w:val="18"/>
                <w:szCs w:val="18"/>
                <w:color w:val="auto"/>
                <w:vertAlign w:val="superscript"/>
              </w:rPr>
              <w:t>(10)</w:t>
            </w:r>
          </w:p>
        </w:tc>
        <w:tc>
          <w:tcPr>
            <w:tcW w:w="2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93,669</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77"/>
        </w:trPr>
        <w:tc>
          <w:tcPr>
            <w:tcW w:w="8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Kim Sablich</w:t>
            </w:r>
            <w:r>
              <w:rPr>
                <w:rFonts w:ascii="Arial" w:cs="Arial" w:eastAsia="Arial" w:hAnsi="Arial"/>
                <w:sz w:val="18"/>
                <w:szCs w:val="18"/>
                <w:color w:val="auto"/>
                <w:vertAlign w:val="superscript"/>
              </w:rPr>
              <w:t>(11)</w:t>
            </w:r>
          </w:p>
        </w:tc>
        <w:tc>
          <w:tcPr>
            <w:tcW w:w="2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47,647</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77"/>
        </w:trPr>
        <w:tc>
          <w:tcPr>
            <w:tcW w:w="8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Jennifer E. Cook</w:t>
            </w:r>
            <w:r>
              <w:rPr>
                <w:rFonts w:ascii="Arial" w:cs="Arial" w:eastAsia="Arial" w:hAnsi="Arial"/>
                <w:sz w:val="18"/>
                <w:szCs w:val="18"/>
                <w:color w:val="auto"/>
                <w:vertAlign w:val="superscript"/>
              </w:rPr>
              <w:t>(12)</w:t>
            </w:r>
          </w:p>
        </w:tc>
        <w:tc>
          <w:tcPr>
            <w:tcW w:w="2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10,288</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77"/>
        </w:trPr>
        <w:tc>
          <w:tcPr>
            <w:tcW w:w="8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Patrick G. Enright</w:t>
            </w:r>
            <w:r>
              <w:rPr>
                <w:rFonts w:ascii="Arial" w:cs="Arial" w:eastAsia="Arial" w:hAnsi="Arial"/>
                <w:sz w:val="18"/>
                <w:szCs w:val="18"/>
                <w:color w:val="auto"/>
                <w:vertAlign w:val="superscript"/>
              </w:rPr>
              <w:t>(13)</w:t>
            </w:r>
          </w:p>
        </w:tc>
        <w:tc>
          <w:tcPr>
            <w:tcW w:w="2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33,176</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77"/>
        </w:trPr>
        <w:tc>
          <w:tcPr>
            <w:tcW w:w="8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Peter Gray</w:t>
            </w:r>
            <w:r>
              <w:rPr>
                <w:rFonts w:ascii="Arial" w:cs="Arial" w:eastAsia="Arial" w:hAnsi="Arial"/>
                <w:sz w:val="18"/>
                <w:szCs w:val="18"/>
                <w:color w:val="auto"/>
                <w:vertAlign w:val="superscript"/>
              </w:rPr>
              <w:t>(14)</w:t>
            </w:r>
          </w:p>
        </w:tc>
        <w:tc>
          <w:tcPr>
            <w:tcW w:w="2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41,843</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08"/>
        </w:trPr>
        <w:tc>
          <w:tcPr>
            <w:tcW w:w="80" w:type="dxa"/>
            <w:vAlign w:val="bottom"/>
          </w:tcPr>
          <w:p>
            <w:pPr>
              <w:spacing w:after="0"/>
              <w:rPr>
                <w:sz w:val="18"/>
                <w:szCs w:val="18"/>
                <w:color w:val="auto"/>
              </w:rPr>
            </w:pPr>
          </w:p>
        </w:tc>
        <w:tc>
          <w:tcPr>
            <w:tcW w:w="6720" w:type="dxa"/>
            <w:vAlign w:val="bottom"/>
            <w:gridSpan w:val="2"/>
          </w:tcPr>
          <w:p>
            <w:pPr>
              <w:ind w:left="20"/>
              <w:spacing w:after="0"/>
              <w:rPr>
                <w:sz w:val="20"/>
                <w:szCs w:val="20"/>
                <w:color w:val="auto"/>
              </w:rPr>
            </w:pPr>
            <w:r>
              <w:rPr>
                <w:rFonts w:ascii="Arial" w:cs="Arial" w:eastAsia="Arial" w:hAnsi="Arial"/>
                <w:sz w:val="14"/>
                <w:szCs w:val="14"/>
                <w:color w:val="auto"/>
              </w:rPr>
              <w:t>Laura J. Hamill</w:t>
            </w:r>
          </w:p>
        </w:tc>
        <w:tc>
          <w:tcPr>
            <w:tcW w:w="2960" w:type="dxa"/>
            <w:vAlign w:val="bottom"/>
          </w:tcPr>
          <w:p>
            <w:pPr>
              <w:jc w:val="right"/>
              <w:ind w:right="788"/>
              <w:spacing w:after="0"/>
              <w:rPr>
                <w:sz w:val="20"/>
                <w:szCs w:val="20"/>
                <w:color w:val="auto"/>
              </w:rPr>
            </w:pPr>
            <w:r>
              <w:rPr>
                <w:rFonts w:ascii="Arial" w:cs="Arial" w:eastAsia="Arial" w:hAnsi="Arial"/>
                <w:sz w:val="14"/>
                <w:szCs w:val="14"/>
                <w:color w:val="auto"/>
              </w:rPr>
              <w:t>1,500</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2"/>
        </w:trPr>
        <w:tc>
          <w:tcPr>
            <w:tcW w:w="80" w:type="dxa"/>
            <w:vAlign w:val="bottom"/>
            <w:tcBorders>
              <w:bottom w:val="single" w:sz="8" w:color="auto"/>
            </w:tcBorders>
          </w:tcPr>
          <w:p>
            <w:pPr>
              <w:spacing w:after="0" w:line="20" w:lineRule="exact"/>
              <w:rPr>
                <w:sz w:val="1"/>
                <w:szCs w:val="1"/>
                <w:color w:val="auto"/>
              </w:rPr>
            </w:pPr>
          </w:p>
        </w:tc>
        <w:tc>
          <w:tcPr>
            <w:tcW w:w="6720" w:type="dxa"/>
            <w:vAlign w:val="bottom"/>
            <w:tcBorders>
              <w:bottom w:val="single" w:sz="8" w:color="auto"/>
            </w:tcBorders>
            <w:gridSpan w:val="2"/>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1"/>
        </w:trPr>
        <w:tc>
          <w:tcPr>
            <w:tcW w:w="80" w:type="dxa"/>
            <w:vAlign w:val="bottom"/>
          </w:tcPr>
          <w:p>
            <w:pPr>
              <w:spacing w:after="0"/>
              <w:rPr>
                <w:sz w:val="17"/>
                <w:szCs w:val="17"/>
                <w:color w:val="auto"/>
              </w:rPr>
            </w:pPr>
          </w:p>
        </w:tc>
        <w:tc>
          <w:tcPr>
            <w:tcW w:w="6720" w:type="dxa"/>
            <w:vAlign w:val="bottom"/>
            <w:gridSpan w:val="2"/>
          </w:tcPr>
          <w:p>
            <w:pPr>
              <w:ind w:left="20"/>
              <w:spacing w:after="0"/>
              <w:rPr>
                <w:sz w:val="20"/>
                <w:szCs w:val="20"/>
                <w:color w:val="auto"/>
              </w:rPr>
            </w:pPr>
            <w:r>
              <w:rPr>
                <w:rFonts w:ascii="Arial" w:cs="Arial" w:eastAsia="Arial" w:hAnsi="Arial"/>
                <w:sz w:val="14"/>
                <w:szCs w:val="14"/>
                <w:color w:val="auto"/>
              </w:rPr>
              <w:t>Patrick Kennedy</w:t>
            </w:r>
          </w:p>
        </w:tc>
        <w:tc>
          <w:tcPr>
            <w:tcW w:w="2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2"/>
        </w:trPr>
        <w:tc>
          <w:tcPr>
            <w:tcW w:w="80" w:type="dxa"/>
            <w:vAlign w:val="bottom"/>
            <w:tcBorders>
              <w:bottom w:val="single" w:sz="8" w:color="auto"/>
            </w:tcBorders>
          </w:tcPr>
          <w:p>
            <w:pPr>
              <w:spacing w:after="0" w:line="20" w:lineRule="exact"/>
              <w:rPr>
                <w:sz w:val="1"/>
                <w:szCs w:val="1"/>
                <w:color w:val="auto"/>
              </w:rPr>
            </w:pPr>
          </w:p>
        </w:tc>
        <w:tc>
          <w:tcPr>
            <w:tcW w:w="6720" w:type="dxa"/>
            <w:vAlign w:val="bottom"/>
            <w:tcBorders>
              <w:bottom w:val="single" w:sz="8" w:color="auto"/>
            </w:tcBorders>
            <w:gridSpan w:val="2"/>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71"/>
        </w:trPr>
        <w:tc>
          <w:tcPr>
            <w:tcW w:w="80" w:type="dxa"/>
            <w:vAlign w:val="bottom"/>
            <w:tcBorders>
              <w:bottom w:val="single" w:sz="8" w:color="auto"/>
            </w:tcBorders>
          </w:tcPr>
          <w:p>
            <w:pPr>
              <w:spacing w:after="0"/>
              <w:rPr>
                <w:sz w:val="23"/>
                <w:szCs w:val="23"/>
                <w:color w:val="auto"/>
              </w:rPr>
            </w:pPr>
          </w:p>
        </w:tc>
        <w:tc>
          <w:tcPr>
            <w:tcW w:w="6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Heather Ann McSharry</w:t>
            </w:r>
            <w:r>
              <w:rPr>
                <w:rFonts w:ascii="Arial" w:cs="Arial" w:eastAsia="Arial" w:hAnsi="Arial"/>
                <w:sz w:val="18"/>
                <w:szCs w:val="18"/>
                <w:color w:val="auto"/>
                <w:vertAlign w:val="superscript"/>
              </w:rPr>
              <w:t>(15)</w:t>
            </w:r>
          </w:p>
        </w:tc>
        <w:tc>
          <w:tcPr>
            <w:tcW w:w="2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42,553</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77"/>
        </w:trPr>
        <w:tc>
          <w:tcPr>
            <w:tcW w:w="8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Seamus Mulligan</w:t>
            </w:r>
            <w:r>
              <w:rPr>
                <w:rFonts w:ascii="Arial" w:cs="Arial" w:eastAsia="Arial" w:hAnsi="Arial"/>
                <w:sz w:val="18"/>
                <w:szCs w:val="18"/>
                <w:color w:val="auto"/>
                <w:vertAlign w:val="superscript"/>
              </w:rPr>
              <w:t>(16)</w:t>
            </w:r>
          </w:p>
        </w:tc>
        <w:tc>
          <w:tcPr>
            <w:tcW w:w="2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1,198,150</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1.9 %</w:t>
            </w:r>
          </w:p>
        </w:tc>
      </w:tr>
      <w:tr>
        <w:trPr>
          <w:trHeight w:val="277"/>
        </w:trPr>
        <w:tc>
          <w:tcPr>
            <w:tcW w:w="8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Kenneth W. O’Keefe</w:t>
            </w:r>
            <w:r>
              <w:rPr>
                <w:rFonts w:ascii="Arial" w:cs="Arial" w:eastAsia="Arial" w:hAnsi="Arial"/>
                <w:sz w:val="18"/>
                <w:szCs w:val="18"/>
                <w:color w:val="auto"/>
                <w:vertAlign w:val="superscript"/>
              </w:rPr>
              <w:t>(17)</w:t>
            </w:r>
          </w:p>
        </w:tc>
        <w:tc>
          <w:tcPr>
            <w:tcW w:w="2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54,943</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77"/>
        </w:trPr>
        <w:tc>
          <w:tcPr>
            <w:tcW w:w="8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Anne O‘Riordan</w:t>
            </w:r>
            <w:r>
              <w:rPr>
                <w:rFonts w:ascii="Arial" w:cs="Arial" w:eastAsia="Arial" w:hAnsi="Arial"/>
                <w:sz w:val="18"/>
                <w:szCs w:val="18"/>
                <w:color w:val="auto"/>
                <w:vertAlign w:val="superscript"/>
              </w:rPr>
              <w:t>(18)</w:t>
            </w:r>
          </w:p>
        </w:tc>
        <w:tc>
          <w:tcPr>
            <w:tcW w:w="2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28,146</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77"/>
        </w:trPr>
        <w:tc>
          <w:tcPr>
            <w:tcW w:w="8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Norbert G. Riedel, Ph.D.</w:t>
            </w:r>
            <w:r>
              <w:rPr>
                <w:rFonts w:ascii="Arial" w:cs="Arial" w:eastAsia="Arial" w:hAnsi="Arial"/>
                <w:sz w:val="18"/>
                <w:szCs w:val="18"/>
                <w:color w:val="auto"/>
                <w:vertAlign w:val="superscript"/>
              </w:rPr>
              <w:t>(19)</w:t>
            </w:r>
          </w:p>
        </w:tc>
        <w:tc>
          <w:tcPr>
            <w:tcW w:w="2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39,480</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77"/>
        </w:trPr>
        <w:tc>
          <w:tcPr>
            <w:tcW w:w="8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Mark D. Smith, M.D.</w:t>
            </w:r>
            <w:r>
              <w:rPr>
                <w:rFonts w:ascii="Arial" w:cs="Arial" w:eastAsia="Arial" w:hAnsi="Arial"/>
                <w:sz w:val="18"/>
                <w:szCs w:val="18"/>
                <w:color w:val="auto"/>
                <w:vertAlign w:val="superscript"/>
              </w:rPr>
              <w:t>(20)</w:t>
            </w:r>
          </w:p>
        </w:tc>
        <w:tc>
          <w:tcPr>
            <w:tcW w:w="2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10,288</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77"/>
        </w:trPr>
        <w:tc>
          <w:tcPr>
            <w:tcW w:w="8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Catherine A. Sohn, Pharm.D.</w:t>
            </w:r>
            <w:r>
              <w:rPr>
                <w:rFonts w:ascii="Arial" w:cs="Arial" w:eastAsia="Arial" w:hAnsi="Arial"/>
                <w:sz w:val="18"/>
                <w:szCs w:val="18"/>
                <w:color w:val="auto"/>
                <w:vertAlign w:val="superscript"/>
              </w:rPr>
              <w:t>(21)</w:t>
            </w:r>
          </w:p>
        </w:tc>
        <w:tc>
          <w:tcPr>
            <w:tcW w:w="2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40,643</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77"/>
        </w:trPr>
        <w:tc>
          <w:tcPr>
            <w:tcW w:w="8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Rick E Winningham</w:t>
            </w:r>
            <w:r>
              <w:rPr>
                <w:rFonts w:ascii="Arial" w:cs="Arial" w:eastAsia="Arial" w:hAnsi="Arial"/>
                <w:sz w:val="18"/>
                <w:szCs w:val="18"/>
                <w:color w:val="auto"/>
                <w:vertAlign w:val="superscript"/>
              </w:rPr>
              <w:t>(22)</w:t>
            </w:r>
          </w:p>
        </w:tc>
        <w:tc>
          <w:tcPr>
            <w:tcW w:w="2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36,219</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77"/>
        </w:trPr>
        <w:tc>
          <w:tcPr>
            <w:tcW w:w="80" w:type="dxa"/>
            <w:vAlign w:val="bottom"/>
            <w:tcBorders>
              <w:bottom w:val="single" w:sz="8" w:color="870064"/>
            </w:tcBorders>
          </w:tcPr>
          <w:p>
            <w:pPr>
              <w:spacing w:after="0"/>
              <w:rPr>
                <w:sz w:val="24"/>
                <w:szCs w:val="24"/>
                <w:color w:val="auto"/>
              </w:rPr>
            </w:pPr>
          </w:p>
        </w:tc>
        <w:tc>
          <w:tcPr>
            <w:tcW w:w="6720" w:type="dxa"/>
            <w:vAlign w:val="bottom"/>
            <w:tcBorders>
              <w:bottom w:val="single" w:sz="8" w:color="870064"/>
            </w:tcBorders>
            <w:gridSpan w:val="2"/>
          </w:tcPr>
          <w:p>
            <w:pPr>
              <w:ind w:left="20"/>
              <w:spacing w:after="0"/>
              <w:rPr>
                <w:sz w:val="20"/>
                <w:szCs w:val="20"/>
                <w:color w:val="auto"/>
              </w:rPr>
            </w:pPr>
            <w:r>
              <w:rPr>
                <w:rFonts w:ascii="Arial" w:cs="Arial" w:eastAsia="Arial" w:hAnsi="Arial"/>
                <w:sz w:val="14"/>
                <w:szCs w:val="14"/>
                <w:color w:val="auto"/>
              </w:rPr>
              <w:t>All current executive officers, directors and director nominee as a group (21 persons)</w:t>
            </w:r>
            <w:r>
              <w:rPr>
                <w:rFonts w:ascii="Arial" w:cs="Arial" w:eastAsia="Arial" w:hAnsi="Arial"/>
                <w:sz w:val="18"/>
                <w:szCs w:val="18"/>
                <w:color w:val="auto"/>
                <w:vertAlign w:val="superscript"/>
              </w:rPr>
              <w:t>(23)</w:t>
            </w:r>
          </w:p>
        </w:tc>
        <w:tc>
          <w:tcPr>
            <w:tcW w:w="2960" w:type="dxa"/>
            <w:vAlign w:val="bottom"/>
            <w:tcBorders>
              <w:bottom w:val="single" w:sz="8" w:color="870064"/>
            </w:tcBorders>
          </w:tcPr>
          <w:p>
            <w:pPr>
              <w:jc w:val="right"/>
              <w:ind w:right="788"/>
              <w:spacing w:after="0"/>
              <w:rPr>
                <w:sz w:val="20"/>
                <w:szCs w:val="20"/>
                <w:color w:val="auto"/>
              </w:rPr>
            </w:pPr>
            <w:r>
              <w:rPr>
                <w:rFonts w:ascii="Arial" w:cs="Arial" w:eastAsia="Arial" w:hAnsi="Arial"/>
                <w:sz w:val="14"/>
                <w:szCs w:val="14"/>
                <w:color w:val="auto"/>
              </w:rPr>
              <w:t>2,696,442</w:t>
            </w:r>
          </w:p>
        </w:tc>
        <w:tc>
          <w:tcPr>
            <w:tcW w:w="1480" w:type="dxa"/>
            <w:vAlign w:val="bottom"/>
            <w:tcBorders>
              <w:bottom w:val="single" w:sz="8" w:color="870064"/>
            </w:tcBorders>
          </w:tcPr>
          <w:p>
            <w:pPr>
              <w:jc w:val="right"/>
              <w:ind w:right="48"/>
              <w:spacing w:after="0"/>
              <w:rPr>
                <w:sz w:val="20"/>
                <w:szCs w:val="20"/>
                <w:color w:val="auto"/>
              </w:rPr>
            </w:pPr>
            <w:r>
              <w:rPr>
                <w:rFonts w:ascii="Arial" w:cs="Arial" w:eastAsia="Arial" w:hAnsi="Arial"/>
                <w:sz w:val="14"/>
                <w:szCs w:val="14"/>
                <w:color w:val="auto"/>
              </w:rPr>
              <w:t>4.2 %</w:t>
            </w:r>
          </w:p>
        </w:tc>
      </w:tr>
      <w:tr>
        <w:trPr>
          <w:trHeight w:val="316"/>
        </w:trPr>
        <w:tc>
          <w:tcPr>
            <w:tcW w:w="8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600" w:type="dxa"/>
            <w:vAlign w:val="bottom"/>
          </w:tcPr>
          <w:p>
            <w:pPr>
              <w:ind w:left="20"/>
              <w:spacing w:after="0"/>
              <w:rPr>
                <w:sz w:val="20"/>
                <w:szCs w:val="20"/>
                <w:color w:val="auto"/>
              </w:rPr>
            </w:pPr>
            <w:r>
              <w:rPr>
                <w:rFonts w:ascii="Arial" w:cs="Arial" w:eastAsia="Arial" w:hAnsi="Arial"/>
                <w:sz w:val="14"/>
                <w:szCs w:val="14"/>
                <w:color w:val="auto"/>
              </w:rPr>
              <w:t>Less than 1%.</w:t>
            </w:r>
          </w:p>
        </w:tc>
        <w:tc>
          <w:tcPr>
            <w:tcW w:w="29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743"/>
        </w:trPr>
        <w:tc>
          <w:tcPr>
            <w:tcW w:w="200" w:type="dxa"/>
            <w:vAlign w:val="bottom"/>
            <w:gridSpan w:val="2"/>
          </w:tcPr>
          <w:p>
            <w:pPr>
              <w:ind w:left="20"/>
              <w:spacing w:after="0"/>
              <w:rPr>
                <w:sz w:val="20"/>
                <w:szCs w:val="20"/>
                <w:color w:val="auto"/>
              </w:rPr>
            </w:pPr>
            <w:r>
              <w:rPr>
                <w:rFonts w:ascii="Arial" w:cs="Arial" w:eastAsia="Arial" w:hAnsi="Arial"/>
                <w:sz w:val="14"/>
                <w:szCs w:val="14"/>
                <w:color w:val="auto"/>
              </w:rPr>
              <w:t>34</w:t>
            </w:r>
          </w:p>
        </w:tc>
        <w:tc>
          <w:tcPr>
            <w:tcW w:w="6600" w:type="dxa"/>
            <w:vAlign w:val="bottom"/>
          </w:tcPr>
          <w:p>
            <w:pPr>
              <w:ind w:left="260"/>
              <w:spacing w:after="0"/>
              <w:rPr>
                <w:sz w:val="20"/>
                <w:szCs w:val="20"/>
                <w:color w:val="auto"/>
              </w:rPr>
            </w:pP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tc>
        <w:tc>
          <w:tcPr>
            <w:tcW w:w="29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06"/>
        </w:trPr>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-6102985</wp:posOffset>
            </wp:positionV>
            <wp:extent cx="27603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38" w:name="page39"/>
    <w:bookmarkEnd w:id="38"/>
    <w:p>
      <w:pPr>
        <w:ind w:left="340" w:right="340" w:hanging="332"/>
        <w:spacing w:after="0" w:line="322" w:lineRule="auto"/>
        <w:tabs>
          <w:tab w:leader="none" w:pos="327" w:val="left"/>
        </w:tabs>
        <w:numPr>
          <w:ilvl w:val="0"/>
          <w:numId w:val="40"/>
        </w:numPr>
        <w:rPr>
          <w:rFonts w:ascii="Arial" w:cs="Arial" w:eastAsia="Arial" w:hAnsi="Arial"/>
          <w:sz w:val="14"/>
          <w:szCs w:val="14"/>
          <w:color w:val="auto"/>
        </w:rPr>
      </w:pPr>
      <w:r>
        <w:rPr>
          <w:rFonts w:ascii="Arial" w:cs="Arial" w:eastAsia="Arial" w:hAnsi="Arial"/>
          <w:sz w:val="14"/>
          <w:szCs w:val="14"/>
          <w:color w:val="auto"/>
        </w:rPr>
        <w:t>Unless otherwise provided in the table above or in the notes below, the address for each of the beneficial owners listed is c/o Fifth Floor, Waterloo Exchange, Waterloo Road, Dublin 4, Ireland.</w:t>
      </w:r>
    </w:p>
    <w:p>
      <w:pPr>
        <w:ind w:left="340" w:hanging="332"/>
        <w:spacing w:after="0" w:line="285" w:lineRule="auto"/>
        <w:tabs>
          <w:tab w:leader="none" w:pos="327"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This table is based upon information supplied by officers, directors and the director nominee as well as Schedules 13G or 13G/A filed with the SEC by beneficial owners of more than five percent of our ordinary shares. Unless otherwise indicated in the footnotes to this table and subject to community property laws where applicable, we believe that each of the shareholders named in this table has sole voting and investment power with respect to the ordinary shares indicated as beneficially owned. Applicable percentages are based on 63,039,821 ordinary shares outstanding on May 1, 2024, adjusted as required by rules promulgated by the SEC. The number of shares beneficially owned includes ordinary shares issuable pursuant to the exercise of stock options that are exercisable and RSUs that will vest within 60 days of May 1, 2024. Shares issuable pursuant to the exercise of stock options that are exercisable and RSUs that will vest within 60 days of May 1, 2024 are deemed to be outstanding and beneficially owned by the person to whom such shares are issuable for the purpose of computing the percentage ownership of that person, but they are not treated as outstanding for the purpose of computing the percentage ownership of any other person.</w:t>
      </w:r>
    </w:p>
    <w:p>
      <w:pPr>
        <w:spacing w:after="0" w:line="9" w:lineRule="exact"/>
        <w:rPr>
          <w:rFonts w:ascii="Arial" w:cs="Arial" w:eastAsia="Arial" w:hAnsi="Arial"/>
          <w:sz w:val="14"/>
          <w:szCs w:val="14"/>
          <w:color w:val="auto"/>
        </w:rPr>
      </w:pPr>
    </w:p>
    <w:p>
      <w:pPr>
        <w:ind w:left="340" w:right="40" w:hanging="332"/>
        <w:spacing w:after="0" w:line="292" w:lineRule="auto"/>
        <w:tabs>
          <w:tab w:leader="none" w:pos="327"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This information is based on a Schedule 13G/A filed with the SEC on January 24, 2024 by BlackRock, Inc., or BlackRock. According to the Schedule 13G/A, as of December 31, 2023, BlackRock has sole power to vote or direct the vote of 6,320,817 ordinary shares and sole power to dispose or direct the disposition of 7,055,747 ordinary shares. The Schedule 13G/A also indicates that BlackRock is acting as a parent holding company for a number of entities that beneficially owned the ordinary shares being reported. The Schedule 13G/A provides information only as of December 31, 2023 and, consequently, the beneficial ownership of the above-mentioned entity may have changed between December 31, 2023 and May 1, 2024.</w:t>
      </w:r>
    </w:p>
    <w:p>
      <w:pPr>
        <w:spacing w:after="0" w:line="19" w:lineRule="exact"/>
        <w:rPr>
          <w:rFonts w:ascii="Arial" w:cs="Arial" w:eastAsia="Arial" w:hAnsi="Arial"/>
          <w:sz w:val="14"/>
          <w:szCs w:val="14"/>
          <w:color w:val="auto"/>
        </w:rPr>
      </w:pPr>
    </w:p>
    <w:p>
      <w:pPr>
        <w:ind w:left="340" w:right="140" w:hanging="332"/>
        <w:spacing w:after="0" w:line="289" w:lineRule="auto"/>
        <w:tabs>
          <w:tab w:leader="none" w:pos="327"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This information is based on a Schedule 13G/A filed with the SEC on February 13, 2024 by The Vanguard Group, or Vanguard. According to the Schedule 13G/A, as of December 29, 2023, Vanguard has shared power to vote or direct the vote of 54,434 ordinary shares, sole power to dispose or direct the disposition of 6,211,844 ordinary shares, and shared power to dispose or direct the disposition of 151,904 shares. The Schedule 13G/A provides information only as of December 29, 2023 and, consequently, the beneficial ownership of the above-mentioned entity may have changed between December 29, 2023 and May 1, 2024.</w:t>
      </w:r>
    </w:p>
    <w:p>
      <w:pPr>
        <w:spacing w:after="0" w:line="21" w:lineRule="exact"/>
        <w:rPr>
          <w:rFonts w:ascii="Arial" w:cs="Arial" w:eastAsia="Arial" w:hAnsi="Arial"/>
          <w:sz w:val="14"/>
          <w:szCs w:val="14"/>
          <w:color w:val="auto"/>
        </w:rPr>
      </w:pPr>
    </w:p>
    <w:p>
      <w:pPr>
        <w:ind w:left="320" w:hanging="312"/>
        <w:spacing w:after="0"/>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584,000 ordinary shares Mr. Cozadd has the right to acquire pursuant to options exercisable within 60 days of May 1, 2024.</w:t>
      </w:r>
    </w:p>
    <w:p>
      <w:pPr>
        <w:spacing w:after="0" w:line="82" w:lineRule="exact"/>
        <w:rPr>
          <w:rFonts w:ascii="Arial" w:cs="Arial" w:eastAsia="Arial" w:hAnsi="Arial"/>
          <w:sz w:val="14"/>
          <w:szCs w:val="14"/>
          <w:color w:val="auto"/>
        </w:rPr>
      </w:pPr>
    </w:p>
    <w:p>
      <w:pPr>
        <w:ind w:left="320" w:hanging="312"/>
        <w:spacing w:after="0"/>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41,500 ordinary shares Ms. Galá has the right to acquire pursuant to options exercisable within 60 days of May 1, 2024.</w:t>
      </w:r>
    </w:p>
    <w:p>
      <w:pPr>
        <w:spacing w:after="0" w:line="82" w:lineRule="exact"/>
        <w:rPr>
          <w:rFonts w:ascii="Arial" w:cs="Arial" w:eastAsia="Arial" w:hAnsi="Arial"/>
          <w:sz w:val="14"/>
          <w:szCs w:val="14"/>
          <w:color w:val="auto"/>
        </w:rPr>
      </w:pPr>
    </w:p>
    <w:p>
      <w:pPr>
        <w:ind w:left="320" w:hanging="312"/>
        <w:spacing w:after="0"/>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23,313 ordinary shares Ms. Carr has the right to acquire pursuant to options exercisable and within 60 days of May 1, 2024.</w:t>
      </w:r>
    </w:p>
    <w:p>
      <w:pPr>
        <w:spacing w:after="0" w:line="82" w:lineRule="exact"/>
        <w:rPr>
          <w:rFonts w:ascii="Arial" w:cs="Arial" w:eastAsia="Arial" w:hAnsi="Arial"/>
          <w:sz w:val="14"/>
          <w:szCs w:val="14"/>
          <w:color w:val="auto"/>
        </w:rPr>
      </w:pPr>
    </w:p>
    <w:p>
      <w:pPr>
        <w:ind w:left="320" w:hanging="312"/>
        <w:spacing w:after="0"/>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57,500 ordinary shares Dr. Iannone has the right to acquire pursuant to options exercisable within 60 days of May 1, 2024.</w:t>
      </w:r>
    </w:p>
    <w:p>
      <w:pPr>
        <w:spacing w:after="0" w:line="82" w:lineRule="exact"/>
        <w:rPr>
          <w:rFonts w:ascii="Arial" w:cs="Arial" w:eastAsia="Arial" w:hAnsi="Arial"/>
          <w:sz w:val="14"/>
          <w:szCs w:val="14"/>
          <w:color w:val="auto"/>
        </w:rPr>
      </w:pPr>
    </w:p>
    <w:p>
      <w:pPr>
        <w:ind w:left="320" w:hanging="312"/>
        <w:spacing w:after="0"/>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51,000 ordinary shares Ms. Patil has the right to acquire pursuant to options exercisable within 60 days of May 1, 2024.</w:t>
      </w:r>
    </w:p>
    <w:p>
      <w:pPr>
        <w:spacing w:after="0" w:line="68" w:lineRule="exact"/>
        <w:rPr>
          <w:rFonts w:ascii="Arial" w:cs="Arial" w:eastAsia="Arial" w:hAnsi="Arial"/>
          <w:sz w:val="14"/>
          <w:szCs w:val="14"/>
          <w:color w:val="auto"/>
        </w:rPr>
      </w:pPr>
    </w:p>
    <w:p>
      <w:pPr>
        <w:ind w:left="340" w:right="20" w:hanging="332"/>
        <w:spacing w:after="0" w:line="322" w:lineRule="auto"/>
        <w:tabs>
          <w:tab w:leader="none" w:pos="339"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68,206 ordinary shares Mr. Swisher has the right to acquire pursuant to options exercisable within 60 days of May 1, 2024. Mr. Swisher was an NEO for fiscal year ended December 31, 2023. Mr. Swisher retired as Jazz’s President and COO effective October 1, 2023.</w:t>
      </w:r>
    </w:p>
    <w:p>
      <w:pPr>
        <w:ind w:left="340" w:right="20" w:hanging="332"/>
        <w:spacing w:after="0" w:line="303" w:lineRule="auto"/>
        <w:tabs>
          <w:tab w:leader="none" w:pos="329"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39,511 ordinary shares Ms. Sablich has the right to acquire pursuant to options exercisable and 4,200 shares Ms. Sablich is expected to receive pursuant to RSUs scheduled to vest, in each case, within 60 days of May 1, 2024. Ms. Sablich was an NEO for fiscal year ended December 31, 2023. Ms. Sablich ceased serving in her role as Executive Vice President and General Manager, US., and as an executive officer of Jazz on December 31, 2023, which was her last day of service in such capacity.</w:t>
      </w:r>
    </w:p>
    <w:p>
      <w:pPr>
        <w:spacing w:after="0" w:line="11"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6,475 ordinary shares Ms. Cook has the right to acquire pursuant to options exercisable within 60 days of May 1, 2024.</w:t>
      </w:r>
    </w:p>
    <w:p>
      <w:pPr>
        <w:spacing w:after="0" w:line="82"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15,305 ordinary shares Mr. Enright has the right to acquire pursuant to options exercisable within 60 days of May 1, 2024.</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28,850 ordinary shares Mr. Gray has the right to acquire pursuant to options exercisable within 60 days of May 1, 2024.</w:t>
      </w:r>
    </w:p>
    <w:p>
      <w:pPr>
        <w:spacing w:after="0" w:line="82"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28,850 ordinary shares Ms. McSharry has the right to acquire pursuant to options exercisable within 60 days of May 1, 2024.</w:t>
      </w:r>
    </w:p>
    <w:p>
      <w:pPr>
        <w:spacing w:after="0" w:line="82"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28,850 ordinary shares Mr. Mulligan has the right to acquire pursuant to options exercisable within 60 days of May 1, 2024.</w:t>
      </w:r>
    </w:p>
    <w:p>
      <w:pPr>
        <w:spacing w:after="0" w:line="82" w:lineRule="exact"/>
        <w:rPr>
          <w:rFonts w:ascii="Arial" w:cs="Arial" w:eastAsia="Arial" w:hAnsi="Arial"/>
          <w:sz w:val="14"/>
          <w:szCs w:val="14"/>
          <w:color w:val="auto"/>
        </w:rPr>
      </w:pPr>
    </w:p>
    <w:p>
      <w:pPr>
        <w:ind w:left="340" w:right="40" w:hanging="332"/>
        <w:spacing w:after="0" w:line="322" w:lineRule="auto"/>
        <w:tabs>
          <w:tab w:leader="none" w:pos="339"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28,850 ordinary shares Mr. O’Keefe has the right to acquire pursuant to options exercisable within 60 days of May 1, 2024. Includes 4,445 ordinary shares held by The Kenneth W. O’Keefe Trust U/A/D 2/12/1997, of which Mr. O’Keefe is the sole trustee and sole beneficiary.</w:t>
      </w: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18,670 ordinary shares Ms. O’Riordan has the right to acquire pursuant to options exercisable within 60 days of May 1, 2024.</w:t>
      </w:r>
    </w:p>
    <w:p>
      <w:pPr>
        <w:spacing w:after="0" w:line="82"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28,850 ordinary shares Dr. Riedel has the right to acquire pursuant to options exercisable within 60 days of May 1, 2024.</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6,475 ordinary shares Dr. Smith has the right to acquire pursuant to options exercisable within 60 days of May 1, 2024.</w:t>
      </w:r>
    </w:p>
    <w:p>
      <w:pPr>
        <w:spacing w:after="0" w:line="82"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28,850 ordinary shares Dr. Sohn has the right to acquire pursuant to options exercisable within 60 days of May 1, 2024.</w:t>
      </w:r>
    </w:p>
    <w:p>
      <w:pPr>
        <w:spacing w:after="0" w:line="82"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28,850 ordinary shares Mr. Winningham has the right to acquire pursuant to options exercisable within 60 days of May 1, 2024.</w:t>
      </w:r>
    </w:p>
    <w:p>
      <w:pPr>
        <w:spacing w:after="0" w:line="82" w:lineRule="exact"/>
        <w:rPr>
          <w:rFonts w:ascii="Arial" w:cs="Arial" w:eastAsia="Arial" w:hAnsi="Arial"/>
          <w:sz w:val="14"/>
          <w:szCs w:val="14"/>
          <w:color w:val="auto"/>
        </w:rPr>
      </w:pPr>
    </w:p>
    <w:p>
      <w:pPr>
        <w:ind w:left="340" w:right="120" w:hanging="332"/>
        <w:spacing w:after="0" w:line="296" w:lineRule="auto"/>
        <w:tabs>
          <w:tab w:leader="none" w:pos="339"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1,013,095 ordinary shares that our executive officers and non-employee directors have the right to acquire pursuant to options exercisable within 60 days of May 1, 2024. See footnotes (5) through (9) and (12) through (22) above. Because Mr. Swisher and Ms. Sablich are not currently serving as executive officers of Jazz Pharmaceuticals, the number of ordinary shares and percentage ownership indicated in the table above with respect to the beneficial ownership of all current executive officers, directors and director nominee as a group do not include any ordinary shares beneficially owned by Mr. Swisher and Ms. Sablich.</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39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9" w:name="page40"/>
    <w:bookmarkEnd w:id="39"/>
    <w:p>
      <w:pPr>
        <w:ind w:left="3840"/>
        <w:spacing w:after="0"/>
        <w:rPr>
          <w:sz w:val="20"/>
          <w:szCs w:val="20"/>
          <w:color w:val="auto"/>
        </w:rPr>
      </w:pPr>
      <w:r>
        <w:rPr>
          <w:rFonts w:ascii="Arial" w:cs="Arial" w:eastAsia="Arial" w:hAnsi="Arial"/>
          <w:sz w:val="32"/>
          <w:szCs w:val="32"/>
          <w:b w:val="1"/>
          <w:bCs w:val="1"/>
          <w:color w:val="852166"/>
        </w:rPr>
        <w:t>EXECUTIVE OFFICERS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regarding our executive officers as of June 1, 2024.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shd w:val="clear" w:color="auto" w:fill="852166"/>
          </w:tcPr>
          <w:p>
            <w:pPr>
              <w:ind w:left="100"/>
              <w:spacing w:after="0"/>
              <w:rPr>
                <w:sz w:val="20"/>
                <w:szCs w:val="20"/>
                <w:color w:val="auto"/>
              </w:rPr>
            </w:pPr>
            <w:r>
              <w:rPr>
                <w:rFonts w:ascii="Arial" w:cs="Arial" w:eastAsia="Arial" w:hAnsi="Arial"/>
                <w:sz w:val="14"/>
                <w:szCs w:val="14"/>
                <w:b w:val="1"/>
                <w:bCs w:val="1"/>
                <w:color w:val="FFFFFF"/>
              </w:rPr>
              <w:t>Name</w:t>
            </w:r>
          </w:p>
        </w:tc>
        <w:tc>
          <w:tcPr>
            <w:tcW w:w="1280" w:type="dxa"/>
            <w:vAlign w:val="bottom"/>
            <w:shd w:val="clear" w:color="auto" w:fill="852166"/>
          </w:tcPr>
          <w:p>
            <w:pPr>
              <w:jc w:val="center"/>
              <w:ind w:left="548"/>
              <w:spacing w:after="0"/>
              <w:rPr>
                <w:sz w:val="20"/>
                <w:szCs w:val="20"/>
                <w:color w:val="auto"/>
              </w:rPr>
            </w:pPr>
            <w:r>
              <w:rPr>
                <w:rFonts w:ascii="Arial" w:cs="Arial" w:eastAsia="Arial" w:hAnsi="Arial"/>
                <w:sz w:val="14"/>
                <w:szCs w:val="14"/>
                <w:b w:val="1"/>
                <w:bCs w:val="1"/>
                <w:color w:val="FFFFFF"/>
                <w:w w:val="98"/>
              </w:rPr>
              <w:t>Age</w:t>
            </w:r>
          </w:p>
        </w:tc>
        <w:tc>
          <w:tcPr>
            <w:tcW w:w="6980" w:type="dxa"/>
            <w:vAlign w:val="bottom"/>
            <w:shd w:val="clear" w:color="auto" w:fill="852166"/>
          </w:tcPr>
          <w:p>
            <w:pPr>
              <w:ind w:left="200"/>
              <w:spacing w:after="0"/>
              <w:rPr>
                <w:sz w:val="20"/>
                <w:szCs w:val="20"/>
                <w:color w:val="auto"/>
              </w:rPr>
            </w:pPr>
            <w:r>
              <w:rPr>
                <w:rFonts w:ascii="Arial" w:cs="Arial" w:eastAsia="Arial" w:hAnsi="Arial"/>
                <w:sz w:val="14"/>
                <w:szCs w:val="14"/>
                <w:b w:val="1"/>
                <w:bCs w:val="1"/>
                <w:color w:val="FFFFFF"/>
              </w:rPr>
              <w:t>Position</w:t>
            </w:r>
          </w:p>
        </w:tc>
      </w:tr>
      <w:tr>
        <w:trPr>
          <w:trHeight w:val="67"/>
        </w:trPr>
        <w:tc>
          <w:tcPr>
            <w:tcW w:w="2980" w:type="dxa"/>
            <w:vAlign w:val="bottom"/>
            <w:shd w:val="clear" w:color="auto" w:fill="852166"/>
          </w:tcPr>
          <w:p>
            <w:pPr>
              <w:spacing w:after="0"/>
              <w:rPr>
                <w:sz w:val="5"/>
                <w:szCs w:val="5"/>
                <w:color w:val="auto"/>
              </w:rPr>
            </w:pPr>
          </w:p>
        </w:tc>
        <w:tc>
          <w:tcPr>
            <w:tcW w:w="1280" w:type="dxa"/>
            <w:vAlign w:val="bottom"/>
            <w:shd w:val="clear" w:color="auto" w:fill="852166"/>
          </w:tcPr>
          <w:p>
            <w:pPr>
              <w:spacing w:after="0"/>
              <w:rPr>
                <w:sz w:val="5"/>
                <w:szCs w:val="5"/>
                <w:color w:val="auto"/>
              </w:rPr>
            </w:pPr>
          </w:p>
        </w:tc>
        <w:tc>
          <w:tcPr>
            <w:tcW w:w="6980" w:type="dxa"/>
            <w:vAlign w:val="bottom"/>
            <w:shd w:val="clear" w:color="auto" w:fill="852166"/>
          </w:tcPr>
          <w:p>
            <w:pPr>
              <w:spacing w:after="0"/>
              <w:rPr>
                <w:sz w:val="5"/>
                <w:szCs w:val="5"/>
                <w:color w:val="auto"/>
              </w:rPr>
            </w:pPr>
          </w:p>
        </w:tc>
      </w:tr>
      <w:tr>
        <w:trPr>
          <w:trHeight w:val="223"/>
        </w:trPr>
        <w:tc>
          <w:tcPr>
            <w:tcW w:w="2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Bruce C. Cozadd</w:t>
            </w:r>
          </w:p>
        </w:tc>
        <w:tc>
          <w:tcPr>
            <w:tcW w:w="128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color w:val="auto"/>
              </w:rPr>
              <w:t>60</w:t>
            </w:r>
          </w:p>
        </w:tc>
        <w:tc>
          <w:tcPr>
            <w:tcW w:w="69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Chairperson and Chief Executive Officer</w:t>
            </w:r>
          </w:p>
        </w:tc>
      </w:tr>
      <w:tr>
        <w:trPr>
          <w:trHeight w:val="223"/>
        </w:trPr>
        <w:tc>
          <w:tcPr>
            <w:tcW w:w="2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Renée Galá</w:t>
            </w:r>
          </w:p>
        </w:tc>
        <w:tc>
          <w:tcPr>
            <w:tcW w:w="128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color w:val="auto"/>
              </w:rPr>
              <w:t>52</w:t>
            </w:r>
          </w:p>
        </w:tc>
        <w:tc>
          <w:tcPr>
            <w:tcW w:w="69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President and Chief Operating Officer</w:t>
            </w:r>
          </w:p>
        </w:tc>
      </w:tr>
      <w:tr>
        <w:trPr>
          <w:trHeight w:val="223"/>
        </w:trPr>
        <w:tc>
          <w:tcPr>
            <w:tcW w:w="2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Robert Iannone, M.D., M.S.C.E</w:t>
            </w:r>
          </w:p>
        </w:tc>
        <w:tc>
          <w:tcPr>
            <w:tcW w:w="128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color w:val="auto"/>
              </w:rPr>
              <w:t>57</w:t>
            </w:r>
          </w:p>
        </w:tc>
        <w:tc>
          <w:tcPr>
            <w:tcW w:w="69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Executive Vice President, Global Head of Research and Development</w:t>
            </w:r>
          </w:p>
        </w:tc>
      </w:tr>
      <w:tr>
        <w:trPr>
          <w:trHeight w:val="223"/>
        </w:trPr>
        <w:tc>
          <w:tcPr>
            <w:tcW w:w="2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Philip L. Johnson</w:t>
            </w:r>
          </w:p>
        </w:tc>
        <w:tc>
          <w:tcPr>
            <w:tcW w:w="128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color w:val="auto"/>
              </w:rPr>
              <w:t>60</w:t>
            </w:r>
          </w:p>
        </w:tc>
        <w:tc>
          <w:tcPr>
            <w:tcW w:w="69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Executive Vice President and Chief Financial Officer</w:t>
            </w:r>
          </w:p>
        </w:tc>
      </w:tr>
      <w:tr>
        <w:trPr>
          <w:trHeight w:val="223"/>
        </w:trPr>
        <w:tc>
          <w:tcPr>
            <w:tcW w:w="2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Neena M. Patil</w:t>
            </w:r>
          </w:p>
        </w:tc>
        <w:tc>
          <w:tcPr>
            <w:tcW w:w="128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color w:val="auto"/>
              </w:rPr>
              <w:t>49</w:t>
            </w:r>
          </w:p>
        </w:tc>
        <w:tc>
          <w:tcPr>
            <w:tcW w:w="69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Executive Vice President and Chief Legal Officer</w:t>
            </w:r>
          </w:p>
        </w:tc>
      </w:tr>
      <w:tr>
        <w:trPr>
          <w:trHeight w:val="223"/>
        </w:trPr>
        <w:tc>
          <w:tcPr>
            <w:tcW w:w="2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Patricia Carr</w:t>
            </w:r>
          </w:p>
        </w:tc>
        <w:tc>
          <w:tcPr>
            <w:tcW w:w="128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color w:val="auto"/>
              </w:rPr>
              <w:t>53</w:t>
            </w:r>
          </w:p>
        </w:tc>
        <w:tc>
          <w:tcPr>
            <w:tcW w:w="69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Senior Vice President, Chief Accounting Officer</w:t>
            </w:r>
          </w:p>
        </w:tc>
      </w:tr>
      <w:tr>
        <w:trPr>
          <w:trHeight w:val="223"/>
        </w:trPr>
        <w:tc>
          <w:tcPr>
            <w:tcW w:w="2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Liz Henderson</w:t>
            </w:r>
          </w:p>
        </w:tc>
        <w:tc>
          <w:tcPr>
            <w:tcW w:w="128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color w:val="auto"/>
              </w:rPr>
              <w:t>52</w:t>
            </w:r>
          </w:p>
        </w:tc>
        <w:tc>
          <w:tcPr>
            <w:tcW w:w="69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Senior Vice President, Technical Operations</w:t>
            </w:r>
          </w:p>
        </w:tc>
      </w:tr>
      <w:tr>
        <w:trPr>
          <w:trHeight w:val="223"/>
        </w:trPr>
        <w:tc>
          <w:tcPr>
            <w:tcW w:w="2980" w:type="dxa"/>
            <w:vAlign w:val="bottom"/>
            <w:tcBorders>
              <w:bottom w:val="single" w:sz="8" w:color="852166"/>
            </w:tcBorders>
          </w:tcPr>
          <w:p>
            <w:pPr>
              <w:ind w:left="100"/>
              <w:spacing w:after="0"/>
              <w:rPr>
                <w:sz w:val="20"/>
                <w:szCs w:val="20"/>
                <w:color w:val="auto"/>
              </w:rPr>
            </w:pPr>
            <w:r>
              <w:rPr>
                <w:rFonts w:ascii="Arial" w:cs="Arial" w:eastAsia="Arial" w:hAnsi="Arial"/>
                <w:sz w:val="14"/>
                <w:szCs w:val="14"/>
                <w:b w:val="1"/>
                <w:bCs w:val="1"/>
                <w:color w:val="auto"/>
              </w:rPr>
              <w:t>Samantha Pearce</w:t>
            </w:r>
          </w:p>
        </w:tc>
        <w:tc>
          <w:tcPr>
            <w:tcW w:w="1280" w:type="dxa"/>
            <w:vAlign w:val="bottom"/>
            <w:tcBorders>
              <w:bottom w:val="single" w:sz="8" w:color="852166"/>
            </w:tcBorders>
          </w:tcPr>
          <w:p>
            <w:pPr>
              <w:jc w:val="center"/>
              <w:ind w:left="528"/>
              <w:spacing w:after="0"/>
              <w:rPr>
                <w:sz w:val="20"/>
                <w:szCs w:val="20"/>
                <w:color w:val="auto"/>
              </w:rPr>
            </w:pPr>
            <w:r>
              <w:rPr>
                <w:rFonts w:ascii="Arial" w:cs="Arial" w:eastAsia="Arial" w:hAnsi="Arial"/>
                <w:sz w:val="14"/>
                <w:szCs w:val="14"/>
                <w:color w:val="auto"/>
              </w:rPr>
              <w:t>58</w:t>
            </w:r>
          </w:p>
        </w:tc>
        <w:tc>
          <w:tcPr>
            <w:tcW w:w="6980" w:type="dxa"/>
            <w:vAlign w:val="bottom"/>
            <w:tcBorders>
              <w:bottom w:val="single" w:sz="8" w:color="852166"/>
            </w:tcBorders>
          </w:tcPr>
          <w:p>
            <w:pPr>
              <w:ind w:left="200"/>
              <w:spacing w:after="0"/>
              <w:rPr>
                <w:sz w:val="20"/>
                <w:szCs w:val="20"/>
                <w:color w:val="auto"/>
              </w:rPr>
            </w:pPr>
            <w:r>
              <w:rPr>
                <w:rFonts w:ascii="Arial" w:cs="Arial" w:eastAsia="Arial" w:hAnsi="Arial"/>
                <w:sz w:val="14"/>
                <w:szCs w:val="14"/>
                <w:color w:val="auto"/>
              </w:rPr>
              <w:t>Senior Vice President, Europe and International</w:t>
            </w:r>
          </w:p>
        </w:tc>
      </w:tr>
    </w:tbl>
    <w:p>
      <w:pPr>
        <w:spacing w:after="0" w:line="310" w:lineRule="exact"/>
        <w:rPr>
          <w:sz w:val="20"/>
          <w:szCs w:val="20"/>
          <w:color w:val="auto"/>
        </w:rPr>
      </w:pPr>
    </w:p>
    <w:p>
      <w:pPr>
        <w:ind w:right="800"/>
        <w:spacing w:after="0" w:line="339" w:lineRule="auto"/>
        <w:rPr>
          <w:sz w:val="20"/>
          <w:szCs w:val="20"/>
          <w:color w:val="auto"/>
        </w:rPr>
      </w:pPr>
      <w:r>
        <w:rPr>
          <w:rFonts w:ascii="Arial" w:cs="Arial" w:eastAsia="Arial" w:hAnsi="Arial"/>
          <w:sz w:val="16"/>
          <w:szCs w:val="16"/>
          <w:b w:val="1"/>
          <w:bCs w:val="1"/>
          <w:i w:val="1"/>
          <w:iCs w:val="1"/>
          <w:color w:val="auto"/>
        </w:rPr>
        <w:t>Bruce C. Cozadd</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Biographical information regarding Mr. Cozadd is set forth above under “</w:t>
      </w:r>
      <w:r>
        <w:rPr>
          <w:rFonts w:ascii="Arial" w:cs="Arial" w:eastAsia="Arial" w:hAnsi="Arial"/>
          <w:sz w:val="16"/>
          <w:szCs w:val="16"/>
          <w:i w:val="1"/>
          <w:iCs w:val="1"/>
          <w:color w:val="auto"/>
        </w:rPr>
        <w:t>Proposal 1—Election of Directors— Class III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Continuing in Office Until the 2026 Annual Meeting</w:t>
      </w:r>
      <w:r>
        <w:rPr>
          <w:rFonts w:ascii="Arial" w:cs="Arial" w:eastAsia="Arial" w:hAnsi="Arial"/>
          <w:sz w:val="16"/>
          <w:szCs w:val="16"/>
          <w:color w:val="auto"/>
        </w:rPr>
        <w:t>.”</w:t>
      </w:r>
    </w:p>
    <w:p>
      <w:pPr>
        <w:spacing w:after="0" w:line="47"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b w:val="1"/>
          <w:bCs w:val="1"/>
          <w:i w:val="1"/>
          <w:iCs w:val="1"/>
          <w:color w:val="auto"/>
        </w:rPr>
        <w:t xml:space="preserve">Renée Galá </w:t>
      </w:r>
      <w:r>
        <w:rPr>
          <w:rFonts w:ascii="Arial" w:cs="Arial" w:eastAsia="Arial" w:hAnsi="Arial"/>
          <w:sz w:val="16"/>
          <w:szCs w:val="16"/>
          <w:color w:val="auto"/>
        </w:rPr>
        <w:t>was appointed our President and Chief Operating Officer in October 2023. Ms. Galá joined Jazz as Executive Vice President and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Officer in March 2020. From January to June 2019, Ms. Galá served as the Chief Financial Officer of GRAIL, Inc., a private healthcare company focused on the early detection of cancer. Prior to that, from December 2014 to January 2019, she served as Senior Vice President and Chief Financial Officer of Theravance Biopharma, Inc., a biopharmaceutical company, following its spin-out from Innoviva, Inc. Ms. Galá joined Innoviva in 2006 and held various roles in the finance organization before leading the company’s spin-out transaction. Prior to that, Ms. Galá served in various roles in global treasury, pharmaceutical sales and corporate strategy/business development at Eli Lilly and Company, a global pharmaceutical company, from 2001 to 2006. Before joining Eli Lilly, Ms. Galá spent seven years in the energy industry in positions focused on corporate finance, project finance, and mergers and acquisitions. Ms. Galá serves on the board of directors of Gossamer Bio, Inc., a clinical-stage biopharmaceutical company, where she also chairs the audit committee. Ms. Galá previously served as a member of the board of Gyroscope Therapeutics (acquired by Novartis) and Corcept Therapeutics. Ms. Galá holds a B.S. in Mathematics from Vanderbilt University and an M.B.A. from Columbia Business School.</w:t>
      </w:r>
    </w:p>
    <w:p>
      <w:pPr>
        <w:spacing w:after="0" w:line="8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i w:val="1"/>
          <w:iCs w:val="1"/>
          <w:color w:val="auto"/>
        </w:rPr>
        <w:t>Robert Iannone, M.D., M.S.C.E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appointed our Executive Vice President, Global Head of Research and Development as of May 2019. He also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our Chief Medical Officer from December 2019 until October 2021. From April 2018 until May 2019, Dr. Iannone served as Head of Research and Development and Chief Medical Officer of Immunomedics, Inc., a biopharmaceutical company. Prior to that, from July 2014 to April 2018, Dr. Iannone served in the roles of Senior Vice President and Head of Immuno-oncology, Global Medicines Development and the Global Products Vice President at AstraZeneca plc, a global science-led biopharmaceutical company. From 2004 to 2014, Dr. Iannone served in management roles at Merck Co., Inc., a global biopharmaceutical company, culminating in his role as Executive Director and Section Head of Oncology Clinical Development. From 2001 to 2004, he served as Assistant Professor of Pediatrics and from 2004 to 2012 as Adjunct Assistant Professor of Pediatrics at the University of Pennsylvania School of Medicine. Dr. Iannone has been serving on the board of directors of Autolus Therapeutics plc, a clinical-stage biopharmaceutical company, since June 2023, and iTeos Therapeutics, Inc., a clinical-stage biopharmaceutical company, since May 2021. He has also served on the Cancer Steering Committee of the Foundation for the National Institutes of Health since 2011. Dr. Iannone joined the Scientific Advisory Board of Crossbow Therapeutics, Inc. in October 2023. Dr. Iannone previously served as director of Jounce Therapeutics, Inc., a clinical-stage immunotherapy company, from January 2020 to May 2023. Dr. Iannone holds a B.S. from The Catholic University of America, an M.D. from Yale University and an M.S.C.E. from University of Pennsylvania and completed his residency in Pediatrics and fellowship in Pediatric Hematology-Oncology at Johns Hopkins University.</w:t>
      </w:r>
    </w:p>
    <w:p>
      <w:pPr>
        <w:spacing w:after="0" w:line="200" w:lineRule="exact"/>
        <w:rPr>
          <w:sz w:val="20"/>
          <w:szCs w:val="20"/>
          <w:color w:val="auto"/>
        </w:rPr>
      </w:pPr>
    </w:p>
    <w:p>
      <w:pPr>
        <w:spacing w:after="0" w:line="372"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36</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40" w:name="page41"/>
    <w:bookmarkEnd w:id="40"/>
    <w:p>
      <w:pPr>
        <w:spacing w:after="0" w:line="303" w:lineRule="auto"/>
        <w:rPr>
          <w:sz w:val="20"/>
          <w:szCs w:val="20"/>
          <w:color w:val="auto"/>
        </w:rPr>
      </w:pPr>
      <w:r>
        <w:rPr>
          <w:rFonts w:ascii="Arial" w:cs="Arial" w:eastAsia="Arial" w:hAnsi="Arial"/>
          <w:sz w:val="16"/>
          <w:szCs w:val="16"/>
          <w:b w:val="1"/>
          <w:bCs w:val="1"/>
          <w:i w:val="1"/>
          <w:iCs w:val="1"/>
          <w:color w:val="auto"/>
        </w:rPr>
        <w:t xml:space="preserve">Philip L. Johnson </w:t>
      </w:r>
      <w:r>
        <w:rPr>
          <w:rFonts w:ascii="Arial" w:cs="Arial" w:eastAsia="Arial" w:hAnsi="Arial"/>
          <w:sz w:val="16"/>
          <w:szCs w:val="16"/>
          <w:color w:val="auto"/>
        </w:rPr>
        <w:t>was appointed our Executive Vice President and Chief Financial Officer as of March 2024. From January 2018 to February 2024,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Johnson served as group vice president and treasurer at Eli Lilly and Company, a global pharmaceutical company. Joining Eli Lilly and Company in 1995, Mr. Johnson served in a variety of roles, increasing in responsibility. Prior to his tenure at Eli Lilly, he was a management consultant at McKinsey &amp; Company and worked with investment banks in Milan, Italy and Chicago, Illinois. Mr. Johnson serves as an executive board member and Treasurer of the Indianapolis Urban League and as a board member of Lynx Capital. He also served on the board of directors of the Indiana Chamber of Commerce, Equity1821, AMR Action Fund and PrescriberPoint as well as an advisory committee member for Jumpstart Nova and Sixty8 Capital. Mr. Johnson holds a B.S. in Finance from the University of Illinois and an MBA from the Kellogg School of Management at Northwestern University.</w:t>
      </w:r>
    </w:p>
    <w:p>
      <w:pPr>
        <w:spacing w:after="0" w:line="6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 xml:space="preserve">Neena M. Patil </w:t>
      </w:r>
      <w:r>
        <w:rPr>
          <w:rFonts w:ascii="Arial" w:cs="Arial" w:eastAsia="Arial" w:hAnsi="Arial"/>
          <w:sz w:val="16"/>
          <w:szCs w:val="16"/>
          <w:color w:val="auto"/>
        </w:rPr>
        <w:t>was appointed our Executive Vice President and Chief Legal Officer as of August 2022. Ms. Patil joined Jazz Pharmaceuticals as Senior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 President and General Counsel in July 2019. From September 2018 to July 2019, Ms. Patil served as Senior Vice President, General Counsel and Corporate Secretary of Abeona Therapeutics Inc., a clinical-stage biopharmaceutical company. Prior to that, from May 2008 to October 2016, Ms. Patil served in management positions at Novo Nordisk Inc., a global healthcare company, culminating in her role as Vice President for Legal Affairs and Associate General Counsel. Prior to 2008, she worked for several other global biopharmaceutical companies including Pfizer, GPC Biotech and Sanofi. Ms. Patil serves on the board of directors of Teleflex, Inc., a global provider of medical technologies. Ms. Patil also serves on the U.S. Board of Mothers 2 Mothers, a global health care organization operating in Africa. Ms. Patil holds a B.A. from Georgetown University and a J.D. and Master of Health Services Administration from the University of Michigan.</w:t>
      </w:r>
    </w:p>
    <w:p>
      <w:pPr>
        <w:spacing w:after="0" w:line="78"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i w:val="1"/>
          <w:iCs w:val="1"/>
          <w:color w:val="auto"/>
        </w:rPr>
        <w:t xml:space="preserve">Patricia Carr </w:t>
      </w:r>
      <w:r>
        <w:rPr>
          <w:rFonts w:ascii="Arial" w:cs="Arial" w:eastAsia="Arial" w:hAnsi="Arial"/>
          <w:sz w:val="16"/>
          <w:szCs w:val="16"/>
          <w:color w:val="auto"/>
        </w:rPr>
        <w:t>was appointed our Senior Vice President and Chief Accounting Officer as of August 2021 and served as our interim Principal Financial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October 2023 to March 1, 2024. Ms. Carr joined Jazz Pharmaceuticals as Vice President, Finance in July 2012 and was appointed Principal Accounting Officer in August 2019. Prior to that, from September 2011 to July 2012, she served as Vice President, Finance of Alkermes plc, a global biopharmaceutical company. From June 2002 to September 2011, she served in a number of roles in Elan Corporation, a neuroscience-based biotechnology company, most recently as Vice President, Finance. Ms. Carr is a Fellow of the Institute of Chartered Accountants (Ireland) and holds a BComm from the University of Galway.</w:t>
      </w:r>
    </w:p>
    <w:p>
      <w:pPr>
        <w:spacing w:after="0" w:line="78"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 xml:space="preserve">Liz Henderson </w:t>
      </w:r>
      <w:r>
        <w:rPr>
          <w:rFonts w:ascii="Arial" w:cs="Arial" w:eastAsia="Arial" w:hAnsi="Arial"/>
          <w:sz w:val="16"/>
          <w:szCs w:val="16"/>
          <w:color w:val="auto"/>
        </w:rPr>
        <w:t>was appointed our Senior Vice President, Technical Operations as of August 2023. Prior to joining Jazz, Ms. Henderson held various roles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increasing responsibility at Merck KGaA, a global science and technology company. At Merck KGaA, she held positions in the Healthcare Business as Senior Vice President, APAC Region &amp; Health Care Sustainability Lead from May 2020 to July 2023, as General Manager and Managing Director Merck UK</w:t>
      </w:r>
    </w:p>
    <w:p>
      <w:pPr>
        <w:spacing w:after="0" w:line="1" w:lineRule="exact"/>
        <w:rPr>
          <w:sz w:val="20"/>
          <w:szCs w:val="20"/>
          <w:color w:val="auto"/>
        </w:rPr>
      </w:pPr>
    </w:p>
    <w:p>
      <w:pPr>
        <w:ind w:right="180" w:firstLine="8"/>
        <w:spacing w:after="0" w:line="303" w:lineRule="auto"/>
        <w:tabs>
          <w:tab w:leader="none" w:pos="153" w:val="left"/>
        </w:tabs>
        <w:numPr>
          <w:ilvl w:val="0"/>
          <w:numId w:val="41"/>
        </w:numPr>
        <w:rPr>
          <w:rFonts w:ascii="Arial" w:cs="Arial" w:eastAsia="Arial" w:hAnsi="Arial"/>
          <w:sz w:val="16"/>
          <w:szCs w:val="16"/>
          <w:color w:val="auto"/>
        </w:rPr>
      </w:pPr>
      <w:r>
        <w:rPr>
          <w:rFonts w:ascii="Arial" w:cs="Arial" w:eastAsia="Arial" w:hAnsi="Arial"/>
          <w:sz w:val="16"/>
          <w:szCs w:val="16"/>
          <w:color w:val="auto"/>
        </w:rPr>
        <w:t>ROI from October 2018 to May 2020, as Executive Vice President, Head of Global Manufacturing and Supply from November 2016 to October 2018 and as Senior Vice President, Global Pharma Manufacturing from April 2015 to November 2016. From December 2008 to March 2015, Ms. Henderson held various management positions at Merck Life Science of Merck KGaA, culminating in her role as Vice President Global Operations. Prior to her tenure at Merck KGaA, Ms. Henderson held manufacturing leadership roles at Amgen, a global biotechnology company, from 2006 to 2007 and Pfizer, a global pharmaceutical and biotechnology company, from 1998 to 2006. Ms. Henderson holds a B.Sc. degree in Analytical Chemistry from Dublin City University, Ireland.</w:t>
      </w:r>
    </w:p>
    <w:p>
      <w:pPr>
        <w:spacing w:after="0" w:line="78"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b w:val="1"/>
          <w:bCs w:val="1"/>
          <w:i w:val="1"/>
          <w:iCs w:val="1"/>
          <w:color w:val="auto"/>
        </w:rPr>
        <w:t xml:space="preserve">Samantha Pearce </w:t>
      </w:r>
      <w:r>
        <w:rPr>
          <w:rFonts w:ascii="Arial" w:cs="Arial" w:eastAsia="Arial" w:hAnsi="Arial"/>
          <w:sz w:val="16"/>
          <w:szCs w:val="16"/>
          <w:color w:val="auto"/>
        </w:rPr>
        <w:t>was appointed our Senior Vice President, Europe and International as of March 2020. From March 2010 to December 2019, Ms. Pearce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held various global senior management positions with Celgene Corporation, a pharmaceutical company, most recently as Vice President and General Manager, International Markets. Prior to that, from August 2002 to March 2010, she served in management positions at AstraZeneca plc, a global pharmaceutical company, culminating in her role as Director, Specialist Care. Prior to August 2002, she worked for DuPont Pharmaceuticals, a global pharmaceutical company. Ms. Pearce holds a B.Sc. from Birmingham University, U.K. and an M.B.A. from Cranfield University, U.K.</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407"/>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40"/>
          <w:szCs w:val="40"/>
          <w:b w:val="1"/>
          <w:bCs w:val="1"/>
          <w:color w:val="852166"/>
        </w:rPr>
        <w:t>EXECUTIVE COMPENSATION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852166"/>
        </w:rPr>
        <w:t>Compensation Discussion and Analysis</w:t>
      </w:r>
    </w:p>
    <w:p>
      <w:pPr>
        <w:spacing w:after="0" w:line="215" w:lineRule="exact"/>
        <w:rPr>
          <w:sz w:val="20"/>
          <w:szCs w:val="20"/>
          <w:color w:val="auto"/>
        </w:rPr>
      </w:pPr>
    </w:p>
    <w:p>
      <w:pPr>
        <w:ind w:right="300"/>
        <w:spacing w:after="0" w:line="339" w:lineRule="auto"/>
        <w:rPr>
          <w:sz w:val="20"/>
          <w:szCs w:val="20"/>
          <w:color w:val="auto"/>
        </w:rPr>
      </w:pPr>
      <w:r>
        <w:rPr>
          <w:rFonts w:ascii="Arial" w:cs="Arial" w:eastAsia="Arial" w:hAnsi="Arial"/>
          <w:sz w:val="16"/>
          <w:szCs w:val="16"/>
          <w:color w:val="auto"/>
        </w:rPr>
        <w:t>The following Compensation Discussion and Analysis describes the material elements of compensation for the following individuals who were our named executive officers, or NEOs, for the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40" w:type="dxa"/>
            <w:vAlign w:val="bottom"/>
            <w:tcBorders>
              <w:bottom w:val="single" w:sz="8" w:color="FFCF01"/>
            </w:tcBorders>
          </w:tcPr>
          <w:p>
            <w:pPr>
              <w:ind w:left="100"/>
              <w:spacing w:after="0"/>
              <w:rPr>
                <w:sz w:val="20"/>
                <w:szCs w:val="20"/>
                <w:color w:val="auto"/>
              </w:rPr>
            </w:pPr>
            <w:r>
              <w:rPr>
                <w:rFonts w:ascii="Arial" w:cs="Arial" w:eastAsia="Arial" w:hAnsi="Arial"/>
                <w:sz w:val="14"/>
                <w:szCs w:val="14"/>
                <w:b w:val="1"/>
                <w:bCs w:val="1"/>
                <w:color w:val="auto"/>
              </w:rPr>
              <w:t>Bruce C. Cozadd</w:t>
            </w:r>
          </w:p>
        </w:tc>
        <w:tc>
          <w:tcPr>
            <w:tcW w:w="9000" w:type="dxa"/>
            <w:vAlign w:val="bottom"/>
            <w:tcBorders>
              <w:bottom w:val="single" w:sz="8" w:color="FFCF01"/>
            </w:tcBorders>
          </w:tcPr>
          <w:p>
            <w:pPr>
              <w:ind w:left="560"/>
              <w:spacing w:after="0"/>
              <w:rPr>
                <w:sz w:val="20"/>
                <w:szCs w:val="20"/>
                <w:color w:val="auto"/>
              </w:rPr>
            </w:pPr>
            <w:r>
              <w:rPr>
                <w:rFonts w:ascii="Arial" w:cs="Arial" w:eastAsia="Arial" w:hAnsi="Arial"/>
                <w:sz w:val="14"/>
                <w:szCs w:val="14"/>
                <w:color w:val="auto"/>
              </w:rPr>
              <w:t>Chairperson and Chief Executive Officer (CEO)</w:t>
            </w:r>
          </w:p>
        </w:tc>
      </w:tr>
      <w:tr>
        <w:trPr>
          <w:trHeight w:val="223"/>
        </w:trPr>
        <w:tc>
          <w:tcPr>
            <w:tcW w:w="2240" w:type="dxa"/>
            <w:vAlign w:val="bottom"/>
            <w:tcBorders>
              <w:bottom w:val="single" w:sz="8" w:color="FFCF01"/>
            </w:tcBorders>
          </w:tcPr>
          <w:p>
            <w:pPr>
              <w:ind w:left="100"/>
              <w:spacing w:after="0"/>
              <w:rPr>
                <w:sz w:val="20"/>
                <w:szCs w:val="20"/>
                <w:color w:val="auto"/>
              </w:rPr>
            </w:pPr>
            <w:r>
              <w:rPr>
                <w:rFonts w:ascii="Arial" w:cs="Arial" w:eastAsia="Arial" w:hAnsi="Arial"/>
                <w:sz w:val="14"/>
                <w:szCs w:val="14"/>
                <w:b w:val="1"/>
                <w:bCs w:val="1"/>
                <w:color w:val="auto"/>
              </w:rPr>
              <w:t>Renée Galá</w:t>
            </w:r>
            <w:r>
              <w:rPr>
                <w:rFonts w:ascii="Arial" w:cs="Arial" w:eastAsia="Arial" w:hAnsi="Arial"/>
                <w:sz w:val="9"/>
                <w:szCs w:val="9"/>
                <w:b w:val="1"/>
                <w:bCs w:val="1"/>
                <w:color w:val="auto"/>
              </w:rPr>
              <w:t>(1)</w:t>
            </w:r>
          </w:p>
        </w:tc>
        <w:tc>
          <w:tcPr>
            <w:tcW w:w="9000" w:type="dxa"/>
            <w:vAlign w:val="bottom"/>
            <w:tcBorders>
              <w:bottom w:val="single" w:sz="8" w:color="FFCF01"/>
            </w:tcBorders>
          </w:tcPr>
          <w:p>
            <w:pPr>
              <w:ind w:left="560"/>
              <w:spacing w:after="0"/>
              <w:rPr>
                <w:sz w:val="20"/>
                <w:szCs w:val="20"/>
                <w:color w:val="auto"/>
              </w:rPr>
            </w:pPr>
            <w:r>
              <w:rPr>
                <w:rFonts w:ascii="Arial" w:cs="Arial" w:eastAsia="Arial" w:hAnsi="Arial"/>
                <w:sz w:val="14"/>
                <w:szCs w:val="14"/>
                <w:color w:val="auto"/>
              </w:rPr>
              <w:t>President, Chief Operating Officer (COO)</w:t>
            </w:r>
          </w:p>
        </w:tc>
      </w:tr>
      <w:tr>
        <w:trPr>
          <w:trHeight w:val="223"/>
        </w:trPr>
        <w:tc>
          <w:tcPr>
            <w:tcW w:w="2240" w:type="dxa"/>
            <w:vAlign w:val="bottom"/>
            <w:tcBorders>
              <w:bottom w:val="single" w:sz="8" w:color="FFCF01"/>
            </w:tcBorders>
          </w:tcPr>
          <w:p>
            <w:pPr>
              <w:ind w:left="100"/>
              <w:spacing w:after="0"/>
              <w:rPr>
                <w:sz w:val="20"/>
                <w:szCs w:val="20"/>
                <w:color w:val="auto"/>
              </w:rPr>
            </w:pPr>
            <w:r>
              <w:rPr>
                <w:rFonts w:ascii="Arial" w:cs="Arial" w:eastAsia="Arial" w:hAnsi="Arial"/>
                <w:sz w:val="14"/>
                <w:szCs w:val="14"/>
                <w:b w:val="1"/>
                <w:bCs w:val="1"/>
                <w:color w:val="auto"/>
              </w:rPr>
              <w:t>Patricia Carr</w:t>
            </w:r>
            <w:r>
              <w:rPr>
                <w:rFonts w:ascii="Arial" w:cs="Arial" w:eastAsia="Arial" w:hAnsi="Arial"/>
                <w:sz w:val="9"/>
                <w:szCs w:val="9"/>
                <w:b w:val="1"/>
                <w:bCs w:val="1"/>
                <w:color w:val="auto"/>
              </w:rPr>
              <w:t>(2)</w:t>
            </w:r>
          </w:p>
        </w:tc>
        <w:tc>
          <w:tcPr>
            <w:tcW w:w="9000" w:type="dxa"/>
            <w:vAlign w:val="bottom"/>
            <w:tcBorders>
              <w:bottom w:val="single" w:sz="8" w:color="FFCF01"/>
            </w:tcBorders>
          </w:tcPr>
          <w:p>
            <w:pPr>
              <w:ind w:left="560"/>
              <w:spacing w:after="0"/>
              <w:rPr>
                <w:sz w:val="20"/>
                <w:szCs w:val="20"/>
                <w:color w:val="auto"/>
              </w:rPr>
            </w:pPr>
            <w:r>
              <w:rPr>
                <w:rFonts w:ascii="Arial" w:cs="Arial" w:eastAsia="Arial" w:hAnsi="Arial"/>
                <w:sz w:val="14"/>
                <w:szCs w:val="14"/>
                <w:color w:val="auto"/>
              </w:rPr>
              <w:t>Senior Vice President, Chief Accounting Officer (Former Interim Principal Financial Officer)</w:t>
            </w:r>
          </w:p>
        </w:tc>
      </w:tr>
      <w:tr>
        <w:trPr>
          <w:trHeight w:val="223"/>
        </w:trPr>
        <w:tc>
          <w:tcPr>
            <w:tcW w:w="2240" w:type="dxa"/>
            <w:vAlign w:val="bottom"/>
            <w:tcBorders>
              <w:bottom w:val="single" w:sz="8" w:color="FFCF01"/>
            </w:tcBorders>
          </w:tcPr>
          <w:p>
            <w:pPr>
              <w:ind w:left="100"/>
              <w:spacing w:after="0"/>
              <w:rPr>
                <w:sz w:val="20"/>
                <w:szCs w:val="20"/>
                <w:color w:val="auto"/>
              </w:rPr>
            </w:pPr>
            <w:r>
              <w:rPr>
                <w:rFonts w:ascii="Arial" w:cs="Arial" w:eastAsia="Arial" w:hAnsi="Arial"/>
                <w:sz w:val="14"/>
                <w:szCs w:val="14"/>
                <w:b w:val="1"/>
                <w:bCs w:val="1"/>
                <w:color w:val="auto"/>
              </w:rPr>
              <w:t>Robert Iannone</w:t>
            </w:r>
          </w:p>
        </w:tc>
        <w:tc>
          <w:tcPr>
            <w:tcW w:w="9000" w:type="dxa"/>
            <w:vAlign w:val="bottom"/>
            <w:tcBorders>
              <w:bottom w:val="single" w:sz="8" w:color="FFCF01"/>
            </w:tcBorders>
          </w:tcPr>
          <w:p>
            <w:pPr>
              <w:ind w:left="560"/>
              <w:spacing w:after="0"/>
              <w:rPr>
                <w:sz w:val="20"/>
                <w:szCs w:val="20"/>
                <w:color w:val="auto"/>
              </w:rPr>
            </w:pPr>
            <w:r>
              <w:rPr>
                <w:rFonts w:ascii="Arial" w:cs="Arial" w:eastAsia="Arial" w:hAnsi="Arial"/>
                <w:sz w:val="14"/>
                <w:szCs w:val="14"/>
                <w:color w:val="auto"/>
              </w:rPr>
              <w:t>Executive Vice President, Global Head of Research and Development</w:t>
            </w:r>
          </w:p>
        </w:tc>
      </w:tr>
      <w:tr>
        <w:trPr>
          <w:trHeight w:val="223"/>
        </w:trPr>
        <w:tc>
          <w:tcPr>
            <w:tcW w:w="2240" w:type="dxa"/>
            <w:vAlign w:val="bottom"/>
            <w:tcBorders>
              <w:bottom w:val="single" w:sz="8" w:color="FFCF01"/>
            </w:tcBorders>
          </w:tcPr>
          <w:p>
            <w:pPr>
              <w:ind w:left="100"/>
              <w:spacing w:after="0"/>
              <w:rPr>
                <w:sz w:val="20"/>
                <w:szCs w:val="20"/>
                <w:color w:val="auto"/>
              </w:rPr>
            </w:pPr>
            <w:r>
              <w:rPr>
                <w:rFonts w:ascii="Arial" w:cs="Arial" w:eastAsia="Arial" w:hAnsi="Arial"/>
                <w:sz w:val="14"/>
                <w:szCs w:val="14"/>
                <w:b w:val="1"/>
                <w:bCs w:val="1"/>
                <w:color w:val="auto"/>
              </w:rPr>
              <w:t>Neena M. Patil</w:t>
            </w:r>
          </w:p>
        </w:tc>
        <w:tc>
          <w:tcPr>
            <w:tcW w:w="9000" w:type="dxa"/>
            <w:vAlign w:val="bottom"/>
            <w:tcBorders>
              <w:bottom w:val="single" w:sz="8" w:color="FFCF01"/>
            </w:tcBorders>
          </w:tcPr>
          <w:p>
            <w:pPr>
              <w:ind w:left="560"/>
              <w:spacing w:after="0"/>
              <w:rPr>
                <w:sz w:val="20"/>
                <w:szCs w:val="20"/>
                <w:color w:val="auto"/>
              </w:rPr>
            </w:pPr>
            <w:r>
              <w:rPr>
                <w:rFonts w:ascii="Arial" w:cs="Arial" w:eastAsia="Arial" w:hAnsi="Arial"/>
                <w:sz w:val="14"/>
                <w:szCs w:val="14"/>
                <w:color w:val="auto"/>
              </w:rPr>
              <w:t>Executive Vice President and Chief Legal Officer</w:t>
            </w:r>
          </w:p>
        </w:tc>
      </w:tr>
      <w:tr>
        <w:trPr>
          <w:trHeight w:val="223"/>
        </w:trPr>
        <w:tc>
          <w:tcPr>
            <w:tcW w:w="2240" w:type="dxa"/>
            <w:vAlign w:val="bottom"/>
            <w:tcBorders>
              <w:bottom w:val="single" w:sz="8" w:color="FFCF01"/>
            </w:tcBorders>
          </w:tcPr>
          <w:p>
            <w:pPr>
              <w:ind w:left="100"/>
              <w:spacing w:after="0"/>
              <w:rPr>
                <w:sz w:val="20"/>
                <w:szCs w:val="20"/>
                <w:color w:val="auto"/>
              </w:rPr>
            </w:pPr>
            <w:r>
              <w:rPr>
                <w:rFonts w:ascii="Arial" w:cs="Arial" w:eastAsia="Arial" w:hAnsi="Arial"/>
                <w:sz w:val="14"/>
                <w:szCs w:val="14"/>
                <w:b w:val="1"/>
                <w:bCs w:val="1"/>
                <w:color w:val="auto"/>
              </w:rPr>
              <w:t>Daniel N. Swisher, Jr.</w:t>
            </w:r>
            <w:r>
              <w:rPr>
                <w:rFonts w:ascii="Arial" w:cs="Arial" w:eastAsia="Arial" w:hAnsi="Arial"/>
                <w:sz w:val="9"/>
                <w:szCs w:val="9"/>
                <w:b w:val="1"/>
                <w:bCs w:val="1"/>
                <w:color w:val="auto"/>
              </w:rPr>
              <w:t>(3)</w:t>
            </w:r>
          </w:p>
        </w:tc>
        <w:tc>
          <w:tcPr>
            <w:tcW w:w="9000" w:type="dxa"/>
            <w:vAlign w:val="bottom"/>
            <w:tcBorders>
              <w:bottom w:val="single" w:sz="8" w:color="FFCF01"/>
            </w:tcBorders>
          </w:tcPr>
          <w:p>
            <w:pPr>
              <w:ind w:left="560"/>
              <w:spacing w:after="0"/>
              <w:rPr>
                <w:sz w:val="20"/>
                <w:szCs w:val="20"/>
                <w:color w:val="auto"/>
              </w:rPr>
            </w:pPr>
            <w:r>
              <w:rPr>
                <w:rFonts w:ascii="Arial" w:cs="Arial" w:eastAsia="Arial" w:hAnsi="Arial"/>
                <w:sz w:val="14"/>
                <w:szCs w:val="14"/>
                <w:color w:val="auto"/>
              </w:rPr>
              <w:t>Former President and Chief Operating Officer</w:t>
            </w:r>
          </w:p>
        </w:tc>
      </w:tr>
      <w:tr>
        <w:trPr>
          <w:trHeight w:val="223"/>
        </w:trPr>
        <w:tc>
          <w:tcPr>
            <w:tcW w:w="2240" w:type="dxa"/>
            <w:vAlign w:val="bottom"/>
            <w:tcBorders>
              <w:bottom w:val="single" w:sz="8" w:color="852166"/>
            </w:tcBorders>
          </w:tcPr>
          <w:p>
            <w:pPr>
              <w:ind w:left="100"/>
              <w:spacing w:after="0"/>
              <w:rPr>
                <w:sz w:val="20"/>
                <w:szCs w:val="20"/>
                <w:color w:val="auto"/>
              </w:rPr>
            </w:pPr>
            <w:r>
              <w:rPr>
                <w:rFonts w:ascii="Arial" w:cs="Arial" w:eastAsia="Arial" w:hAnsi="Arial"/>
                <w:sz w:val="14"/>
                <w:szCs w:val="14"/>
                <w:b w:val="1"/>
                <w:bCs w:val="1"/>
                <w:color w:val="auto"/>
              </w:rPr>
              <w:t>Kim Sablich</w:t>
            </w:r>
            <w:r>
              <w:rPr>
                <w:rFonts w:ascii="Arial" w:cs="Arial" w:eastAsia="Arial" w:hAnsi="Arial"/>
                <w:sz w:val="9"/>
                <w:szCs w:val="9"/>
                <w:b w:val="1"/>
                <w:bCs w:val="1"/>
                <w:color w:val="auto"/>
              </w:rPr>
              <w:t>(4)</w:t>
            </w:r>
          </w:p>
        </w:tc>
        <w:tc>
          <w:tcPr>
            <w:tcW w:w="9000" w:type="dxa"/>
            <w:vAlign w:val="bottom"/>
            <w:tcBorders>
              <w:bottom w:val="single" w:sz="8" w:color="852166"/>
            </w:tcBorders>
          </w:tcPr>
          <w:p>
            <w:pPr>
              <w:ind w:left="560"/>
              <w:spacing w:after="0"/>
              <w:rPr>
                <w:sz w:val="20"/>
                <w:szCs w:val="20"/>
                <w:color w:val="auto"/>
              </w:rPr>
            </w:pPr>
            <w:r>
              <w:rPr>
                <w:rFonts w:ascii="Arial" w:cs="Arial" w:eastAsia="Arial" w:hAnsi="Arial"/>
                <w:sz w:val="14"/>
                <w:szCs w:val="14"/>
                <w:color w:val="auto"/>
              </w:rPr>
              <w:t>Former Executive Vice President and General Manager, US</w:t>
            </w:r>
          </w:p>
        </w:tc>
      </w:tr>
    </w:tbl>
    <w:p>
      <w:pPr>
        <w:spacing w:after="0" w:line="139"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Ms. Galá became Jazz’s President and COO effective October 1, 2023. Prior to October 1, 2023, Ms. Galá was Jazz’s Executive Vice President and Chief Financial Officer.</w:t>
      </w:r>
    </w:p>
    <w:p>
      <w:pPr>
        <w:spacing w:after="0" w:line="82" w:lineRule="exact"/>
        <w:rPr>
          <w:rFonts w:ascii="Arial" w:cs="Arial" w:eastAsia="Arial" w:hAnsi="Arial"/>
          <w:sz w:val="14"/>
          <w:szCs w:val="14"/>
          <w:color w:val="auto"/>
        </w:rPr>
      </w:pPr>
    </w:p>
    <w:p>
      <w:pPr>
        <w:ind w:left="340" w:right="400" w:hanging="332"/>
        <w:spacing w:after="0" w:line="322" w:lineRule="auto"/>
        <w:tabs>
          <w:tab w:leader="none" w:pos="327" w:val="left"/>
        </w:tabs>
        <w:numPr>
          <w:ilvl w:val="0"/>
          <w:numId w:val="42"/>
        </w:numPr>
        <w:rPr>
          <w:rFonts w:ascii="Arial" w:cs="Arial" w:eastAsia="Arial" w:hAnsi="Arial"/>
          <w:sz w:val="14"/>
          <w:szCs w:val="14"/>
          <w:color w:val="auto"/>
        </w:rPr>
      </w:pPr>
      <w:r>
        <w:rPr>
          <w:rFonts w:ascii="Arial" w:cs="Arial" w:eastAsia="Arial" w:hAnsi="Arial"/>
          <w:sz w:val="14"/>
          <w:szCs w:val="14"/>
          <w:color w:val="auto"/>
        </w:rPr>
        <w:t>Ms. Carr served as Jazz’s Interim Principal Financial Officer from October 1, 2023 to March 1, 2024. Ms. Carr has also served as our Senior Vice President and Chief Accounting Officer since August 2021.</w:t>
      </w:r>
    </w:p>
    <w:p>
      <w:pPr>
        <w:ind w:left="320" w:hanging="312"/>
        <w:spacing w:after="0"/>
        <w:tabs>
          <w:tab w:leader="none" w:pos="3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Mr. Swisher retired as Jazz’s President and COO effective October 1, 2023.</w:t>
      </w:r>
    </w:p>
    <w:p>
      <w:pPr>
        <w:spacing w:after="0" w:line="68" w:lineRule="exact"/>
        <w:rPr>
          <w:rFonts w:ascii="Arial" w:cs="Arial" w:eastAsia="Arial" w:hAnsi="Arial"/>
          <w:sz w:val="14"/>
          <w:szCs w:val="14"/>
          <w:color w:val="auto"/>
        </w:rPr>
      </w:pPr>
    </w:p>
    <w:p>
      <w:pPr>
        <w:ind w:left="340" w:right="140" w:hanging="332"/>
        <w:spacing w:after="0" w:line="325" w:lineRule="auto"/>
        <w:tabs>
          <w:tab w:leader="none" w:pos="327" w:val="left"/>
        </w:tabs>
        <w:numPr>
          <w:ilvl w:val="0"/>
          <w:numId w:val="42"/>
        </w:numPr>
        <w:rPr>
          <w:rFonts w:ascii="Arial" w:cs="Arial" w:eastAsia="Arial" w:hAnsi="Arial"/>
          <w:sz w:val="14"/>
          <w:szCs w:val="14"/>
          <w:color w:val="auto"/>
        </w:rPr>
      </w:pPr>
      <w:r>
        <w:rPr>
          <w:rFonts w:ascii="Arial" w:cs="Arial" w:eastAsia="Arial" w:hAnsi="Arial"/>
          <w:sz w:val="14"/>
          <w:szCs w:val="14"/>
          <w:color w:val="auto"/>
        </w:rPr>
        <w:t>Ms. Sablich ceased serving in her role as Executive Vice President and General Manager, US., and as an executive officer of Jazz on December 31, 2023, which was her last day of service in such capacity.</w:t>
      </w: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38</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42" w:name="page43"/>
    <w:bookmarkEnd w:id="42"/>
    <w:p>
      <w:pPr>
        <w:spacing w:after="0"/>
        <w:rPr>
          <w:sz w:val="20"/>
          <w:szCs w:val="20"/>
          <w:color w:val="auto"/>
        </w:rPr>
      </w:pPr>
      <w:r>
        <w:rPr>
          <w:rFonts w:ascii="Arial" w:cs="Arial" w:eastAsia="Arial" w:hAnsi="Arial"/>
          <w:sz w:val="20"/>
          <w:szCs w:val="20"/>
          <w:b w:val="1"/>
          <w:bCs w:val="1"/>
          <w:color w:val="852166"/>
        </w:rPr>
        <w:t>Table of Contents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740" w:type="dxa"/>
            <w:vAlign w:val="bottom"/>
            <w:tcBorders>
              <w:bottom w:val="single" w:sz="8" w:color="FFCF01"/>
            </w:tcBorders>
          </w:tcPr>
          <w:p>
            <w:pPr>
              <w:ind w:left="100"/>
              <w:spacing w:after="0"/>
              <w:rPr>
                <w:sz w:val="20"/>
                <w:szCs w:val="20"/>
                <w:color w:val="auto"/>
              </w:rPr>
            </w:pPr>
            <w:r>
              <w:rPr>
                <w:rFonts w:ascii="Arial" w:cs="Arial" w:eastAsia="Arial" w:hAnsi="Arial"/>
                <w:sz w:val="13"/>
                <w:szCs w:val="13"/>
                <w:b w:val="1"/>
                <w:bCs w:val="1"/>
                <w:color w:val="auto"/>
              </w:rPr>
              <w:t>Executive Summary</w:t>
            </w:r>
          </w:p>
        </w:tc>
        <w:tc>
          <w:tcPr>
            <w:tcW w:w="3500" w:type="dxa"/>
            <w:vAlign w:val="bottom"/>
            <w:tcBorders>
              <w:bottom w:val="single" w:sz="8" w:color="FFCF01"/>
            </w:tcBorders>
          </w:tcPr>
          <w:p>
            <w:pPr>
              <w:jc w:val="right"/>
              <w:ind w:right="208"/>
              <w:spacing w:after="0"/>
              <w:rPr>
                <w:sz w:val="20"/>
                <w:szCs w:val="20"/>
                <w:color w:val="auto"/>
              </w:rPr>
            </w:pPr>
            <w:r>
              <w:rPr>
                <w:rFonts w:ascii="Arial" w:cs="Arial" w:eastAsia="Arial" w:hAnsi="Arial"/>
                <w:sz w:val="14"/>
                <w:szCs w:val="14"/>
                <w:b w:val="1"/>
                <w:bCs w:val="1"/>
                <w:color w:val="auto"/>
              </w:rPr>
              <w:t>40</w:t>
            </w:r>
          </w:p>
        </w:tc>
      </w:tr>
      <w:tr>
        <w:trPr>
          <w:trHeight w:val="208"/>
        </w:trPr>
        <w:tc>
          <w:tcPr>
            <w:tcW w:w="7740" w:type="dxa"/>
            <w:vAlign w:val="bottom"/>
          </w:tcPr>
          <w:p>
            <w:pPr>
              <w:ind w:left="260"/>
              <w:spacing w:after="0"/>
              <w:rPr>
                <w:sz w:val="20"/>
                <w:szCs w:val="20"/>
                <w:color w:val="auto"/>
              </w:rPr>
            </w:pPr>
            <w:r>
              <w:rPr>
                <w:rFonts w:ascii="Arial" w:cs="Arial" w:eastAsia="Arial" w:hAnsi="Arial"/>
                <w:sz w:val="13"/>
                <w:szCs w:val="13"/>
                <w:color w:val="auto"/>
              </w:rPr>
              <w:t>Our Business</w:t>
            </w:r>
          </w:p>
        </w:tc>
        <w:tc>
          <w:tcPr>
            <w:tcW w:w="3500" w:type="dxa"/>
            <w:vAlign w:val="bottom"/>
          </w:tcPr>
          <w:p>
            <w:pPr>
              <w:jc w:val="right"/>
              <w:ind w:right="208"/>
              <w:spacing w:after="0"/>
              <w:rPr>
                <w:sz w:val="20"/>
                <w:szCs w:val="20"/>
                <w:color w:val="auto"/>
              </w:rPr>
            </w:pPr>
            <w:r>
              <w:rPr>
                <w:rFonts w:ascii="Arial" w:cs="Arial" w:eastAsia="Arial" w:hAnsi="Arial"/>
                <w:sz w:val="14"/>
                <w:szCs w:val="14"/>
                <w:color w:val="auto"/>
              </w:rPr>
              <w:t>40</w:t>
            </w:r>
          </w:p>
        </w:tc>
      </w:tr>
      <w:tr>
        <w:trPr>
          <w:trHeight w:val="22"/>
        </w:trPr>
        <w:tc>
          <w:tcPr>
            <w:tcW w:w="7740" w:type="dxa"/>
            <w:vAlign w:val="bottom"/>
            <w:tcBorders>
              <w:bottom w:val="single" w:sz="8" w:color="FFCF01"/>
            </w:tcBorders>
          </w:tcPr>
          <w:p>
            <w:pPr>
              <w:spacing w:after="0" w:line="20" w:lineRule="exact"/>
              <w:rPr>
                <w:sz w:val="1"/>
                <w:szCs w:val="1"/>
                <w:color w:val="auto"/>
              </w:rPr>
            </w:pPr>
          </w:p>
        </w:tc>
        <w:tc>
          <w:tcPr>
            <w:tcW w:w="3500" w:type="dxa"/>
            <w:vAlign w:val="bottom"/>
            <w:tcBorders>
              <w:bottom w:val="single" w:sz="8" w:color="FFCF01"/>
            </w:tcBorders>
          </w:tcPr>
          <w:p>
            <w:pPr>
              <w:spacing w:after="0" w:line="20" w:lineRule="exact"/>
              <w:rPr>
                <w:sz w:val="1"/>
                <w:szCs w:val="1"/>
                <w:color w:val="auto"/>
              </w:rPr>
            </w:pPr>
          </w:p>
        </w:tc>
      </w:tr>
      <w:tr>
        <w:trPr>
          <w:trHeight w:val="201"/>
        </w:trPr>
        <w:tc>
          <w:tcPr>
            <w:tcW w:w="7740" w:type="dxa"/>
            <w:vAlign w:val="bottom"/>
          </w:tcPr>
          <w:p>
            <w:pPr>
              <w:ind w:left="260"/>
              <w:spacing w:after="0"/>
              <w:rPr>
                <w:sz w:val="20"/>
                <w:szCs w:val="20"/>
                <w:color w:val="auto"/>
              </w:rPr>
            </w:pPr>
            <w:r>
              <w:rPr>
                <w:rFonts w:ascii="Arial" w:cs="Arial" w:eastAsia="Arial" w:hAnsi="Arial"/>
                <w:sz w:val="13"/>
                <w:szCs w:val="13"/>
                <w:color w:val="auto"/>
              </w:rPr>
              <w:t>2023 Performance Highlights</w:t>
            </w:r>
          </w:p>
        </w:tc>
        <w:tc>
          <w:tcPr>
            <w:tcW w:w="3500" w:type="dxa"/>
            <w:vAlign w:val="bottom"/>
          </w:tcPr>
          <w:p>
            <w:pPr>
              <w:jc w:val="right"/>
              <w:ind w:right="208"/>
              <w:spacing w:after="0"/>
              <w:rPr>
                <w:sz w:val="20"/>
                <w:szCs w:val="20"/>
                <w:color w:val="auto"/>
              </w:rPr>
            </w:pPr>
            <w:r>
              <w:rPr>
                <w:rFonts w:ascii="Arial" w:cs="Arial" w:eastAsia="Arial" w:hAnsi="Arial"/>
                <w:sz w:val="14"/>
                <w:szCs w:val="14"/>
                <w:color w:val="auto"/>
              </w:rPr>
              <w:t>40</w:t>
            </w:r>
          </w:p>
        </w:tc>
      </w:tr>
      <w:tr>
        <w:trPr>
          <w:trHeight w:val="22"/>
        </w:trPr>
        <w:tc>
          <w:tcPr>
            <w:tcW w:w="7740" w:type="dxa"/>
            <w:vAlign w:val="bottom"/>
            <w:tcBorders>
              <w:bottom w:val="single" w:sz="8" w:color="FFCF01"/>
            </w:tcBorders>
          </w:tcPr>
          <w:p>
            <w:pPr>
              <w:spacing w:after="0" w:line="20" w:lineRule="exact"/>
              <w:rPr>
                <w:sz w:val="1"/>
                <w:szCs w:val="1"/>
                <w:color w:val="auto"/>
              </w:rPr>
            </w:pPr>
          </w:p>
        </w:tc>
        <w:tc>
          <w:tcPr>
            <w:tcW w:w="3500" w:type="dxa"/>
            <w:vAlign w:val="bottom"/>
            <w:tcBorders>
              <w:bottom w:val="single" w:sz="8" w:color="FFCF01"/>
            </w:tcBorders>
          </w:tcPr>
          <w:p>
            <w:pPr>
              <w:spacing w:after="0" w:line="20" w:lineRule="exact"/>
              <w:rPr>
                <w:sz w:val="1"/>
                <w:szCs w:val="1"/>
                <w:color w:val="auto"/>
              </w:rPr>
            </w:pPr>
          </w:p>
        </w:tc>
      </w:tr>
      <w:tr>
        <w:trPr>
          <w:trHeight w:val="202"/>
        </w:trPr>
        <w:tc>
          <w:tcPr>
            <w:tcW w:w="7740" w:type="dxa"/>
            <w:vAlign w:val="bottom"/>
          </w:tcPr>
          <w:p>
            <w:pPr>
              <w:ind w:left="260"/>
              <w:spacing w:after="0"/>
              <w:rPr>
                <w:sz w:val="20"/>
                <w:szCs w:val="20"/>
                <w:color w:val="auto"/>
              </w:rPr>
            </w:pPr>
            <w:r>
              <w:rPr>
                <w:rFonts w:ascii="Arial" w:cs="Arial" w:eastAsia="Arial" w:hAnsi="Arial"/>
                <w:sz w:val="13"/>
                <w:szCs w:val="13"/>
                <w:color w:val="auto"/>
              </w:rPr>
              <w:t>Key Features of Our Executive Compensation Program</w:t>
            </w:r>
          </w:p>
        </w:tc>
        <w:tc>
          <w:tcPr>
            <w:tcW w:w="3500" w:type="dxa"/>
            <w:vAlign w:val="bottom"/>
          </w:tcPr>
          <w:p>
            <w:pPr>
              <w:jc w:val="right"/>
              <w:ind w:right="208"/>
              <w:spacing w:after="0"/>
              <w:rPr>
                <w:sz w:val="20"/>
                <w:szCs w:val="20"/>
                <w:color w:val="auto"/>
              </w:rPr>
            </w:pPr>
            <w:r>
              <w:rPr>
                <w:rFonts w:ascii="Arial" w:cs="Arial" w:eastAsia="Arial" w:hAnsi="Arial"/>
                <w:sz w:val="14"/>
                <w:szCs w:val="14"/>
                <w:color w:val="auto"/>
              </w:rPr>
              <w:t>42</w:t>
            </w:r>
          </w:p>
        </w:tc>
      </w:tr>
      <w:tr>
        <w:trPr>
          <w:trHeight w:val="22"/>
        </w:trPr>
        <w:tc>
          <w:tcPr>
            <w:tcW w:w="7740" w:type="dxa"/>
            <w:vAlign w:val="bottom"/>
            <w:tcBorders>
              <w:bottom w:val="single" w:sz="8" w:color="FFCF01"/>
            </w:tcBorders>
          </w:tcPr>
          <w:p>
            <w:pPr>
              <w:spacing w:after="0" w:line="20" w:lineRule="exact"/>
              <w:rPr>
                <w:sz w:val="1"/>
                <w:szCs w:val="1"/>
                <w:color w:val="auto"/>
              </w:rPr>
            </w:pPr>
          </w:p>
        </w:tc>
        <w:tc>
          <w:tcPr>
            <w:tcW w:w="3500" w:type="dxa"/>
            <w:vAlign w:val="bottom"/>
            <w:tcBorders>
              <w:bottom w:val="single" w:sz="8" w:color="FFCF01"/>
            </w:tcBorders>
          </w:tcPr>
          <w:p>
            <w:pPr>
              <w:spacing w:after="0" w:line="20" w:lineRule="exact"/>
              <w:rPr>
                <w:sz w:val="1"/>
                <w:szCs w:val="1"/>
                <w:color w:val="auto"/>
              </w:rPr>
            </w:pPr>
          </w:p>
        </w:tc>
      </w:tr>
      <w:tr>
        <w:trPr>
          <w:trHeight w:val="202"/>
        </w:trPr>
        <w:tc>
          <w:tcPr>
            <w:tcW w:w="7740" w:type="dxa"/>
            <w:vAlign w:val="bottom"/>
          </w:tcPr>
          <w:p>
            <w:pPr>
              <w:ind w:left="260"/>
              <w:spacing w:after="0"/>
              <w:rPr>
                <w:sz w:val="20"/>
                <w:szCs w:val="20"/>
                <w:color w:val="auto"/>
              </w:rPr>
            </w:pPr>
            <w:r>
              <w:rPr>
                <w:rFonts w:ascii="Arial" w:cs="Arial" w:eastAsia="Arial" w:hAnsi="Arial"/>
                <w:sz w:val="13"/>
                <w:szCs w:val="13"/>
                <w:color w:val="auto"/>
              </w:rPr>
              <w:t>2023 Pay-for-Performance Overview</w:t>
            </w:r>
          </w:p>
        </w:tc>
        <w:tc>
          <w:tcPr>
            <w:tcW w:w="3500" w:type="dxa"/>
            <w:vAlign w:val="bottom"/>
          </w:tcPr>
          <w:p>
            <w:pPr>
              <w:jc w:val="right"/>
              <w:ind w:right="208"/>
              <w:spacing w:after="0"/>
              <w:rPr>
                <w:sz w:val="20"/>
                <w:szCs w:val="20"/>
                <w:color w:val="auto"/>
              </w:rPr>
            </w:pPr>
            <w:r>
              <w:rPr>
                <w:rFonts w:ascii="Arial" w:cs="Arial" w:eastAsia="Arial" w:hAnsi="Arial"/>
                <w:sz w:val="14"/>
                <w:szCs w:val="14"/>
                <w:color w:val="auto"/>
              </w:rPr>
              <w:t>42</w:t>
            </w:r>
          </w:p>
        </w:tc>
      </w:tr>
      <w:tr>
        <w:trPr>
          <w:trHeight w:val="22"/>
        </w:trPr>
        <w:tc>
          <w:tcPr>
            <w:tcW w:w="7740" w:type="dxa"/>
            <w:vAlign w:val="bottom"/>
            <w:tcBorders>
              <w:bottom w:val="single" w:sz="8" w:color="FFCF01"/>
            </w:tcBorders>
          </w:tcPr>
          <w:p>
            <w:pPr>
              <w:spacing w:after="0" w:line="20" w:lineRule="exact"/>
              <w:rPr>
                <w:sz w:val="1"/>
                <w:szCs w:val="1"/>
                <w:color w:val="auto"/>
              </w:rPr>
            </w:pPr>
          </w:p>
        </w:tc>
        <w:tc>
          <w:tcPr>
            <w:tcW w:w="3500" w:type="dxa"/>
            <w:vAlign w:val="bottom"/>
            <w:tcBorders>
              <w:bottom w:val="single" w:sz="8" w:color="FFCF01"/>
            </w:tcBorders>
          </w:tcPr>
          <w:p>
            <w:pPr>
              <w:spacing w:after="0" w:line="20" w:lineRule="exact"/>
              <w:rPr>
                <w:sz w:val="1"/>
                <w:szCs w:val="1"/>
                <w:color w:val="auto"/>
              </w:rPr>
            </w:pPr>
          </w:p>
        </w:tc>
      </w:tr>
      <w:tr>
        <w:trPr>
          <w:trHeight w:val="216"/>
        </w:trPr>
        <w:tc>
          <w:tcPr>
            <w:tcW w:w="7740" w:type="dxa"/>
            <w:vAlign w:val="bottom"/>
            <w:tcBorders>
              <w:bottom w:val="single" w:sz="8" w:color="FFCF01"/>
            </w:tcBorders>
          </w:tcPr>
          <w:p>
            <w:pPr>
              <w:ind w:left="100"/>
              <w:spacing w:after="0"/>
              <w:rPr>
                <w:sz w:val="20"/>
                <w:szCs w:val="20"/>
                <w:color w:val="auto"/>
              </w:rPr>
            </w:pPr>
            <w:r>
              <w:rPr>
                <w:rFonts w:ascii="Arial" w:cs="Arial" w:eastAsia="Arial" w:hAnsi="Arial"/>
                <w:sz w:val="13"/>
                <w:szCs w:val="13"/>
                <w:b w:val="1"/>
                <w:bCs w:val="1"/>
                <w:color w:val="auto"/>
              </w:rPr>
              <w:t>Compensation Philosophy and Objectives</w:t>
            </w:r>
          </w:p>
        </w:tc>
        <w:tc>
          <w:tcPr>
            <w:tcW w:w="3500" w:type="dxa"/>
            <w:vAlign w:val="bottom"/>
            <w:tcBorders>
              <w:bottom w:val="single" w:sz="8" w:color="FFCF01"/>
            </w:tcBorders>
          </w:tcPr>
          <w:p>
            <w:pPr>
              <w:jc w:val="right"/>
              <w:ind w:right="208"/>
              <w:spacing w:after="0"/>
              <w:rPr>
                <w:sz w:val="20"/>
                <w:szCs w:val="20"/>
                <w:color w:val="auto"/>
              </w:rPr>
            </w:pPr>
            <w:r>
              <w:rPr>
                <w:rFonts w:ascii="Arial" w:cs="Arial" w:eastAsia="Arial" w:hAnsi="Arial"/>
                <w:sz w:val="14"/>
                <w:szCs w:val="14"/>
                <w:b w:val="1"/>
                <w:bCs w:val="1"/>
                <w:color w:val="auto"/>
              </w:rPr>
              <w:t>43</w:t>
            </w:r>
          </w:p>
        </w:tc>
      </w:tr>
      <w:tr>
        <w:trPr>
          <w:trHeight w:val="223"/>
        </w:trPr>
        <w:tc>
          <w:tcPr>
            <w:tcW w:w="7740" w:type="dxa"/>
            <w:vAlign w:val="bottom"/>
            <w:tcBorders>
              <w:bottom w:val="single" w:sz="8" w:color="FFCF01"/>
            </w:tcBorders>
          </w:tcPr>
          <w:p>
            <w:pPr>
              <w:ind w:left="100"/>
              <w:spacing w:after="0"/>
              <w:rPr>
                <w:sz w:val="20"/>
                <w:szCs w:val="20"/>
                <w:color w:val="auto"/>
              </w:rPr>
            </w:pPr>
            <w:r>
              <w:rPr>
                <w:rFonts w:ascii="Arial" w:cs="Arial" w:eastAsia="Arial" w:hAnsi="Arial"/>
                <w:sz w:val="13"/>
                <w:szCs w:val="13"/>
                <w:b w:val="1"/>
                <w:bCs w:val="1"/>
                <w:color w:val="auto"/>
              </w:rPr>
              <w:t>How We Determine Executive Compensation</w:t>
            </w:r>
          </w:p>
        </w:tc>
        <w:tc>
          <w:tcPr>
            <w:tcW w:w="3500" w:type="dxa"/>
            <w:vAlign w:val="bottom"/>
            <w:tcBorders>
              <w:bottom w:val="single" w:sz="8" w:color="FFCF01"/>
            </w:tcBorders>
          </w:tcPr>
          <w:p>
            <w:pPr>
              <w:jc w:val="right"/>
              <w:ind w:right="208"/>
              <w:spacing w:after="0"/>
              <w:rPr>
                <w:sz w:val="20"/>
                <w:szCs w:val="20"/>
                <w:color w:val="auto"/>
              </w:rPr>
            </w:pPr>
            <w:r>
              <w:rPr>
                <w:rFonts w:ascii="Arial" w:cs="Arial" w:eastAsia="Arial" w:hAnsi="Arial"/>
                <w:sz w:val="14"/>
                <w:szCs w:val="14"/>
                <w:b w:val="1"/>
                <w:bCs w:val="1"/>
                <w:color w:val="auto"/>
              </w:rPr>
              <w:t>43</w:t>
            </w:r>
          </w:p>
        </w:tc>
      </w:tr>
      <w:tr>
        <w:trPr>
          <w:trHeight w:val="208"/>
        </w:trPr>
        <w:tc>
          <w:tcPr>
            <w:tcW w:w="7740" w:type="dxa"/>
            <w:vAlign w:val="bottom"/>
          </w:tcPr>
          <w:p>
            <w:pPr>
              <w:ind w:left="260"/>
              <w:spacing w:after="0"/>
              <w:rPr>
                <w:sz w:val="20"/>
                <w:szCs w:val="20"/>
                <w:color w:val="auto"/>
              </w:rPr>
            </w:pPr>
            <w:r>
              <w:rPr>
                <w:rFonts w:ascii="Arial" w:cs="Arial" w:eastAsia="Arial" w:hAnsi="Arial"/>
                <w:sz w:val="13"/>
                <w:szCs w:val="13"/>
                <w:color w:val="auto"/>
              </w:rPr>
              <w:t>Role of Our Compensation Committee</w:t>
            </w:r>
          </w:p>
        </w:tc>
        <w:tc>
          <w:tcPr>
            <w:tcW w:w="3500" w:type="dxa"/>
            <w:vAlign w:val="bottom"/>
          </w:tcPr>
          <w:p>
            <w:pPr>
              <w:jc w:val="right"/>
              <w:ind w:right="208"/>
              <w:spacing w:after="0"/>
              <w:rPr>
                <w:sz w:val="20"/>
                <w:szCs w:val="20"/>
                <w:color w:val="auto"/>
              </w:rPr>
            </w:pPr>
            <w:r>
              <w:rPr>
                <w:rFonts w:ascii="Arial" w:cs="Arial" w:eastAsia="Arial" w:hAnsi="Arial"/>
                <w:sz w:val="14"/>
                <w:szCs w:val="14"/>
                <w:color w:val="auto"/>
              </w:rPr>
              <w:t>43</w:t>
            </w:r>
          </w:p>
        </w:tc>
      </w:tr>
      <w:tr>
        <w:trPr>
          <w:trHeight w:val="22"/>
        </w:trPr>
        <w:tc>
          <w:tcPr>
            <w:tcW w:w="7740" w:type="dxa"/>
            <w:vAlign w:val="bottom"/>
            <w:tcBorders>
              <w:bottom w:val="single" w:sz="8" w:color="FFCF01"/>
            </w:tcBorders>
          </w:tcPr>
          <w:p>
            <w:pPr>
              <w:spacing w:after="0" w:line="20" w:lineRule="exact"/>
              <w:rPr>
                <w:sz w:val="1"/>
                <w:szCs w:val="1"/>
                <w:color w:val="auto"/>
              </w:rPr>
            </w:pPr>
          </w:p>
        </w:tc>
        <w:tc>
          <w:tcPr>
            <w:tcW w:w="3500" w:type="dxa"/>
            <w:vAlign w:val="bottom"/>
            <w:tcBorders>
              <w:bottom w:val="single" w:sz="8" w:color="FFCF01"/>
            </w:tcBorders>
          </w:tcPr>
          <w:p>
            <w:pPr>
              <w:spacing w:after="0" w:line="20" w:lineRule="exact"/>
              <w:rPr>
                <w:sz w:val="1"/>
                <w:szCs w:val="1"/>
                <w:color w:val="auto"/>
              </w:rPr>
            </w:pPr>
          </w:p>
        </w:tc>
      </w:tr>
      <w:tr>
        <w:trPr>
          <w:trHeight w:val="202"/>
        </w:trPr>
        <w:tc>
          <w:tcPr>
            <w:tcW w:w="7740" w:type="dxa"/>
            <w:vAlign w:val="bottom"/>
          </w:tcPr>
          <w:p>
            <w:pPr>
              <w:ind w:left="260"/>
              <w:spacing w:after="0"/>
              <w:rPr>
                <w:sz w:val="20"/>
                <w:szCs w:val="20"/>
                <w:color w:val="auto"/>
              </w:rPr>
            </w:pPr>
            <w:r>
              <w:rPr>
                <w:rFonts w:ascii="Arial" w:cs="Arial" w:eastAsia="Arial" w:hAnsi="Arial"/>
                <w:sz w:val="13"/>
                <w:szCs w:val="13"/>
                <w:color w:val="auto"/>
              </w:rPr>
              <w:t>Role of Our CEO and Management</w:t>
            </w:r>
          </w:p>
        </w:tc>
        <w:tc>
          <w:tcPr>
            <w:tcW w:w="3500" w:type="dxa"/>
            <w:vAlign w:val="bottom"/>
          </w:tcPr>
          <w:p>
            <w:pPr>
              <w:jc w:val="right"/>
              <w:ind w:right="208"/>
              <w:spacing w:after="0"/>
              <w:rPr>
                <w:sz w:val="20"/>
                <w:szCs w:val="20"/>
                <w:color w:val="auto"/>
              </w:rPr>
            </w:pPr>
            <w:r>
              <w:rPr>
                <w:rFonts w:ascii="Arial" w:cs="Arial" w:eastAsia="Arial" w:hAnsi="Arial"/>
                <w:sz w:val="14"/>
                <w:szCs w:val="14"/>
                <w:color w:val="auto"/>
              </w:rPr>
              <w:t>43</w:t>
            </w:r>
          </w:p>
        </w:tc>
      </w:tr>
      <w:tr>
        <w:trPr>
          <w:trHeight w:val="22"/>
        </w:trPr>
        <w:tc>
          <w:tcPr>
            <w:tcW w:w="7740" w:type="dxa"/>
            <w:vAlign w:val="bottom"/>
            <w:tcBorders>
              <w:bottom w:val="single" w:sz="8" w:color="FFCF01"/>
            </w:tcBorders>
          </w:tcPr>
          <w:p>
            <w:pPr>
              <w:spacing w:after="0" w:line="20" w:lineRule="exact"/>
              <w:rPr>
                <w:sz w:val="1"/>
                <w:szCs w:val="1"/>
                <w:color w:val="auto"/>
              </w:rPr>
            </w:pPr>
          </w:p>
        </w:tc>
        <w:tc>
          <w:tcPr>
            <w:tcW w:w="3500" w:type="dxa"/>
            <w:vAlign w:val="bottom"/>
            <w:tcBorders>
              <w:bottom w:val="single" w:sz="8" w:color="FFCF01"/>
            </w:tcBorders>
          </w:tcPr>
          <w:p>
            <w:pPr>
              <w:spacing w:after="0" w:line="20" w:lineRule="exact"/>
              <w:rPr>
                <w:sz w:val="1"/>
                <w:szCs w:val="1"/>
                <w:color w:val="auto"/>
              </w:rPr>
            </w:pPr>
          </w:p>
        </w:tc>
      </w:tr>
      <w:tr>
        <w:trPr>
          <w:trHeight w:val="201"/>
        </w:trPr>
        <w:tc>
          <w:tcPr>
            <w:tcW w:w="7740" w:type="dxa"/>
            <w:vAlign w:val="bottom"/>
          </w:tcPr>
          <w:p>
            <w:pPr>
              <w:ind w:left="260"/>
              <w:spacing w:after="0"/>
              <w:rPr>
                <w:sz w:val="20"/>
                <w:szCs w:val="20"/>
                <w:color w:val="auto"/>
              </w:rPr>
            </w:pPr>
            <w:r>
              <w:rPr>
                <w:rFonts w:ascii="Arial" w:cs="Arial" w:eastAsia="Arial" w:hAnsi="Arial"/>
                <w:sz w:val="13"/>
                <w:szCs w:val="13"/>
                <w:color w:val="auto"/>
              </w:rPr>
              <w:t>Annual Executive Compensation Program Cycle</w:t>
            </w:r>
          </w:p>
        </w:tc>
        <w:tc>
          <w:tcPr>
            <w:tcW w:w="3500" w:type="dxa"/>
            <w:vAlign w:val="bottom"/>
          </w:tcPr>
          <w:p>
            <w:pPr>
              <w:jc w:val="right"/>
              <w:ind w:right="208"/>
              <w:spacing w:after="0"/>
              <w:rPr>
                <w:sz w:val="20"/>
                <w:szCs w:val="20"/>
                <w:color w:val="auto"/>
              </w:rPr>
            </w:pPr>
            <w:r>
              <w:rPr>
                <w:rFonts w:ascii="Arial" w:cs="Arial" w:eastAsia="Arial" w:hAnsi="Arial"/>
                <w:sz w:val="14"/>
                <w:szCs w:val="14"/>
                <w:color w:val="auto"/>
              </w:rPr>
              <w:t>44</w:t>
            </w:r>
          </w:p>
        </w:tc>
      </w:tr>
      <w:tr>
        <w:trPr>
          <w:trHeight w:val="22"/>
        </w:trPr>
        <w:tc>
          <w:tcPr>
            <w:tcW w:w="7740" w:type="dxa"/>
            <w:vAlign w:val="bottom"/>
            <w:tcBorders>
              <w:bottom w:val="single" w:sz="8" w:color="FFCF01"/>
            </w:tcBorders>
          </w:tcPr>
          <w:p>
            <w:pPr>
              <w:spacing w:after="0" w:line="20" w:lineRule="exact"/>
              <w:rPr>
                <w:sz w:val="1"/>
                <w:szCs w:val="1"/>
                <w:color w:val="auto"/>
              </w:rPr>
            </w:pPr>
          </w:p>
        </w:tc>
        <w:tc>
          <w:tcPr>
            <w:tcW w:w="3500" w:type="dxa"/>
            <w:vAlign w:val="bottom"/>
            <w:tcBorders>
              <w:bottom w:val="single" w:sz="8" w:color="FFCF01"/>
            </w:tcBorders>
          </w:tcPr>
          <w:p>
            <w:pPr>
              <w:spacing w:after="0" w:line="20" w:lineRule="exact"/>
              <w:rPr>
                <w:sz w:val="1"/>
                <w:szCs w:val="1"/>
                <w:color w:val="auto"/>
              </w:rPr>
            </w:pPr>
          </w:p>
        </w:tc>
      </w:tr>
      <w:tr>
        <w:trPr>
          <w:trHeight w:val="202"/>
        </w:trPr>
        <w:tc>
          <w:tcPr>
            <w:tcW w:w="7740" w:type="dxa"/>
            <w:vAlign w:val="bottom"/>
          </w:tcPr>
          <w:p>
            <w:pPr>
              <w:ind w:left="260"/>
              <w:spacing w:after="0"/>
              <w:rPr>
                <w:sz w:val="20"/>
                <w:szCs w:val="20"/>
                <w:color w:val="auto"/>
              </w:rPr>
            </w:pPr>
            <w:r>
              <w:rPr>
                <w:rFonts w:ascii="Arial" w:cs="Arial" w:eastAsia="Arial" w:hAnsi="Arial"/>
                <w:sz w:val="13"/>
                <w:szCs w:val="13"/>
                <w:color w:val="auto"/>
              </w:rPr>
              <w:t>Role of the Independent Compensation Consultant</w:t>
            </w:r>
          </w:p>
        </w:tc>
        <w:tc>
          <w:tcPr>
            <w:tcW w:w="3500" w:type="dxa"/>
            <w:vAlign w:val="bottom"/>
          </w:tcPr>
          <w:p>
            <w:pPr>
              <w:jc w:val="right"/>
              <w:ind w:right="208"/>
              <w:spacing w:after="0"/>
              <w:rPr>
                <w:sz w:val="20"/>
                <w:szCs w:val="20"/>
                <w:color w:val="auto"/>
              </w:rPr>
            </w:pPr>
            <w:r>
              <w:rPr>
                <w:rFonts w:ascii="Arial" w:cs="Arial" w:eastAsia="Arial" w:hAnsi="Arial"/>
                <w:sz w:val="14"/>
                <w:szCs w:val="14"/>
                <w:color w:val="auto"/>
              </w:rPr>
              <w:t>44</w:t>
            </w:r>
          </w:p>
        </w:tc>
      </w:tr>
      <w:tr>
        <w:trPr>
          <w:trHeight w:val="22"/>
        </w:trPr>
        <w:tc>
          <w:tcPr>
            <w:tcW w:w="7740" w:type="dxa"/>
            <w:vAlign w:val="bottom"/>
            <w:tcBorders>
              <w:bottom w:val="single" w:sz="8" w:color="FFCF01"/>
            </w:tcBorders>
          </w:tcPr>
          <w:p>
            <w:pPr>
              <w:spacing w:after="0" w:line="20" w:lineRule="exact"/>
              <w:rPr>
                <w:sz w:val="1"/>
                <w:szCs w:val="1"/>
                <w:color w:val="auto"/>
              </w:rPr>
            </w:pPr>
          </w:p>
        </w:tc>
        <w:tc>
          <w:tcPr>
            <w:tcW w:w="3500" w:type="dxa"/>
            <w:vAlign w:val="bottom"/>
            <w:tcBorders>
              <w:bottom w:val="single" w:sz="8" w:color="FFCF01"/>
            </w:tcBorders>
          </w:tcPr>
          <w:p>
            <w:pPr>
              <w:spacing w:after="0" w:line="20" w:lineRule="exact"/>
              <w:rPr>
                <w:sz w:val="1"/>
                <w:szCs w:val="1"/>
                <w:color w:val="auto"/>
              </w:rPr>
            </w:pPr>
          </w:p>
        </w:tc>
      </w:tr>
      <w:tr>
        <w:trPr>
          <w:trHeight w:val="202"/>
        </w:trPr>
        <w:tc>
          <w:tcPr>
            <w:tcW w:w="7740" w:type="dxa"/>
            <w:vAlign w:val="bottom"/>
          </w:tcPr>
          <w:p>
            <w:pPr>
              <w:ind w:left="260"/>
              <w:spacing w:after="0"/>
              <w:rPr>
                <w:sz w:val="20"/>
                <w:szCs w:val="20"/>
                <w:color w:val="auto"/>
              </w:rPr>
            </w:pPr>
            <w:r>
              <w:rPr>
                <w:rFonts w:ascii="Arial" w:cs="Arial" w:eastAsia="Arial" w:hAnsi="Arial"/>
                <w:sz w:val="13"/>
                <w:szCs w:val="13"/>
                <w:color w:val="auto"/>
              </w:rPr>
              <w:t>Competitive Assessment of Compensation - Peer Companies and Market Data</w:t>
            </w:r>
          </w:p>
        </w:tc>
        <w:tc>
          <w:tcPr>
            <w:tcW w:w="3500" w:type="dxa"/>
            <w:vAlign w:val="bottom"/>
          </w:tcPr>
          <w:p>
            <w:pPr>
              <w:jc w:val="right"/>
              <w:ind w:right="208"/>
              <w:spacing w:after="0"/>
              <w:rPr>
                <w:sz w:val="20"/>
                <w:szCs w:val="20"/>
                <w:color w:val="auto"/>
              </w:rPr>
            </w:pPr>
            <w:r>
              <w:rPr>
                <w:rFonts w:ascii="Arial" w:cs="Arial" w:eastAsia="Arial" w:hAnsi="Arial"/>
                <w:sz w:val="14"/>
                <w:szCs w:val="14"/>
                <w:color w:val="auto"/>
              </w:rPr>
              <w:t>45</w:t>
            </w:r>
          </w:p>
        </w:tc>
      </w:tr>
      <w:tr>
        <w:trPr>
          <w:trHeight w:val="22"/>
        </w:trPr>
        <w:tc>
          <w:tcPr>
            <w:tcW w:w="7740" w:type="dxa"/>
            <w:vAlign w:val="bottom"/>
            <w:tcBorders>
              <w:bottom w:val="single" w:sz="8" w:color="FFCF01"/>
            </w:tcBorders>
          </w:tcPr>
          <w:p>
            <w:pPr>
              <w:spacing w:after="0" w:line="20" w:lineRule="exact"/>
              <w:rPr>
                <w:sz w:val="1"/>
                <w:szCs w:val="1"/>
                <w:color w:val="auto"/>
              </w:rPr>
            </w:pPr>
          </w:p>
        </w:tc>
        <w:tc>
          <w:tcPr>
            <w:tcW w:w="3500" w:type="dxa"/>
            <w:vAlign w:val="bottom"/>
            <w:tcBorders>
              <w:bottom w:val="single" w:sz="8" w:color="FFCF01"/>
            </w:tcBorders>
          </w:tcPr>
          <w:p>
            <w:pPr>
              <w:spacing w:after="0" w:line="20" w:lineRule="exact"/>
              <w:rPr>
                <w:sz w:val="1"/>
                <w:szCs w:val="1"/>
                <w:color w:val="auto"/>
              </w:rPr>
            </w:pPr>
          </w:p>
        </w:tc>
      </w:tr>
      <w:tr>
        <w:trPr>
          <w:trHeight w:val="201"/>
        </w:trPr>
        <w:tc>
          <w:tcPr>
            <w:tcW w:w="7740" w:type="dxa"/>
            <w:vAlign w:val="bottom"/>
          </w:tcPr>
          <w:p>
            <w:pPr>
              <w:ind w:left="260"/>
              <w:spacing w:after="0"/>
              <w:rPr>
                <w:sz w:val="20"/>
                <w:szCs w:val="20"/>
                <w:color w:val="auto"/>
              </w:rPr>
            </w:pPr>
            <w:r>
              <w:rPr>
                <w:rFonts w:ascii="Arial" w:cs="Arial" w:eastAsia="Arial" w:hAnsi="Arial"/>
                <w:sz w:val="13"/>
                <w:szCs w:val="13"/>
                <w:color w:val="auto"/>
              </w:rPr>
              <w:t>Factors Used in Determining Executive Compensation</w:t>
            </w:r>
          </w:p>
        </w:tc>
        <w:tc>
          <w:tcPr>
            <w:tcW w:w="3500" w:type="dxa"/>
            <w:vAlign w:val="bottom"/>
          </w:tcPr>
          <w:p>
            <w:pPr>
              <w:jc w:val="right"/>
              <w:ind w:right="208"/>
              <w:spacing w:after="0"/>
              <w:rPr>
                <w:sz w:val="20"/>
                <w:szCs w:val="20"/>
                <w:color w:val="auto"/>
              </w:rPr>
            </w:pPr>
            <w:r>
              <w:rPr>
                <w:rFonts w:ascii="Arial" w:cs="Arial" w:eastAsia="Arial" w:hAnsi="Arial"/>
                <w:sz w:val="14"/>
                <w:szCs w:val="14"/>
                <w:color w:val="auto"/>
              </w:rPr>
              <w:t>46</w:t>
            </w:r>
          </w:p>
        </w:tc>
      </w:tr>
      <w:tr>
        <w:trPr>
          <w:trHeight w:val="22"/>
        </w:trPr>
        <w:tc>
          <w:tcPr>
            <w:tcW w:w="7740" w:type="dxa"/>
            <w:vAlign w:val="bottom"/>
            <w:tcBorders>
              <w:bottom w:val="single" w:sz="8" w:color="FFCF01"/>
            </w:tcBorders>
          </w:tcPr>
          <w:p>
            <w:pPr>
              <w:spacing w:after="0" w:line="20" w:lineRule="exact"/>
              <w:rPr>
                <w:sz w:val="1"/>
                <w:szCs w:val="1"/>
                <w:color w:val="auto"/>
              </w:rPr>
            </w:pPr>
          </w:p>
        </w:tc>
        <w:tc>
          <w:tcPr>
            <w:tcW w:w="3500" w:type="dxa"/>
            <w:vAlign w:val="bottom"/>
            <w:tcBorders>
              <w:bottom w:val="single" w:sz="8" w:color="FFCF01"/>
            </w:tcBorders>
          </w:tcPr>
          <w:p>
            <w:pPr>
              <w:spacing w:after="0" w:line="20" w:lineRule="exact"/>
              <w:rPr>
                <w:sz w:val="1"/>
                <w:szCs w:val="1"/>
                <w:color w:val="auto"/>
              </w:rPr>
            </w:pPr>
          </w:p>
        </w:tc>
      </w:tr>
      <w:tr>
        <w:trPr>
          <w:trHeight w:val="202"/>
        </w:trPr>
        <w:tc>
          <w:tcPr>
            <w:tcW w:w="7740" w:type="dxa"/>
            <w:vAlign w:val="bottom"/>
          </w:tcPr>
          <w:p>
            <w:pPr>
              <w:ind w:left="260"/>
              <w:spacing w:after="0"/>
              <w:rPr>
                <w:sz w:val="20"/>
                <w:szCs w:val="20"/>
                <w:color w:val="auto"/>
              </w:rPr>
            </w:pPr>
            <w:r>
              <w:rPr>
                <w:rFonts w:ascii="Arial" w:cs="Arial" w:eastAsia="Arial" w:hAnsi="Arial"/>
                <w:sz w:val="13"/>
                <w:szCs w:val="13"/>
                <w:color w:val="auto"/>
              </w:rPr>
              <w:t>2023 Advisory Vote on Executive Compensation and Shareholder Engagement</w:t>
            </w:r>
          </w:p>
        </w:tc>
        <w:tc>
          <w:tcPr>
            <w:tcW w:w="3500" w:type="dxa"/>
            <w:vAlign w:val="bottom"/>
          </w:tcPr>
          <w:p>
            <w:pPr>
              <w:jc w:val="right"/>
              <w:ind w:right="208"/>
              <w:spacing w:after="0"/>
              <w:rPr>
                <w:sz w:val="20"/>
                <w:szCs w:val="20"/>
                <w:color w:val="auto"/>
              </w:rPr>
            </w:pPr>
            <w:r>
              <w:rPr>
                <w:rFonts w:ascii="Arial" w:cs="Arial" w:eastAsia="Arial" w:hAnsi="Arial"/>
                <w:sz w:val="14"/>
                <w:szCs w:val="14"/>
                <w:color w:val="auto"/>
              </w:rPr>
              <w:t>46</w:t>
            </w:r>
          </w:p>
        </w:tc>
      </w:tr>
      <w:tr>
        <w:trPr>
          <w:trHeight w:val="22"/>
        </w:trPr>
        <w:tc>
          <w:tcPr>
            <w:tcW w:w="7740" w:type="dxa"/>
            <w:vAlign w:val="bottom"/>
            <w:tcBorders>
              <w:bottom w:val="single" w:sz="8" w:color="FFCF01"/>
            </w:tcBorders>
          </w:tcPr>
          <w:p>
            <w:pPr>
              <w:spacing w:after="0" w:line="20" w:lineRule="exact"/>
              <w:rPr>
                <w:sz w:val="1"/>
                <w:szCs w:val="1"/>
                <w:color w:val="auto"/>
              </w:rPr>
            </w:pPr>
          </w:p>
        </w:tc>
        <w:tc>
          <w:tcPr>
            <w:tcW w:w="3500" w:type="dxa"/>
            <w:vAlign w:val="bottom"/>
            <w:tcBorders>
              <w:bottom w:val="single" w:sz="8" w:color="FFCF01"/>
            </w:tcBorders>
          </w:tcPr>
          <w:p>
            <w:pPr>
              <w:spacing w:after="0" w:line="20" w:lineRule="exact"/>
              <w:rPr>
                <w:sz w:val="1"/>
                <w:szCs w:val="1"/>
                <w:color w:val="auto"/>
              </w:rPr>
            </w:pPr>
          </w:p>
        </w:tc>
      </w:tr>
      <w:tr>
        <w:trPr>
          <w:trHeight w:val="217"/>
        </w:trPr>
        <w:tc>
          <w:tcPr>
            <w:tcW w:w="7740" w:type="dxa"/>
            <w:vAlign w:val="bottom"/>
            <w:tcBorders>
              <w:bottom w:val="single" w:sz="8" w:color="FFCF01"/>
            </w:tcBorders>
          </w:tcPr>
          <w:p>
            <w:pPr>
              <w:ind w:left="100"/>
              <w:spacing w:after="0"/>
              <w:rPr>
                <w:sz w:val="20"/>
                <w:szCs w:val="20"/>
                <w:color w:val="auto"/>
              </w:rPr>
            </w:pPr>
            <w:r>
              <w:rPr>
                <w:rFonts w:ascii="Arial" w:cs="Arial" w:eastAsia="Arial" w:hAnsi="Arial"/>
                <w:sz w:val="13"/>
                <w:szCs w:val="13"/>
                <w:b w:val="1"/>
                <w:bCs w:val="1"/>
                <w:color w:val="auto"/>
              </w:rPr>
              <w:t>Key Components and Design of the Executive Compensation Program</w:t>
            </w:r>
          </w:p>
        </w:tc>
        <w:tc>
          <w:tcPr>
            <w:tcW w:w="3500" w:type="dxa"/>
            <w:vAlign w:val="bottom"/>
            <w:tcBorders>
              <w:bottom w:val="single" w:sz="8" w:color="FFCF01"/>
            </w:tcBorders>
          </w:tcPr>
          <w:p>
            <w:pPr>
              <w:jc w:val="right"/>
              <w:ind w:right="208"/>
              <w:spacing w:after="0"/>
              <w:rPr>
                <w:sz w:val="20"/>
                <w:szCs w:val="20"/>
                <w:color w:val="auto"/>
              </w:rPr>
            </w:pPr>
            <w:r>
              <w:rPr>
                <w:rFonts w:ascii="Arial" w:cs="Arial" w:eastAsia="Arial" w:hAnsi="Arial"/>
                <w:sz w:val="14"/>
                <w:szCs w:val="14"/>
                <w:b w:val="1"/>
                <w:bCs w:val="1"/>
                <w:color w:val="auto"/>
              </w:rPr>
              <w:t>46</w:t>
            </w:r>
          </w:p>
        </w:tc>
      </w:tr>
      <w:tr>
        <w:trPr>
          <w:trHeight w:val="208"/>
        </w:trPr>
        <w:tc>
          <w:tcPr>
            <w:tcW w:w="7740" w:type="dxa"/>
            <w:vAlign w:val="bottom"/>
          </w:tcPr>
          <w:p>
            <w:pPr>
              <w:ind w:left="260"/>
              <w:spacing w:after="0"/>
              <w:rPr>
                <w:sz w:val="20"/>
                <w:szCs w:val="20"/>
                <w:color w:val="auto"/>
              </w:rPr>
            </w:pPr>
            <w:r>
              <w:rPr>
                <w:rFonts w:ascii="Arial" w:cs="Arial" w:eastAsia="Arial" w:hAnsi="Arial"/>
                <w:sz w:val="13"/>
                <w:szCs w:val="13"/>
                <w:color w:val="auto"/>
              </w:rPr>
              <w:t>Total Direct Compensation</w:t>
            </w:r>
          </w:p>
        </w:tc>
        <w:tc>
          <w:tcPr>
            <w:tcW w:w="3500" w:type="dxa"/>
            <w:vAlign w:val="bottom"/>
          </w:tcPr>
          <w:p>
            <w:pPr>
              <w:jc w:val="right"/>
              <w:ind w:right="208"/>
              <w:spacing w:after="0"/>
              <w:rPr>
                <w:sz w:val="20"/>
                <w:szCs w:val="20"/>
                <w:color w:val="auto"/>
              </w:rPr>
            </w:pPr>
            <w:r>
              <w:rPr>
                <w:rFonts w:ascii="Arial" w:cs="Arial" w:eastAsia="Arial" w:hAnsi="Arial"/>
                <w:sz w:val="14"/>
                <w:szCs w:val="14"/>
                <w:color w:val="auto"/>
              </w:rPr>
              <w:t>46</w:t>
            </w:r>
          </w:p>
        </w:tc>
      </w:tr>
      <w:tr>
        <w:trPr>
          <w:trHeight w:val="22"/>
        </w:trPr>
        <w:tc>
          <w:tcPr>
            <w:tcW w:w="7740" w:type="dxa"/>
            <w:vAlign w:val="bottom"/>
            <w:tcBorders>
              <w:bottom w:val="single" w:sz="8" w:color="FFCF01"/>
            </w:tcBorders>
          </w:tcPr>
          <w:p>
            <w:pPr>
              <w:spacing w:after="0" w:line="20" w:lineRule="exact"/>
              <w:rPr>
                <w:sz w:val="1"/>
                <w:szCs w:val="1"/>
                <w:color w:val="auto"/>
              </w:rPr>
            </w:pPr>
          </w:p>
        </w:tc>
        <w:tc>
          <w:tcPr>
            <w:tcW w:w="3500" w:type="dxa"/>
            <w:vAlign w:val="bottom"/>
            <w:tcBorders>
              <w:bottom w:val="single" w:sz="8" w:color="FFCF01"/>
            </w:tcBorders>
          </w:tcPr>
          <w:p>
            <w:pPr>
              <w:spacing w:after="0" w:line="20" w:lineRule="exact"/>
              <w:rPr>
                <w:sz w:val="1"/>
                <w:szCs w:val="1"/>
                <w:color w:val="auto"/>
              </w:rPr>
            </w:pPr>
          </w:p>
        </w:tc>
      </w:tr>
      <w:tr>
        <w:trPr>
          <w:trHeight w:val="202"/>
        </w:trPr>
        <w:tc>
          <w:tcPr>
            <w:tcW w:w="7740" w:type="dxa"/>
            <w:vAlign w:val="bottom"/>
          </w:tcPr>
          <w:p>
            <w:pPr>
              <w:ind w:left="260"/>
              <w:spacing w:after="0"/>
              <w:rPr>
                <w:sz w:val="20"/>
                <w:szCs w:val="20"/>
                <w:color w:val="auto"/>
              </w:rPr>
            </w:pPr>
            <w:r>
              <w:rPr>
                <w:rFonts w:ascii="Arial" w:cs="Arial" w:eastAsia="Arial" w:hAnsi="Arial"/>
                <w:sz w:val="13"/>
                <w:szCs w:val="13"/>
                <w:color w:val="auto"/>
              </w:rPr>
              <w:t>Components of Total Direct Compensation</w:t>
            </w:r>
          </w:p>
        </w:tc>
        <w:tc>
          <w:tcPr>
            <w:tcW w:w="3500" w:type="dxa"/>
            <w:vAlign w:val="bottom"/>
          </w:tcPr>
          <w:p>
            <w:pPr>
              <w:jc w:val="right"/>
              <w:ind w:right="208"/>
              <w:spacing w:after="0"/>
              <w:rPr>
                <w:sz w:val="20"/>
                <w:szCs w:val="20"/>
                <w:color w:val="auto"/>
              </w:rPr>
            </w:pPr>
            <w:r>
              <w:rPr>
                <w:rFonts w:ascii="Arial" w:cs="Arial" w:eastAsia="Arial" w:hAnsi="Arial"/>
                <w:sz w:val="14"/>
                <w:szCs w:val="14"/>
                <w:color w:val="auto"/>
              </w:rPr>
              <w:t>48</w:t>
            </w:r>
          </w:p>
        </w:tc>
      </w:tr>
      <w:tr>
        <w:trPr>
          <w:trHeight w:val="21"/>
        </w:trPr>
        <w:tc>
          <w:tcPr>
            <w:tcW w:w="7740" w:type="dxa"/>
            <w:vAlign w:val="bottom"/>
            <w:tcBorders>
              <w:bottom w:val="single" w:sz="8" w:color="FFCF01"/>
            </w:tcBorders>
          </w:tcPr>
          <w:p>
            <w:pPr>
              <w:spacing w:after="0" w:line="20" w:lineRule="exact"/>
              <w:rPr>
                <w:sz w:val="1"/>
                <w:szCs w:val="1"/>
                <w:color w:val="auto"/>
              </w:rPr>
            </w:pPr>
          </w:p>
        </w:tc>
        <w:tc>
          <w:tcPr>
            <w:tcW w:w="3500" w:type="dxa"/>
            <w:vAlign w:val="bottom"/>
            <w:tcBorders>
              <w:bottom w:val="single" w:sz="8" w:color="FFCF01"/>
            </w:tcBorders>
          </w:tcPr>
          <w:p>
            <w:pPr>
              <w:spacing w:after="0" w:line="20" w:lineRule="exact"/>
              <w:rPr>
                <w:sz w:val="1"/>
                <w:szCs w:val="1"/>
                <w:color w:val="auto"/>
              </w:rPr>
            </w:pPr>
          </w:p>
        </w:tc>
      </w:tr>
      <w:tr>
        <w:trPr>
          <w:trHeight w:val="217"/>
        </w:trPr>
        <w:tc>
          <w:tcPr>
            <w:tcW w:w="7740" w:type="dxa"/>
            <w:vAlign w:val="bottom"/>
            <w:tcBorders>
              <w:bottom w:val="single" w:sz="8" w:color="FFCF01"/>
            </w:tcBorders>
          </w:tcPr>
          <w:p>
            <w:pPr>
              <w:ind w:left="100"/>
              <w:spacing w:after="0"/>
              <w:rPr>
                <w:sz w:val="20"/>
                <w:szCs w:val="20"/>
                <w:color w:val="auto"/>
              </w:rPr>
            </w:pPr>
            <w:r>
              <w:rPr>
                <w:rFonts w:ascii="Arial" w:cs="Arial" w:eastAsia="Arial" w:hAnsi="Arial"/>
                <w:sz w:val="13"/>
                <w:szCs w:val="13"/>
                <w:b w:val="1"/>
                <w:bCs w:val="1"/>
                <w:color w:val="auto"/>
              </w:rPr>
              <w:t>Goals for and Achievement of 2023 Performance-Based Compensation</w:t>
            </w:r>
          </w:p>
        </w:tc>
        <w:tc>
          <w:tcPr>
            <w:tcW w:w="3500" w:type="dxa"/>
            <w:vAlign w:val="bottom"/>
            <w:tcBorders>
              <w:bottom w:val="single" w:sz="8" w:color="FFCF01"/>
            </w:tcBorders>
          </w:tcPr>
          <w:p>
            <w:pPr>
              <w:jc w:val="right"/>
              <w:ind w:right="208"/>
              <w:spacing w:after="0"/>
              <w:rPr>
                <w:sz w:val="20"/>
                <w:szCs w:val="20"/>
                <w:color w:val="auto"/>
              </w:rPr>
            </w:pPr>
            <w:r>
              <w:rPr>
                <w:rFonts w:ascii="Arial" w:cs="Arial" w:eastAsia="Arial" w:hAnsi="Arial"/>
                <w:sz w:val="14"/>
                <w:szCs w:val="14"/>
                <w:b w:val="1"/>
                <w:bCs w:val="1"/>
                <w:color w:val="auto"/>
              </w:rPr>
              <w:t>49</w:t>
            </w:r>
          </w:p>
        </w:tc>
      </w:tr>
      <w:tr>
        <w:trPr>
          <w:trHeight w:val="208"/>
        </w:trPr>
        <w:tc>
          <w:tcPr>
            <w:tcW w:w="7740" w:type="dxa"/>
            <w:vAlign w:val="bottom"/>
          </w:tcPr>
          <w:p>
            <w:pPr>
              <w:ind w:left="260"/>
              <w:spacing w:after="0"/>
              <w:rPr>
                <w:sz w:val="20"/>
                <w:szCs w:val="20"/>
                <w:color w:val="auto"/>
              </w:rPr>
            </w:pPr>
            <w:r>
              <w:rPr>
                <w:rFonts w:ascii="Arial" w:cs="Arial" w:eastAsia="Arial" w:hAnsi="Arial"/>
                <w:sz w:val="13"/>
                <w:szCs w:val="13"/>
                <w:color w:val="auto"/>
              </w:rPr>
              <w:t>2023 Performance Bonus Program</w:t>
            </w:r>
          </w:p>
        </w:tc>
        <w:tc>
          <w:tcPr>
            <w:tcW w:w="3500" w:type="dxa"/>
            <w:vAlign w:val="bottom"/>
          </w:tcPr>
          <w:p>
            <w:pPr>
              <w:jc w:val="right"/>
              <w:ind w:right="208"/>
              <w:spacing w:after="0"/>
              <w:rPr>
                <w:sz w:val="20"/>
                <w:szCs w:val="20"/>
                <w:color w:val="auto"/>
              </w:rPr>
            </w:pPr>
            <w:r>
              <w:rPr>
                <w:rFonts w:ascii="Arial" w:cs="Arial" w:eastAsia="Arial" w:hAnsi="Arial"/>
                <w:sz w:val="14"/>
                <w:szCs w:val="14"/>
                <w:color w:val="auto"/>
              </w:rPr>
              <w:t>49</w:t>
            </w:r>
          </w:p>
        </w:tc>
      </w:tr>
      <w:tr>
        <w:trPr>
          <w:trHeight w:val="22"/>
        </w:trPr>
        <w:tc>
          <w:tcPr>
            <w:tcW w:w="7740" w:type="dxa"/>
            <w:vAlign w:val="bottom"/>
            <w:tcBorders>
              <w:bottom w:val="single" w:sz="8" w:color="FFCF01"/>
            </w:tcBorders>
          </w:tcPr>
          <w:p>
            <w:pPr>
              <w:spacing w:after="0" w:line="20" w:lineRule="exact"/>
              <w:rPr>
                <w:sz w:val="1"/>
                <w:szCs w:val="1"/>
                <w:color w:val="auto"/>
              </w:rPr>
            </w:pPr>
          </w:p>
        </w:tc>
        <w:tc>
          <w:tcPr>
            <w:tcW w:w="3500" w:type="dxa"/>
            <w:vAlign w:val="bottom"/>
            <w:tcBorders>
              <w:bottom w:val="single" w:sz="8" w:color="FFCF01"/>
            </w:tcBorders>
          </w:tcPr>
          <w:p>
            <w:pPr>
              <w:spacing w:after="0" w:line="20" w:lineRule="exact"/>
              <w:rPr>
                <w:sz w:val="1"/>
                <w:szCs w:val="1"/>
                <w:color w:val="auto"/>
              </w:rPr>
            </w:pPr>
          </w:p>
        </w:tc>
      </w:tr>
      <w:tr>
        <w:trPr>
          <w:trHeight w:val="201"/>
        </w:trPr>
        <w:tc>
          <w:tcPr>
            <w:tcW w:w="7740" w:type="dxa"/>
            <w:vAlign w:val="bottom"/>
          </w:tcPr>
          <w:p>
            <w:pPr>
              <w:ind w:left="260"/>
              <w:spacing w:after="0"/>
              <w:rPr>
                <w:sz w:val="20"/>
                <w:szCs w:val="20"/>
                <w:color w:val="auto"/>
              </w:rPr>
            </w:pPr>
            <w:r>
              <w:rPr>
                <w:rFonts w:ascii="Arial" w:cs="Arial" w:eastAsia="Arial" w:hAnsi="Arial"/>
                <w:sz w:val="13"/>
                <w:szCs w:val="13"/>
                <w:color w:val="auto"/>
              </w:rPr>
              <w:t>Corporate Objectives</w:t>
            </w:r>
          </w:p>
        </w:tc>
        <w:tc>
          <w:tcPr>
            <w:tcW w:w="3500" w:type="dxa"/>
            <w:vAlign w:val="bottom"/>
          </w:tcPr>
          <w:p>
            <w:pPr>
              <w:jc w:val="right"/>
              <w:ind w:right="208"/>
              <w:spacing w:after="0"/>
              <w:rPr>
                <w:sz w:val="20"/>
                <w:szCs w:val="20"/>
                <w:color w:val="auto"/>
              </w:rPr>
            </w:pPr>
            <w:r>
              <w:rPr>
                <w:rFonts w:ascii="Arial" w:cs="Arial" w:eastAsia="Arial" w:hAnsi="Arial"/>
                <w:sz w:val="14"/>
                <w:szCs w:val="14"/>
                <w:color w:val="auto"/>
              </w:rPr>
              <w:t>50</w:t>
            </w:r>
          </w:p>
        </w:tc>
      </w:tr>
      <w:tr>
        <w:trPr>
          <w:trHeight w:val="22"/>
        </w:trPr>
        <w:tc>
          <w:tcPr>
            <w:tcW w:w="7740" w:type="dxa"/>
            <w:vAlign w:val="bottom"/>
            <w:tcBorders>
              <w:bottom w:val="single" w:sz="8" w:color="FFCF01"/>
            </w:tcBorders>
          </w:tcPr>
          <w:p>
            <w:pPr>
              <w:spacing w:after="0" w:line="20" w:lineRule="exact"/>
              <w:rPr>
                <w:sz w:val="1"/>
                <w:szCs w:val="1"/>
                <w:color w:val="auto"/>
              </w:rPr>
            </w:pPr>
          </w:p>
        </w:tc>
        <w:tc>
          <w:tcPr>
            <w:tcW w:w="3500" w:type="dxa"/>
            <w:vAlign w:val="bottom"/>
            <w:tcBorders>
              <w:bottom w:val="single" w:sz="8" w:color="FFCF01"/>
            </w:tcBorders>
          </w:tcPr>
          <w:p>
            <w:pPr>
              <w:spacing w:after="0" w:line="20" w:lineRule="exact"/>
              <w:rPr>
                <w:sz w:val="1"/>
                <w:szCs w:val="1"/>
                <w:color w:val="auto"/>
              </w:rPr>
            </w:pPr>
          </w:p>
        </w:tc>
      </w:tr>
      <w:tr>
        <w:trPr>
          <w:trHeight w:val="202"/>
        </w:trPr>
        <w:tc>
          <w:tcPr>
            <w:tcW w:w="7740" w:type="dxa"/>
            <w:vAlign w:val="bottom"/>
          </w:tcPr>
          <w:p>
            <w:pPr>
              <w:ind w:left="260"/>
              <w:spacing w:after="0"/>
              <w:rPr>
                <w:sz w:val="20"/>
                <w:szCs w:val="20"/>
                <w:color w:val="auto"/>
              </w:rPr>
            </w:pPr>
            <w:r>
              <w:rPr>
                <w:rFonts w:ascii="Arial" w:cs="Arial" w:eastAsia="Arial" w:hAnsi="Arial"/>
                <w:sz w:val="13"/>
                <w:szCs w:val="13"/>
                <w:color w:val="auto"/>
              </w:rPr>
              <w:t>2023 – 2025 PSU Program</w:t>
            </w:r>
          </w:p>
        </w:tc>
        <w:tc>
          <w:tcPr>
            <w:tcW w:w="3500" w:type="dxa"/>
            <w:vAlign w:val="bottom"/>
          </w:tcPr>
          <w:p>
            <w:pPr>
              <w:jc w:val="right"/>
              <w:ind w:right="208"/>
              <w:spacing w:after="0"/>
              <w:rPr>
                <w:sz w:val="20"/>
                <w:szCs w:val="20"/>
                <w:color w:val="auto"/>
              </w:rPr>
            </w:pPr>
            <w:r>
              <w:rPr>
                <w:rFonts w:ascii="Arial" w:cs="Arial" w:eastAsia="Arial" w:hAnsi="Arial"/>
                <w:sz w:val="14"/>
                <w:szCs w:val="14"/>
                <w:color w:val="auto"/>
              </w:rPr>
              <w:t>52</w:t>
            </w:r>
          </w:p>
        </w:tc>
      </w:tr>
      <w:tr>
        <w:trPr>
          <w:trHeight w:val="22"/>
        </w:trPr>
        <w:tc>
          <w:tcPr>
            <w:tcW w:w="7740" w:type="dxa"/>
            <w:vAlign w:val="bottom"/>
            <w:tcBorders>
              <w:bottom w:val="single" w:sz="8" w:color="FFCF01"/>
            </w:tcBorders>
          </w:tcPr>
          <w:p>
            <w:pPr>
              <w:spacing w:after="0" w:line="20" w:lineRule="exact"/>
              <w:rPr>
                <w:sz w:val="1"/>
                <w:szCs w:val="1"/>
                <w:color w:val="auto"/>
              </w:rPr>
            </w:pPr>
          </w:p>
        </w:tc>
        <w:tc>
          <w:tcPr>
            <w:tcW w:w="3500" w:type="dxa"/>
            <w:vAlign w:val="bottom"/>
            <w:tcBorders>
              <w:bottom w:val="single" w:sz="8" w:color="FFCF01"/>
            </w:tcBorders>
          </w:tcPr>
          <w:p>
            <w:pPr>
              <w:spacing w:after="0" w:line="20" w:lineRule="exact"/>
              <w:rPr>
                <w:sz w:val="1"/>
                <w:szCs w:val="1"/>
                <w:color w:val="auto"/>
              </w:rPr>
            </w:pPr>
          </w:p>
        </w:tc>
      </w:tr>
      <w:tr>
        <w:trPr>
          <w:trHeight w:val="216"/>
        </w:trPr>
        <w:tc>
          <w:tcPr>
            <w:tcW w:w="7740" w:type="dxa"/>
            <w:vAlign w:val="bottom"/>
            <w:tcBorders>
              <w:bottom w:val="single" w:sz="8" w:color="FFCF01"/>
            </w:tcBorders>
          </w:tcPr>
          <w:p>
            <w:pPr>
              <w:ind w:left="100"/>
              <w:spacing w:after="0"/>
              <w:rPr>
                <w:sz w:val="20"/>
                <w:szCs w:val="20"/>
                <w:color w:val="auto"/>
              </w:rPr>
            </w:pPr>
            <w:r>
              <w:rPr>
                <w:rFonts w:ascii="Arial" w:cs="Arial" w:eastAsia="Arial" w:hAnsi="Arial"/>
                <w:sz w:val="13"/>
                <w:szCs w:val="13"/>
                <w:b w:val="1"/>
                <w:bCs w:val="1"/>
                <w:color w:val="auto"/>
              </w:rPr>
              <w:t>2023 Compensation Decisions for Our Named Executive Officers</w:t>
            </w:r>
          </w:p>
        </w:tc>
        <w:tc>
          <w:tcPr>
            <w:tcW w:w="3500" w:type="dxa"/>
            <w:vAlign w:val="bottom"/>
            <w:tcBorders>
              <w:bottom w:val="single" w:sz="8" w:color="FFCF01"/>
            </w:tcBorders>
          </w:tcPr>
          <w:p>
            <w:pPr>
              <w:jc w:val="right"/>
              <w:ind w:right="208"/>
              <w:spacing w:after="0"/>
              <w:rPr>
                <w:sz w:val="20"/>
                <w:szCs w:val="20"/>
                <w:color w:val="auto"/>
              </w:rPr>
            </w:pPr>
            <w:r>
              <w:rPr>
                <w:rFonts w:ascii="Arial" w:cs="Arial" w:eastAsia="Arial" w:hAnsi="Arial"/>
                <w:sz w:val="14"/>
                <w:szCs w:val="14"/>
                <w:b w:val="1"/>
                <w:bCs w:val="1"/>
                <w:color w:val="auto"/>
              </w:rPr>
              <w:t>54</w:t>
            </w:r>
          </w:p>
        </w:tc>
      </w:tr>
      <w:tr>
        <w:trPr>
          <w:trHeight w:val="208"/>
        </w:trPr>
        <w:tc>
          <w:tcPr>
            <w:tcW w:w="7740" w:type="dxa"/>
            <w:vAlign w:val="bottom"/>
          </w:tcPr>
          <w:p>
            <w:pPr>
              <w:ind w:left="260"/>
              <w:spacing w:after="0"/>
              <w:rPr>
                <w:sz w:val="20"/>
                <w:szCs w:val="20"/>
                <w:color w:val="auto"/>
              </w:rPr>
            </w:pPr>
            <w:r>
              <w:rPr>
                <w:rFonts w:ascii="Arial" w:cs="Arial" w:eastAsia="Arial" w:hAnsi="Arial"/>
                <w:sz w:val="13"/>
                <w:szCs w:val="13"/>
                <w:color w:val="auto"/>
              </w:rPr>
              <w:t>General Approach</w:t>
            </w:r>
          </w:p>
        </w:tc>
        <w:tc>
          <w:tcPr>
            <w:tcW w:w="3500" w:type="dxa"/>
            <w:vAlign w:val="bottom"/>
          </w:tcPr>
          <w:p>
            <w:pPr>
              <w:jc w:val="right"/>
              <w:ind w:right="208"/>
              <w:spacing w:after="0"/>
              <w:rPr>
                <w:sz w:val="20"/>
                <w:szCs w:val="20"/>
                <w:color w:val="auto"/>
              </w:rPr>
            </w:pPr>
            <w:r>
              <w:rPr>
                <w:rFonts w:ascii="Arial" w:cs="Arial" w:eastAsia="Arial" w:hAnsi="Arial"/>
                <w:sz w:val="14"/>
                <w:szCs w:val="14"/>
                <w:color w:val="auto"/>
              </w:rPr>
              <w:t>54</w:t>
            </w:r>
          </w:p>
        </w:tc>
      </w:tr>
      <w:tr>
        <w:trPr>
          <w:trHeight w:val="22"/>
        </w:trPr>
        <w:tc>
          <w:tcPr>
            <w:tcW w:w="7740" w:type="dxa"/>
            <w:vAlign w:val="bottom"/>
            <w:tcBorders>
              <w:bottom w:val="single" w:sz="8" w:color="FFCF01"/>
            </w:tcBorders>
          </w:tcPr>
          <w:p>
            <w:pPr>
              <w:spacing w:after="0" w:line="20" w:lineRule="exact"/>
              <w:rPr>
                <w:sz w:val="1"/>
                <w:szCs w:val="1"/>
                <w:color w:val="auto"/>
              </w:rPr>
            </w:pPr>
          </w:p>
        </w:tc>
        <w:tc>
          <w:tcPr>
            <w:tcW w:w="3500" w:type="dxa"/>
            <w:vAlign w:val="bottom"/>
            <w:tcBorders>
              <w:bottom w:val="single" w:sz="8" w:color="FFCF01"/>
            </w:tcBorders>
          </w:tcPr>
          <w:p>
            <w:pPr>
              <w:spacing w:after="0" w:line="20" w:lineRule="exact"/>
              <w:rPr>
                <w:sz w:val="1"/>
                <w:szCs w:val="1"/>
                <w:color w:val="auto"/>
              </w:rPr>
            </w:pPr>
          </w:p>
        </w:tc>
      </w:tr>
      <w:tr>
        <w:trPr>
          <w:trHeight w:val="201"/>
        </w:trPr>
        <w:tc>
          <w:tcPr>
            <w:tcW w:w="7740" w:type="dxa"/>
            <w:vAlign w:val="bottom"/>
          </w:tcPr>
          <w:p>
            <w:pPr>
              <w:ind w:left="260"/>
              <w:spacing w:after="0"/>
              <w:rPr>
                <w:sz w:val="20"/>
                <w:szCs w:val="20"/>
                <w:color w:val="auto"/>
              </w:rPr>
            </w:pPr>
            <w:r>
              <w:rPr>
                <w:rFonts w:ascii="Arial" w:cs="Arial" w:eastAsia="Arial" w:hAnsi="Arial"/>
                <w:sz w:val="13"/>
                <w:szCs w:val="13"/>
                <w:color w:val="auto"/>
              </w:rPr>
              <w:t>Summary of 2023 Compensation Decisions</w:t>
            </w:r>
          </w:p>
        </w:tc>
        <w:tc>
          <w:tcPr>
            <w:tcW w:w="3500" w:type="dxa"/>
            <w:vAlign w:val="bottom"/>
          </w:tcPr>
          <w:p>
            <w:pPr>
              <w:jc w:val="right"/>
              <w:ind w:right="208"/>
              <w:spacing w:after="0"/>
              <w:rPr>
                <w:sz w:val="20"/>
                <w:szCs w:val="20"/>
                <w:color w:val="auto"/>
              </w:rPr>
            </w:pPr>
            <w:r>
              <w:rPr>
                <w:rFonts w:ascii="Arial" w:cs="Arial" w:eastAsia="Arial" w:hAnsi="Arial"/>
                <w:sz w:val="14"/>
                <w:szCs w:val="14"/>
                <w:color w:val="auto"/>
              </w:rPr>
              <w:t>54</w:t>
            </w:r>
          </w:p>
        </w:tc>
      </w:tr>
      <w:tr>
        <w:trPr>
          <w:trHeight w:val="22"/>
        </w:trPr>
        <w:tc>
          <w:tcPr>
            <w:tcW w:w="7740" w:type="dxa"/>
            <w:vAlign w:val="bottom"/>
            <w:tcBorders>
              <w:bottom w:val="single" w:sz="8" w:color="FFCF01"/>
            </w:tcBorders>
          </w:tcPr>
          <w:p>
            <w:pPr>
              <w:spacing w:after="0" w:line="20" w:lineRule="exact"/>
              <w:rPr>
                <w:sz w:val="1"/>
                <w:szCs w:val="1"/>
                <w:color w:val="auto"/>
              </w:rPr>
            </w:pPr>
          </w:p>
        </w:tc>
        <w:tc>
          <w:tcPr>
            <w:tcW w:w="3500" w:type="dxa"/>
            <w:vAlign w:val="bottom"/>
            <w:tcBorders>
              <w:bottom w:val="single" w:sz="8" w:color="FFCF01"/>
            </w:tcBorders>
          </w:tcPr>
          <w:p>
            <w:pPr>
              <w:spacing w:after="0" w:line="20" w:lineRule="exact"/>
              <w:rPr>
                <w:sz w:val="1"/>
                <w:szCs w:val="1"/>
                <w:color w:val="auto"/>
              </w:rPr>
            </w:pPr>
          </w:p>
        </w:tc>
      </w:tr>
      <w:tr>
        <w:trPr>
          <w:trHeight w:val="201"/>
        </w:trPr>
        <w:tc>
          <w:tcPr>
            <w:tcW w:w="7740" w:type="dxa"/>
            <w:vAlign w:val="bottom"/>
          </w:tcPr>
          <w:p>
            <w:pPr>
              <w:ind w:left="260"/>
              <w:spacing w:after="0"/>
              <w:rPr>
                <w:sz w:val="20"/>
                <w:szCs w:val="20"/>
                <w:color w:val="auto"/>
              </w:rPr>
            </w:pPr>
            <w:r>
              <w:rPr>
                <w:rFonts w:ascii="Arial" w:cs="Arial" w:eastAsia="Arial" w:hAnsi="Arial"/>
                <w:sz w:val="13"/>
                <w:szCs w:val="13"/>
                <w:color w:val="auto"/>
              </w:rPr>
              <w:t>Conclusion of Performance Period for 2021 PSUs</w:t>
            </w:r>
          </w:p>
        </w:tc>
        <w:tc>
          <w:tcPr>
            <w:tcW w:w="3500" w:type="dxa"/>
            <w:vAlign w:val="bottom"/>
          </w:tcPr>
          <w:p>
            <w:pPr>
              <w:jc w:val="right"/>
              <w:ind w:right="208"/>
              <w:spacing w:after="0"/>
              <w:rPr>
                <w:sz w:val="20"/>
                <w:szCs w:val="20"/>
                <w:color w:val="auto"/>
              </w:rPr>
            </w:pPr>
            <w:r>
              <w:rPr>
                <w:rFonts w:ascii="Arial" w:cs="Arial" w:eastAsia="Arial" w:hAnsi="Arial"/>
                <w:sz w:val="14"/>
                <w:szCs w:val="14"/>
                <w:color w:val="auto"/>
              </w:rPr>
              <w:t>54</w:t>
            </w:r>
          </w:p>
        </w:tc>
      </w:tr>
      <w:tr>
        <w:trPr>
          <w:trHeight w:val="22"/>
        </w:trPr>
        <w:tc>
          <w:tcPr>
            <w:tcW w:w="7740" w:type="dxa"/>
            <w:vAlign w:val="bottom"/>
            <w:tcBorders>
              <w:bottom w:val="single" w:sz="8" w:color="FFCF01"/>
            </w:tcBorders>
          </w:tcPr>
          <w:p>
            <w:pPr>
              <w:spacing w:after="0" w:line="20" w:lineRule="exact"/>
              <w:rPr>
                <w:sz w:val="1"/>
                <w:szCs w:val="1"/>
                <w:color w:val="auto"/>
              </w:rPr>
            </w:pPr>
          </w:p>
        </w:tc>
        <w:tc>
          <w:tcPr>
            <w:tcW w:w="3500" w:type="dxa"/>
            <w:vAlign w:val="bottom"/>
            <w:tcBorders>
              <w:bottom w:val="single" w:sz="8" w:color="FFCF01"/>
            </w:tcBorders>
          </w:tcPr>
          <w:p>
            <w:pPr>
              <w:spacing w:after="0" w:line="20" w:lineRule="exact"/>
              <w:rPr>
                <w:sz w:val="1"/>
                <w:szCs w:val="1"/>
                <w:color w:val="auto"/>
              </w:rPr>
            </w:pPr>
          </w:p>
        </w:tc>
      </w:tr>
      <w:tr>
        <w:trPr>
          <w:trHeight w:val="201"/>
        </w:trPr>
        <w:tc>
          <w:tcPr>
            <w:tcW w:w="7740" w:type="dxa"/>
            <w:vAlign w:val="bottom"/>
          </w:tcPr>
          <w:p>
            <w:pPr>
              <w:ind w:left="260"/>
              <w:spacing w:after="0"/>
              <w:rPr>
                <w:sz w:val="20"/>
                <w:szCs w:val="20"/>
                <w:color w:val="auto"/>
              </w:rPr>
            </w:pPr>
            <w:r>
              <w:rPr>
                <w:rFonts w:ascii="Arial" w:cs="Arial" w:eastAsia="Arial" w:hAnsi="Arial"/>
                <w:sz w:val="13"/>
                <w:szCs w:val="13"/>
                <w:color w:val="auto"/>
              </w:rPr>
              <w:t>Individual NEO Compensation Decisions</w:t>
            </w:r>
          </w:p>
        </w:tc>
        <w:tc>
          <w:tcPr>
            <w:tcW w:w="3500" w:type="dxa"/>
            <w:vAlign w:val="bottom"/>
          </w:tcPr>
          <w:p>
            <w:pPr>
              <w:jc w:val="right"/>
              <w:ind w:right="208"/>
              <w:spacing w:after="0"/>
              <w:rPr>
                <w:sz w:val="20"/>
                <w:szCs w:val="20"/>
                <w:color w:val="auto"/>
              </w:rPr>
            </w:pPr>
            <w:r>
              <w:rPr>
                <w:rFonts w:ascii="Arial" w:cs="Arial" w:eastAsia="Arial" w:hAnsi="Arial"/>
                <w:sz w:val="14"/>
                <w:szCs w:val="14"/>
                <w:color w:val="auto"/>
              </w:rPr>
              <w:t>56</w:t>
            </w:r>
          </w:p>
        </w:tc>
      </w:tr>
      <w:tr>
        <w:trPr>
          <w:trHeight w:val="22"/>
        </w:trPr>
        <w:tc>
          <w:tcPr>
            <w:tcW w:w="7740" w:type="dxa"/>
            <w:vAlign w:val="bottom"/>
            <w:tcBorders>
              <w:bottom w:val="single" w:sz="8" w:color="FFCF01"/>
            </w:tcBorders>
          </w:tcPr>
          <w:p>
            <w:pPr>
              <w:spacing w:after="0" w:line="20" w:lineRule="exact"/>
              <w:rPr>
                <w:sz w:val="1"/>
                <w:szCs w:val="1"/>
                <w:color w:val="auto"/>
              </w:rPr>
            </w:pPr>
          </w:p>
        </w:tc>
        <w:tc>
          <w:tcPr>
            <w:tcW w:w="3500" w:type="dxa"/>
            <w:vAlign w:val="bottom"/>
            <w:tcBorders>
              <w:bottom w:val="single" w:sz="8" w:color="FFCF01"/>
            </w:tcBorders>
          </w:tcPr>
          <w:p>
            <w:pPr>
              <w:spacing w:after="0" w:line="20" w:lineRule="exact"/>
              <w:rPr>
                <w:sz w:val="1"/>
                <w:szCs w:val="1"/>
                <w:color w:val="auto"/>
              </w:rPr>
            </w:pPr>
          </w:p>
        </w:tc>
      </w:tr>
      <w:tr>
        <w:trPr>
          <w:trHeight w:val="217"/>
        </w:trPr>
        <w:tc>
          <w:tcPr>
            <w:tcW w:w="7740" w:type="dxa"/>
            <w:vAlign w:val="bottom"/>
            <w:tcBorders>
              <w:bottom w:val="single" w:sz="8" w:color="FFCF01"/>
            </w:tcBorders>
          </w:tcPr>
          <w:p>
            <w:pPr>
              <w:ind w:left="100"/>
              <w:spacing w:after="0"/>
              <w:rPr>
                <w:sz w:val="20"/>
                <w:szCs w:val="20"/>
                <w:color w:val="auto"/>
              </w:rPr>
            </w:pPr>
            <w:r>
              <w:rPr>
                <w:rFonts w:ascii="Arial" w:cs="Arial" w:eastAsia="Arial" w:hAnsi="Arial"/>
                <w:sz w:val="13"/>
                <w:szCs w:val="13"/>
                <w:b w:val="1"/>
                <w:bCs w:val="1"/>
                <w:color w:val="auto"/>
              </w:rPr>
              <w:t>Additional Compensation Information</w:t>
            </w:r>
          </w:p>
        </w:tc>
        <w:tc>
          <w:tcPr>
            <w:tcW w:w="3500" w:type="dxa"/>
            <w:vAlign w:val="bottom"/>
            <w:tcBorders>
              <w:bottom w:val="single" w:sz="8" w:color="FFCF01"/>
            </w:tcBorders>
          </w:tcPr>
          <w:p>
            <w:pPr>
              <w:jc w:val="right"/>
              <w:ind w:right="208"/>
              <w:spacing w:after="0"/>
              <w:rPr>
                <w:sz w:val="20"/>
                <w:szCs w:val="20"/>
                <w:color w:val="auto"/>
              </w:rPr>
            </w:pPr>
            <w:r>
              <w:rPr>
                <w:rFonts w:ascii="Arial" w:cs="Arial" w:eastAsia="Arial" w:hAnsi="Arial"/>
                <w:sz w:val="14"/>
                <w:szCs w:val="14"/>
                <w:b w:val="1"/>
                <w:bCs w:val="1"/>
                <w:color w:val="auto"/>
              </w:rPr>
              <w:t>63</w:t>
            </w:r>
          </w:p>
        </w:tc>
      </w:tr>
      <w:tr>
        <w:trPr>
          <w:trHeight w:val="208"/>
        </w:trPr>
        <w:tc>
          <w:tcPr>
            <w:tcW w:w="7740" w:type="dxa"/>
            <w:vAlign w:val="bottom"/>
          </w:tcPr>
          <w:p>
            <w:pPr>
              <w:ind w:left="260"/>
              <w:spacing w:after="0"/>
              <w:rPr>
                <w:sz w:val="20"/>
                <w:szCs w:val="20"/>
                <w:color w:val="auto"/>
              </w:rPr>
            </w:pPr>
            <w:r>
              <w:rPr>
                <w:rFonts w:ascii="Arial" w:cs="Arial" w:eastAsia="Arial" w:hAnsi="Arial"/>
                <w:sz w:val="13"/>
                <w:szCs w:val="13"/>
                <w:color w:val="auto"/>
              </w:rPr>
              <w:t>Ownership Guidelines for Executive Officers</w:t>
            </w:r>
          </w:p>
        </w:tc>
        <w:tc>
          <w:tcPr>
            <w:tcW w:w="3500" w:type="dxa"/>
            <w:vAlign w:val="bottom"/>
          </w:tcPr>
          <w:p>
            <w:pPr>
              <w:jc w:val="right"/>
              <w:ind w:right="208"/>
              <w:spacing w:after="0"/>
              <w:rPr>
                <w:sz w:val="20"/>
                <w:szCs w:val="20"/>
                <w:color w:val="auto"/>
              </w:rPr>
            </w:pPr>
            <w:r>
              <w:rPr>
                <w:rFonts w:ascii="Arial" w:cs="Arial" w:eastAsia="Arial" w:hAnsi="Arial"/>
                <w:sz w:val="14"/>
                <w:szCs w:val="14"/>
                <w:color w:val="auto"/>
              </w:rPr>
              <w:t>63</w:t>
            </w:r>
          </w:p>
        </w:tc>
      </w:tr>
      <w:tr>
        <w:trPr>
          <w:trHeight w:val="22"/>
        </w:trPr>
        <w:tc>
          <w:tcPr>
            <w:tcW w:w="7740" w:type="dxa"/>
            <w:vAlign w:val="bottom"/>
            <w:tcBorders>
              <w:bottom w:val="single" w:sz="8" w:color="FFCF01"/>
            </w:tcBorders>
          </w:tcPr>
          <w:p>
            <w:pPr>
              <w:spacing w:after="0" w:line="20" w:lineRule="exact"/>
              <w:rPr>
                <w:sz w:val="1"/>
                <w:szCs w:val="1"/>
                <w:color w:val="auto"/>
              </w:rPr>
            </w:pPr>
          </w:p>
        </w:tc>
        <w:tc>
          <w:tcPr>
            <w:tcW w:w="3500" w:type="dxa"/>
            <w:vAlign w:val="bottom"/>
            <w:tcBorders>
              <w:bottom w:val="single" w:sz="8" w:color="FFCF01"/>
            </w:tcBorders>
          </w:tcPr>
          <w:p>
            <w:pPr>
              <w:spacing w:after="0" w:line="20" w:lineRule="exact"/>
              <w:rPr>
                <w:sz w:val="1"/>
                <w:szCs w:val="1"/>
                <w:color w:val="auto"/>
              </w:rPr>
            </w:pPr>
          </w:p>
        </w:tc>
      </w:tr>
      <w:tr>
        <w:trPr>
          <w:trHeight w:val="201"/>
        </w:trPr>
        <w:tc>
          <w:tcPr>
            <w:tcW w:w="7740" w:type="dxa"/>
            <w:vAlign w:val="bottom"/>
          </w:tcPr>
          <w:p>
            <w:pPr>
              <w:ind w:left="260"/>
              <w:spacing w:after="0"/>
              <w:rPr>
                <w:sz w:val="20"/>
                <w:szCs w:val="20"/>
                <w:color w:val="auto"/>
              </w:rPr>
            </w:pPr>
            <w:r>
              <w:rPr>
                <w:rFonts w:ascii="Arial" w:cs="Arial" w:eastAsia="Arial" w:hAnsi="Arial"/>
                <w:sz w:val="13"/>
                <w:szCs w:val="13"/>
                <w:color w:val="auto"/>
              </w:rPr>
              <w:t>Clawback Policy</w:t>
            </w:r>
          </w:p>
        </w:tc>
        <w:tc>
          <w:tcPr>
            <w:tcW w:w="3500" w:type="dxa"/>
            <w:vAlign w:val="bottom"/>
          </w:tcPr>
          <w:p>
            <w:pPr>
              <w:jc w:val="right"/>
              <w:ind w:right="208"/>
              <w:spacing w:after="0"/>
              <w:rPr>
                <w:sz w:val="20"/>
                <w:szCs w:val="20"/>
                <w:color w:val="auto"/>
              </w:rPr>
            </w:pPr>
            <w:r>
              <w:rPr>
                <w:rFonts w:ascii="Arial" w:cs="Arial" w:eastAsia="Arial" w:hAnsi="Arial"/>
                <w:sz w:val="14"/>
                <w:szCs w:val="14"/>
                <w:color w:val="auto"/>
              </w:rPr>
              <w:t>63</w:t>
            </w:r>
          </w:p>
        </w:tc>
      </w:tr>
      <w:tr>
        <w:trPr>
          <w:trHeight w:val="22"/>
        </w:trPr>
        <w:tc>
          <w:tcPr>
            <w:tcW w:w="7740" w:type="dxa"/>
            <w:vAlign w:val="bottom"/>
            <w:tcBorders>
              <w:bottom w:val="single" w:sz="8" w:color="FFCF01"/>
            </w:tcBorders>
          </w:tcPr>
          <w:p>
            <w:pPr>
              <w:spacing w:after="0" w:line="20" w:lineRule="exact"/>
              <w:rPr>
                <w:sz w:val="1"/>
                <w:szCs w:val="1"/>
                <w:color w:val="auto"/>
              </w:rPr>
            </w:pPr>
          </w:p>
        </w:tc>
        <w:tc>
          <w:tcPr>
            <w:tcW w:w="3500" w:type="dxa"/>
            <w:vAlign w:val="bottom"/>
            <w:tcBorders>
              <w:bottom w:val="single" w:sz="8" w:color="FFCF01"/>
            </w:tcBorders>
          </w:tcPr>
          <w:p>
            <w:pPr>
              <w:spacing w:after="0" w:line="20" w:lineRule="exact"/>
              <w:rPr>
                <w:sz w:val="1"/>
                <w:szCs w:val="1"/>
                <w:color w:val="auto"/>
              </w:rPr>
            </w:pPr>
          </w:p>
        </w:tc>
      </w:tr>
      <w:tr>
        <w:trPr>
          <w:trHeight w:val="201"/>
        </w:trPr>
        <w:tc>
          <w:tcPr>
            <w:tcW w:w="7740" w:type="dxa"/>
            <w:vAlign w:val="bottom"/>
          </w:tcPr>
          <w:p>
            <w:pPr>
              <w:ind w:left="260"/>
              <w:spacing w:after="0"/>
              <w:rPr>
                <w:sz w:val="20"/>
                <w:szCs w:val="20"/>
                <w:color w:val="auto"/>
              </w:rPr>
            </w:pPr>
            <w:r>
              <w:rPr>
                <w:rFonts w:ascii="Arial" w:cs="Arial" w:eastAsia="Arial" w:hAnsi="Arial"/>
                <w:sz w:val="13"/>
                <w:szCs w:val="13"/>
                <w:color w:val="auto"/>
              </w:rPr>
              <w:t>Change in Control Plan</w:t>
            </w:r>
          </w:p>
        </w:tc>
        <w:tc>
          <w:tcPr>
            <w:tcW w:w="3500" w:type="dxa"/>
            <w:vAlign w:val="bottom"/>
          </w:tcPr>
          <w:p>
            <w:pPr>
              <w:jc w:val="right"/>
              <w:ind w:right="208"/>
              <w:spacing w:after="0"/>
              <w:rPr>
                <w:sz w:val="20"/>
                <w:szCs w:val="20"/>
                <w:color w:val="auto"/>
              </w:rPr>
            </w:pPr>
            <w:r>
              <w:rPr>
                <w:rFonts w:ascii="Arial" w:cs="Arial" w:eastAsia="Arial" w:hAnsi="Arial"/>
                <w:sz w:val="14"/>
                <w:szCs w:val="14"/>
                <w:color w:val="auto"/>
              </w:rPr>
              <w:t>64</w:t>
            </w:r>
          </w:p>
        </w:tc>
      </w:tr>
      <w:tr>
        <w:trPr>
          <w:trHeight w:val="22"/>
        </w:trPr>
        <w:tc>
          <w:tcPr>
            <w:tcW w:w="7740" w:type="dxa"/>
            <w:vAlign w:val="bottom"/>
            <w:tcBorders>
              <w:bottom w:val="single" w:sz="8" w:color="FFCF01"/>
            </w:tcBorders>
          </w:tcPr>
          <w:p>
            <w:pPr>
              <w:spacing w:after="0" w:line="20" w:lineRule="exact"/>
              <w:rPr>
                <w:sz w:val="1"/>
                <w:szCs w:val="1"/>
                <w:color w:val="auto"/>
              </w:rPr>
            </w:pPr>
          </w:p>
        </w:tc>
        <w:tc>
          <w:tcPr>
            <w:tcW w:w="3500" w:type="dxa"/>
            <w:vAlign w:val="bottom"/>
            <w:tcBorders>
              <w:bottom w:val="single" w:sz="8" w:color="FFCF01"/>
            </w:tcBorders>
          </w:tcPr>
          <w:p>
            <w:pPr>
              <w:spacing w:after="0" w:line="20" w:lineRule="exact"/>
              <w:rPr>
                <w:sz w:val="1"/>
                <w:szCs w:val="1"/>
                <w:color w:val="auto"/>
              </w:rPr>
            </w:pPr>
          </w:p>
        </w:tc>
      </w:tr>
      <w:tr>
        <w:trPr>
          <w:trHeight w:val="201"/>
        </w:trPr>
        <w:tc>
          <w:tcPr>
            <w:tcW w:w="7740" w:type="dxa"/>
            <w:vAlign w:val="bottom"/>
          </w:tcPr>
          <w:p>
            <w:pPr>
              <w:ind w:left="260"/>
              <w:spacing w:after="0"/>
              <w:rPr>
                <w:sz w:val="20"/>
                <w:szCs w:val="20"/>
                <w:color w:val="auto"/>
              </w:rPr>
            </w:pPr>
            <w:r>
              <w:rPr>
                <w:rFonts w:ascii="Arial" w:cs="Arial" w:eastAsia="Arial" w:hAnsi="Arial"/>
                <w:sz w:val="13"/>
                <w:szCs w:val="13"/>
                <w:color w:val="auto"/>
              </w:rPr>
              <w:t>Equity Grant Timing and Equity Plan Information</w:t>
            </w:r>
          </w:p>
        </w:tc>
        <w:tc>
          <w:tcPr>
            <w:tcW w:w="3500" w:type="dxa"/>
            <w:vAlign w:val="bottom"/>
          </w:tcPr>
          <w:p>
            <w:pPr>
              <w:jc w:val="right"/>
              <w:ind w:right="208"/>
              <w:spacing w:after="0"/>
              <w:rPr>
                <w:sz w:val="20"/>
                <w:szCs w:val="20"/>
                <w:color w:val="auto"/>
              </w:rPr>
            </w:pPr>
            <w:r>
              <w:rPr>
                <w:rFonts w:ascii="Arial" w:cs="Arial" w:eastAsia="Arial" w:hAnsi="Arial"/>
                <w:sz w:val="14"/>
                <w:szCs w:val="14"/>
                <w:color w:val="auto"/>
              </w:rPr>
              <w:t>64</w:t>
            </w:r>
          </w:p>
        </w:tc>
      </w:tr>
      <w:tr>
        <w:trPr>
          <w:trHeight w:val="22"/>
        </w:trPr>
        <w:tc>
          <w:tcPr>
            <w:tcW w:w="7740" w:type="dxa"/>
            <w:vAlign w:val="bottom"/>
            <w:tcBorders>
              <w:bottom w:val="single" w:sz="8" w:color="FFCF01"/>
            </w:tcBorders>
          </w:tcPr>
          <w:p>
            <w:pPr>
              <w:spacing w:after="0" w:line="20" w:lineRule="exact"/>
              <w:rPr>
                <w:sz w:val="1"/>
                <w:szCs w:val="1"/>
                <w:color w:val="auto"/>
              </w:rPr>
            </w:pPr>
          </w:p>
        </w:tc>
        <w:tc>
          <w:tcPr>
            <w:tcW w:w="3500" w:type="dxa"/>
            <w:vAlign w:val="bottom"/>
            <w:tcBorders>
              <w:bottom w:val="single" w:sz="8" w:color="FFCF01"/>
            </w:tcBorders>
          </w:tcPr>
          <w:p>
            <w:pPr>
              <w:spacing w:after="0" w:line="20" w:lineRule="exact"/>
              <w:rPr>
                <w:sz w:val="1"/>
                <w:szCs w:val="1"/>
                <w:color w:val="auto"/>
              </w:rPr>
            </w:pPr>
          </w:p>
        </w:tc>
      </w:tr>
      <w:tr>
        <w:trPr>
          <w:trHeight w:val="201"/>
        </w:trPr>
        <w:tc>
          <w:tcPr>
            <w:tcW w:w="7740" w:type="dxa"/>
            <w:vAlign w:val="bottom"/>
          </w:tcPr>
          <w:p>
            <w:pPr>
              <w:ind w:left="260"/>
              <w:spacing w:after="0"/>
              <w:rPr>
                <w:sz w:val="20"/>
                <w:szCs w:val="20"/>
                <w:color w:val="auto"/>
              </w:rPr>
            </w:pPr>
            <w:r>
              <w:rPr>
                <w:rFonts w:ascii="Arial" w:cs="Arial" w:eastAsia="Arial" w:hAnsi="Arial"/>
                <w:sz w:val="13"/>
                <w:szCs w:val="13"/>
                <w:color w:val="auto"/>
              </w:rPr>
              <w:t>Accounting and Tax Considerations</w:t>
            </w:r>
          </w:p>
        </w:tc>
        <w:tc>
          <w:tcPr>
            <w:tcW w:w="3500" w:type="dxa"/>
            <w:vAlign w:val="bottom"/>
          </w:tcPr>
          <w:p>
            <w:pPr>
              <w:jc w:val="right"/>
              <w:ind w:right="208"/>
              <w:spacing w:after="0"/>
              <w:rPr>
                <w:sz w:val="20"/>
                <w:szCs w:val="20"/>
                <w:color w:val="auto"/>
              </w:rPr>
            </w:pPr>
            <w:r>
              <w:rPr>
                <w:rFonts w:ascii="Arial" w:cs="Arial" w:eastAsia="Arial" w:hAnsi="Arial"/>
                <w:sz w:val="14"/>
                <w:szCs w:val="14"/>
                <w:color w:val="auto"/>
              </w:rPr>
              <w:t>64</w:t>
            </w:r>
          </w:p>
        </w:tc>
      </w:tr>
      <w:tr>
        <w:trPr>
          <w:trHeight w:val="22"/>
        </w:trPr>
        <w:tc>
          <w:tcPr>
            <w:tcW w:w="7740" w:type="dxa"/>
            <w:vAlign w:val="bottom"/>
            <w:tcBorders>
              <w:bottom w:val="single" w:sz="8" w:color="FFCF01"/>
            </w:tcBorders>
          </w:tcPr>
          <w:p>
            <w:pPr>
              <w:spacing w:after="0" w:line="20" w:lineRule="exact"/>
              <w:rPr>
                <w:sz w:val="1"/>
                <w:szCs w:val="1"/>
                <w:color w:val="auto"/>
              </w:rPr>
            </w:pPr>
          </w:p>
        </w:tc>
        <w:tc>
          <w:tcPr>
            <w:tcW w:w="3500" w:type="dxa"/>
            <w:vAlign w:val="bottom"/>
            <w:tcBorders>
              <w:bottom w:val="single" w:sz="8" w:color="FFCF01"/>
            </w:tcBorders>
          </w:tcPr>
          <w:p>
            <w:pPr>
              <w:spacing w:after="0" w:line="20" w:lineRule="exact"/>
              <w:rPr>
                <w:sz w:val="1"/>
                <w:szCs w:val="1"/>
                <w:color w:val="auto"/>
              </w:rPr>
            </w:pPr>
          </w:p>
        </w:tc>
      </w:tr>
      <w:tr>
        <w:trPr>
          <w:trHeight w:val="201"/>
        </w:trPr>
        <w:tc>
          <w:tcPr>
            <w:tcW w:w="7740" w:type="dxa"/>
            <w:vAlign w:val="bottom"/>
          </w:tcPr>
          <w:p>
            <w:pPr>
              <w:ind w:left="260"/>
              <w:spacing w:after="0"/>
              <w:rPr>
                <w:sz w:val="20"/>
                <w:szCs w:val="20"/>
                <w:color w:val="auto"/>
              </w:rPr>
            </w:pPr>
            <w:r>
              <w:rPr>
                <w:rFonts w:ascii="Arial" w:cs="Arial" w:eastAsia="Arial" w:hAnsi="Arial"/>
                <w:sz w:val="13"/>
                <w:szCs w:val="13"/>
                <w:color w:val="auto"/>
              </w:rPr>
              <w:t>Risk Assessment Concerning Compensation Practices and Policies</w:t>
            </w:r>
          </w:p>
        </w:tc>
        <w:tc>
          <w:tcPr>
            <w:tcW w:w="3500" w:type="dxa"/>
            <w:vAlign w:val="bottom"/>
          </w:tcPr>
          <w:p>
            <w:pPr>
              <w:jc w:val="right"/>
              <w:ind w:right="208"/>
              <w:spacing w:after="0"/>
              <w:rPr>
                <w:sz w:val="20"/>
                <w:szCs w:val="20"/>
                <w:color w:val="auto"/>
              </w:rPr>
            </w:pPr>
            <w:r>
              <w:rPr>
                <w:rFonts w:ascii="Arial" w:cs="Arial" w:eastAsia="Arial" w:hAnsi="Arial"/>
                <w:sz w:val="14"/>
                <w:szCs w:val="14"/>
                <w:color w:val="auto"/>
              </w:rPr>
              <w:t>65</w:t>
            </w:r>
          </w:p>
        </w:tc>
      </w:tr>
      <w:tr>
        <w:trPr>
          <w:trHeight w:val="22"/>
        </w:trPr>
        <w:tc>
          <w:tcPr>
            <w:tcW w:w="7740" w:type="dxa"/>
            <w:vAlign w:val="bottom"/>
            <w:tcBorders>
              <w:bottom w:val="single" w:sz="8" w:color="FFCF01"/>
            </w:tcBorders>
          </w:tcPr>
          <w:p>
            <w:pPr>
              <w:spacing w:after="0" w:line="20" w:lineRule="exact"/>
              <w:rPr>
                <w:sz w:val="1"/>
                <w:szCs w:val="1"/>
                <w:color w:val="auto"/>
              </w:rPr>
            </w:pPr>
          </w:p>
        </w:tc>
        <w:tc>
          <w:tcPr>
            <w:tcW w:w="3500" w:type="dxa"/>
            <w:vAlign w:val="bottom"/>
            <w:tcBorders>
              <w:bottom w:val="single" w:sz="8" w:color="FFCF01"/>
            </w:tcBorders>
          </w:tcPr>
          <w:p>
            <w:pPr>
              <w:spacing w:after="0" w:line="20" w:lineRule="exact"/>
              <w:rPr>
                <w:sz w:val="1"/>
                <w:szCs w:val="1"/>
                <w:color w:val="auto"/>
              </w:rPr>
            </w:pPr>
          </w:p>
        </w:tc>
      </w:tr>
      <w:tr>
        <w:trPr>
          <w:trHeight w:val="202"/>
        </w:trPr>
        <w:tc>
          <w:tcPr>
            <w:tcW w:w="7740" w:type="dxa"/>
            <w:vAlign w:val="bottom"/>
          </w:tcPr>
          <w:p>
            <w:pPr>
              <w:ind w:left="260"/>
              <w:spacing w:after="0"/>
              <w:rPr>
                <w:sz w:val="20"/>
                <w:szCs w:val="20"/>
                <w:color w:val="auto"/>
              </w:rPr>
            </w:pPr>
            <w:r>
              <w:rPr>
                <w:rFonts w:ascii="Arial" w:cs="Arial" w:eastAsia="Arial" w:hAnsi="Arial"/>
                <w:sz w:val="13"/>
                <w:szCs w:val="13"/>
                <w:color w:val="auto"/>
              </w:rPr>
              <w:t>Reconciliations of Non-GAAP Adjusted Net Income</w:t>
            </w:r>
          </w:p>
        </w:tc>
        <w:tc>
          <w:tcPr>
            <w:tcW w:w="3500" w:type="dxa"/>
            <w:vAlign w:val="bottom"/>
          </w:tcPr>
          <w:p>
            <w:pPr>
              <w:jc w:val="right"/>
              <w:ind w:right="208"/>
              <w:spacing w:after="0"/>
              <w:rPr>
                <w:sz w:val="20"/>
                <w:szCs w:val="20"/>
                <w:color w:val="auto"/>
              </w:rPr>
            </w:pPr>
            <w:r>
              <w:rPr>
                <w:rFonts w:ascii="Arial" w:cs="Arial" w:eastAsia="Arial" w:hAnsi="Arial"/>
                <w:sz w:val="14"/>
                <w:szCs w:val="14"/>
                <w:color w:val="auto"/>
              </w:rPr>
              <w:t>65</w:t>
            </w:r>
          </w:p>
        </w:tc>
      </w:tr>
      <w:tr>
        <w:trPr>
          <w:trHeight w:val="22"/>
        </w:trPr>
        <w:tc>
          <w:tcPr>
            <w:tcW w:w="7740" w:type="dxa"/>
            <w:vAlign w:val="bottom"/>
            <w:tcBorders>
              <w:bottom w:val="single" w:sz="8" w:color="852166"/>
            </w:tcBorders>
          </w:tcPr>
          <w:p>
            <w:pPr>
              <w:spacing w:after="0" w:line="20" w:lineRule="exact"/>
              <w:rPr>
                <w:sz w:val="1"/>
                <w:szCs w:val="1"/>
                <w:color w:val="auto"/>
              </w:rPr>
            </w:pPr>
          </w:p>
        </w:tc>
        <w:tc>
          <w:tcPr>
            <w:tcW w:w="3500" w:type="dxa"/>
            <w:vAlign w:val="bottom"/>
            <w:tcBorders>
              <w:bottom w:val="single" w:sz="8" w:color="852166"/>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407"/>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43" w:name="page44"/>
    <w:bookmarkEnd w:id="43"/>
    <w:p>
      <w:pPr>
        <w:spacing w:after="0"/>
        <w:rPr>
          <w:sz w:val="20"/>
          <w:szCs w:val="20"/>
          <w:color w:val="auto"/>
        </w:rPr>
      </w:pPr>
      <w:r>
        <w:rPr>
          <w:rFonts w:ascii="Arial" w:cs="Arial" w:eastAsia="Arial" w:hAnsi="Arial"/>
          <w:sz w:val="20"/>
          <w:szCs w:val="20"/>
          <w:b w:val="1"/>
          <w:bCs w:val="1"/>
          <w:color w:val="852166"/>
        </w:rPr>
        <w:t>Executive Summary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Our Business</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are a global biopharmaceutical company whose purpose is to innovate to transform the lives of patients and their families. We are dedicated to developing life-changing medicines for people with serious diseases—often with limited or no therapeutic options. We have a diverse portfolio of marketed medicines, including leading therapies for sleep disorders and epilepsy, and a growing portfolio of cancer treatments. Our patient-focused and science-driven approach powers pioneering research and development advancements across our robust pipeline of innovative therapeutics in oncology and neuroscience.</w:t>
      </w:r>
    </w:p>
    <w:p>
      <w:pPr>
        <w:spacing w:after="0" w:line="74"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color w:val="auto"/>
        </w:rPr>
        <w:t>Our strategy for growth is rooted in executing commercial launches and ongoing commercialization initiatives; advancing robust research and development, or R&amp;D, programs and delivering impactful clinical results; effectively deploying capital to strengthen the prospects of achieving our short- and long-term goals through strategic corporate development; and delivering strong financial performance. We focus on patient populations with high unmet needs. We identify and develop differentiated therapies for these patients that we expect will be long-lived assets and that we can support with an efficient commercialization model. In addition, we leverage our efficient, scalable operating model and integrated capabilities across our global infrastructure to effectively reach patients around the world.</w:t>
      </w:r>
    </w:p>
    <w:p>
      <w:pPr>
        <w:spacing w:after="0" w:line="78" w:lineRule="exact"/>
        <w:rPr>
          <w:sz w:val="20"/>
          <w:szCs w:val="20"/>
          <w:color w:val="auto"/>
        </w:rPr>
      </w:pPr>
    </w:p>
    <w:p>
      <w:pPr>
        <w:jc w:val="both"/>
        <w:ind w:right="180"/>
        <w:spacing w:after="0" w:line="310" w:lineRule="auto"/>
        <w:rPr>
          <w:sz w:val="20"/>
          <w:szCs w:val="20"/>
          <w:color w:val="auto"/>
        </w:rPr>
      </w:pPr>
      <w:r>
        <w:rPr>
          <w:rFonts w:ascii="Arial" w:cs="Arial" w:eastAsia="Arial" w:hAnsi="Arial"/>
          <w:sz w:val="16"/>
          <w:szCs w:val="16"/>
          <w:color w:val="auto"/>
        </w:rPr>
        <w:t>In January 2022, we announced our Vision 2025, which aims to deliver sustainable growth and enhanced value, driving our continued transformation to an innovative, high-growth global pharmaceutical leader. The three core components of our Vision 2025 focus on commercial execution, pipeline productivity and operational excellence.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In 2023, consistent with our strategy, we continued to focus on R&amp;D activities within our oncology and neuroscience therapeutic areas.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2023 Performance Highlights</w:t>
      </w:r>
    </w:p>
    <w:p>
      <w:pPr>
        <w:spacing w:after="0" w:line="127"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2023 was a year of continued strong execution across our business that exemplified our purpose to innovate to transform the lives of patients and their families. Our total revenue growth was led by the strength of our marketed therapies, including the continued adoption of Xywav® across both narcolepsy and idiopathic hypersomnia (IH), meaningful Epidiolex® growth and robust demand for Rylaze®. Building on several transformative years for R&amp;D at our company, we have enhanced the breadth and depth of our pipeline, as well as our development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44450</wp:posOffset>
            </wp:positionV>
            <wp:extent cx="1971675" cy="22974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971675" cy="229743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852166"/>
        </w:rPr>
        <w:t>Financial</w:t>
      </w:r>
    </w:p>
    <w:p>
      <w:pPr>
        <w:spacing w:after="0" w:line="127" w:lineRule="exact"/>
        <w:rPr>
          <w:sz w:val="20"/>
          <w:szCs w:val="20"/>
          <w:color w:val="auto"/>
        </w:rPr>
      </w:pPr>
    </w:p>
    <w:p>
      <w:pPr>
        <w:ind w:left="660" w:hanging="310"/>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2023 total revenues of $3,834.2 million increased 5% over 2022.</w:t>
      </w:r>
    </w:p>
    <w:p>
      <w:pPr>
        <w:spacing w:after="0" w:line="153" w:lineRule="exact"/>
        <w:rPr>
          <w:rFonts w:ascii="Arial" w:cs="Arial" w:eastAsia="Arial" w:hAnsi="Arial"/>
          <w:sz w:val="16"/>
          <w:szCs w:val="16"/>
          <w:color w:val="auto"/>
        </w:rPr>
      </w:pPr>
    </w:p>
    <w:p>
      <w:pPr>
        <w:ind w:left="680" w:right="4500" w:hanging="330"/>
        <w:spacing w:after="0" w:line="264" w:lineRule="auto"/>
        <w:tabs>
          <w:tab w:leader="none" w:pos="669" w:val="left"/>
        </w:tabs>
        <w:numPr>
          <w:ilvl w:val="0"/>
          <w:numId w:val="43"/>
        </w:numPr>
        <w:rPr>
          <w:rFonts w:ascii="Arial" w:cs="Arial" w:eastAsia="Arial" w:hAnsi="Arial"/>
          <w:sz w:val="16"/>
          <w:szCs w:val="16"/>
          <w:color w:val="auto"/>
        </w:rPr>
      </w:pPr>
      <w:r>
        <w:rPr>
          <w:rFonts w:ascii="Arial" w:cs="Arial" w:eastAsia="Arial" w:hAnsi="Arial"/>
          <w:sz w:val="16"/>
          <w:szCs w:val="16"/>
          <w:color w:val="auto"/>
        </w:rPr>
        <w:t>2023 GAAP</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net income was $414.8 million, or $6.10 per diluted share compared to 2022 GAAP net loss of $(224.1) million, or $(3.58) per diluted share.</w:t>
      </w:r>
    </w:p>
    <w:p>
      <w:pPr>
        <w:spacing w:after="0" w:line="85" w:lineRule="exact"/>
        <w:rPr>
          <w:rFonts w:ascii="Arial" w:cs="Arial" w:eastAsia="Arial" w:hAnsi="Arial"/>
          <w:sz w:val="16"/>
          <w:szCs w:val="16"/>
          <w:color w:val="auto"/>
        </w:rPr>
      </w:pPr>
    </w:p>
    <w:p>
      <w:pPr>
        <w:ind w:left="680" w:right="4840" w:hanging="330"/>
        <w:spacing w:after="0" w:line="264" w:lineRule="auto"/>
        <w:tabs>
          <w:tab w:leader="none" w:pos="669" w:val="left"/>
        </w:tabs>
        <w:numPr>
          <w:ilvl w:val="0"/>
          <w:numId w:val="43"/>
        </w:numPr>
        <w:rPr>
          <w:rFonts w:ascii="Arial" w:cs="Arial" w:eastAsia="Arial" w:hAnsi="Arial"/>
          <w:sz w:val="16"/>
          <w:szCs w:val="16"/>
          <w:color w:val="auto"/>
        </w:rPr>
      </w:pPr>
      <w:r>
        <w:rPr>
          <w:rFonts w:ascii="Arial" w:cs="Arial" w:eastAsia="Arial" w:hAnsi="Arial"/>
          <w:sz w:val="16"/>
          <w:szCs w:val="16"/>
          <w:color w:val="auto"/>
        </w:rPr>
        <w:t>2023 non-GAAP adjusted net income</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$1,295.8 million, or $18.29 per diluted share, compared to $933.6 million, or $13.20 per diluted share,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1529080</wp:posOffset>
            </wp:positionV>
            <wp:extent cx="27260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hanging="314"/>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U.S. generally accepted accounting principles (GAAP).</w:t>
      </w:r>
    </w:p>
    <w:p>
      <w:pPr>
        <w:spacing w:after="0" w:line="82" w:lineRule="exact"/>
        <w:rPr>
          <w:rFonts w:ascii="Arial" w:cs="Arial" w:eastAsia="Arial" w:hAnsi="Arial"/>
          <w:sz w:val="14"/>
          <w:szCs w:val="14"/>
          <w:color w:val="auto"/>
        </w:rPr>
      </w:pPr>
    </w:p>
    <w:p>
      <w:pPr>
        <w:ind w:left="340" w:hanging="314"/>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Non-GAAP adjusted net income (and the related per share measure) are non-GAAP financial measures. See “Reconciliations of Non-GAAP Adjusted Net Income” below.</w:t>
      </w:r>
    </w:p>
    <w:p>
      <w:pPr>
        <w:spacing w:after="0" w:line="82" w:lineRule="exact"/>
        <w:rPr>
          <w:rFonts w:ascii="Arial" w:cs="Arial" w:eastAsia="Arial" w:hAnsi="Arial"/>
          <w:sz w:val="14"/>
          <w:szCs w:val="14"/>
          <w:color w:val="auto"/>
        </w:rPr>
      </w:pPr>
    </w:p>
    <w:p>
      <w:pPr>
        <w:ind w:left="340" w:hanging="314"/>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high-sodium oxybate authorized generics royalty revenue.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40</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852166"/>
        </w:rPr>
        <w:t>Commercial</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Neuroscience</w:t>
      </w:r>
    </w:p>
    <w:p>
      <w:pPr>
        <w:spacing w:after="0" w:line="138" w:lineRule="exact"/>
        <w:rPr>
          <w:sz w:val="20"/>
          <w:szCs w:val="20"/>
          <w:color w:val="auto"/>
        </w:rPr>
      </w:pPr>
    </w:p>
    <w:p>
      <w:pPr>
        <w:ind w:left="640" w:hanging="308"/>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Xywav net product sales were $1,273.0 million in 2023, an increase of 33% over 2022.</w:t>
      </w:r>
    </w:p>
    <w:p>
      <w:pPr>
        <w:spacing w:after="0" w:line="140" w:lineRule="exact"/>
        <w:rPr>
          <w:rFonts w:ascii="Arial" w:cs="Arial" w:eastAsia="Arial" w:hAnsi="Arial"/>
          <w:sz w:val="16"/>
          <w:szCs w:val="16"/>
          <w:color w:val="auto"/>
        </w:rPr>
      </w:pPr>
    </w:p>
    <w:p>
      <w:pPr>
        <w:ind w:left="640" w:hanging="308"/>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Epidiolex/Epidyolex® net product sales were $845.5 million in 2023, an increase of 15% over 2022.</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Oncology</w:t>
      </w:r>
    </w:p>
    <w:p>
      <w:pPr>
        <w:spacing w:after="0" w:line="138" w:lineRule="exact"/>
        <w:rPr>
          <w:sz w:val="20"/>
          <w:szCs w:val="20"/>
          <w:color w:val="auto"/>
        </w:rPr>
      </w:pPr>
    </w:p>
    <w:p>
      <w:pPr>
        <w:ind w:left="640" w:hanging="308"/>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Rylaze net product sales were $394.2 million in 2023, an increase of 40% over 2022.</w:t>
      </w:r>
    </w:p>
    <w:p>
      <w:pPr>
        <w:spacing w:after="0" w:line="140" w:lineRule="exact"/>
        <w:rPr>
          <w:rFonts w:ascii="Arial" w:cs="Arial" w:eastAsia="Arial" w:hAnsi="Arial"/>
          <w:sz w:val="16"/>
          <w:szCs w:val="16"/>
          <w:color w:val="auto"/>
        </w:rPr>
      </w:pPr>
    </w:p>
    <w:p>
      <w:pPr>
        <w:ind w:left="660" w:right="20" w:hanging="328"/>
        <w:spacing w:after="0" w:line="339" w:lineRule="auto"/>
        <w:tabs>
          <w:tab w:leader="none" w:pos="6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Initiated European rolling launch of Enrylaze® (JZP458; a recombinant Erwinia asparaginase or crisantaspase), marketed as Rylaze in the U.S. and Canada, in the fourth quarter of 2023.</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Zepzelca® net product sales were $289.5 million in 2023, an increase of 7% over 2022.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Key Pipeline Highlights</w:t>
      </w:r>
    </w:p>
    <w:p>
      <w:pPr>
        <w:spacing w:after="0" w:line="127" w:lineRule="exact"/>
        <w:rPr>
          <w:sz w:val="20"/>
          <w:szCs w:val="20"/>
          <w:color w:val="auto"/>
        </w:rPr>
      </w:pPr>
    </w:p>
    <w:p>
      <w:pPr>
        <w:ind w:left="660" w:right="40" w:hanging="328"/>
        <w:spacing w:after="0" w:line="319" w:lineRule="auto"/>
        <w:tabs>
          <w:tab w:leader="none" w:pos="649"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the fourth quarter of 2023, Jazz initiated the zanidatamab rolling biologics license application submission with the U.S. Food and Drug Administration, or FDA, for accelerated approval in second-line use in biliary tract cancer, which was completed in late March 2024. The HERIZON-GEA-01 trial, evaluating zanidatamab in 1L gastroesophageal adenocarcinoma, is ongoing.</w:t>
      </w:r>
    </w:p>
    <w:p>
      <w:pPr>
        <w:spacing w:after="0" w:line="62" w:lineRule="exact"/>
        <w:rPr>
          <w:rFonts w:ascii="Arial" w:cs="Arial" w:eastAsia="Arial" w:hAnsi="Arial"/>
          <w:sz w:val="16"/>
          <w:szCs w:val="16"/>
          <w:color w:val="auto"/>
        </w:rPr>
      </w:pPr>
    </w:p>
    <w:p>
      <w:pPr>
        <w:ind w:left="660" w:right="580" w:hanging="328"/>
        <w:spacing w:after="0" w:line="321" w:lineRule="auto"/>
        <w:tabs>
          <w:tab w:leader="none" w:pos="649" w:val="left"/>
        </w:tabs>
        <w:numPr>
          <w:ilvl w:val="0"/>
          <w:numId w:val="47"/>
        </w:numPr>
        <w:rPr>
          <w:rFonts w:ascii="Arial" w:cs="Arial" w:eastAsia="Arial" w:hAnsi="Arial"/>
          <w:sz w:val="16"/>
          <w:szCs w:val="16"/>
          <w:color w:val="auto"/>
        </w:rPr>
      </w:pPr>
      <w:r>
        <w:rPr>
          <w:rFonts w:ascii="Arial" w:cs="Arial" w:eastAsia="Arial" w:hAnsi="Arial"/>
          <w:sz w:val="16"/>
          <w:szCs w:val="16"/>
          <w:color w:val="auto"/>
        </w:rPr>
        <w:t>Jazz has two ongoing trials for suvecaltamide (JZP385): a Phase 2b trial in patients with essential tremor and a Phase 2 trial in patients with Parkinson's disease tremor.</w:t>
      </w:r>
    </w:p>
    <w:p>
      <w:pPr>
        <w:spacing w:after="0" w:line="61" w:lineRule="exact"/>
        <w:rPr>
          <w:rFonts w:ascii="Arial" w:cs="Arial" w:eastAsia="Arial" w:hAnsi="Arial"/>
          <w:sz w:val="16"/>
          <w:szCs w:val="16"/>
          <w:color w:val="auto"/>
        </w:rPr>
      </w:pPr>
    </w:p>
    <w:p>
      <w:pPr>
        <w:ind w:left="660" w:right="20" w:hanging="328"/>
        <w:spacing w:after="0" w:line="319" w:lineRule="auto"/>
        <w:tabs>
          <w:tab w:leader="none" w:pos="649"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the fourth quarter of 2023, Jazz enrolled its first patient in a Phase 1 study to investigate the safety, tolerability, pharmacokinetics, immunogenicity and preliminary antitumor activity of JZP898 both as a monotherapy and in combination with pembrolizumab in adults with advanced/metastatic solid tumors.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Corporate Development</w:t>
      </w:r>
    </w:p>
    <w:p>
      <w:pPr>
        <w:spacing w:after="0" w:line="127" w:lineRule="exact"/>
        <w:rPr>
          <w:sz w:val="20"/>
          <w:szCs w:val="20"/>
          <w:color w:val="auto"/>
        </w:rPr>
      </w:pPr>
    </w:p>
    <w:p>
      <w:pPr>
        <w:ind w:left="660" w:right="80" w:hanging="328"/>
        <w:spacing w:after="0" w:line="339" w:lineRule="auto"/>
        <w:tabs>
          <w:tab w:leader="none" w:pos="649"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November 2023, we entered into an exclusive global license and collaboration agreement with Autifony to discover and develop drug candidates for two different ion channel targets associated with neurological disorders.</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407"/>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23"/>
        </w:trPr>
        <w:tc>
          <w:tcPr>
            <w:tcW w:w="5640" w:type="dxa"/>
            <w:vAlign w:val="bottom"/>
            <w:gridSpan w:val="2"/>
          </w:tcPr>
          <w:p>
            <w:pPr>
              <w:spacing w:after="0"/>
              <w:rPr>
                <w:sz w:val="20"/>
                <w:szCs w:val="20"/>
                <w:color w:val="auto"/>
              </w:rPr>
            </w:pPr>
            <w:r>
              <w:rPr>
                <w:rFonts w:ascii="Arial" w:cs="Arial" w:eastAsia="Arial" w:hAnsi="Arial"/>
                <w:sz w:val="16"/>
                <w:szCs w:val="16"/>
                <w:b w:val="1"/>
                <w:bCs w:val="1"/>
                <w:color w:val="852166"/>
              </w:rPr>
              <w:t>Key Features of Our Executive Compensation Program</w:t>
            </w:r>
          </w:p>
        </w:tc>
        <w:tc>
          <w:tcPr>
            <w:tcW w:w="5600" w:type="dxa"/>
            <w:vAlign w:val="bottom"/>
          </w:tcPr>
          <w:p>
            <w:pPr>
              <w:spacing w:after="0"/>
              <w:rPr>
                <w:sz w:val="19"/>
                <w:szCs w:val="19"/>
                <w:color w:val="auto"/>
              </w:rPr>
            </w:pPr>
          </w:p>
        </w:tc>
      </w:tr>
      <w:tr>
        <w:trPr>
          <w:trHeight w:val="116"/>
        </w:trPr>
        <w:tc>
          <w:tcPr>
            <w:tcW w:w="30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5600" w:type="dxa"/>
            <w:vAlign w:val="bottom"/>
          </w:tcPr>
          <w:p>
            <w:pPr>
              <w:spacing w:after="0"/>
              <w:rPr>
                <w:sz w:val="10"/>
                <w:szCs w:val="10"/>
                <w:color w:val="auto"/>
              </w:rPr>
            </w:pPr>
          </w:p>
        </w:tc>
      </w:tr>
      <w:tr>
        <w:trPr>
          <w:trHeight w:val="309"/>
        </w:trPr>
        <w:tc>
          <w:tcPr>
            <w:tcW w:w="300" w:type="dxa"/>
            <w:vAlign w:val="bottom"/>
            <w:shd w:val="clear" w:color="auto" w:fill="852166"/>
          </w:tcPr>
          <w:p>
            <w:pPr>
              <w:spacing w:after="0"/>
              <w:rPr>
                <w:sz w:val="24"/>
                <w:szCs w:val="24"/>
                <w:color w:val="auto"/>
              </w:rPr>
            </w:pPr>
          </w:p>
        </w:tc>
        <w:tc>
          <w:tcPr>
            <w:tcW w:w="5340" w:type="dxa"/>
            <w:vAlign w:val="bottom"/>
            <w:shd w:val="clear" w:color="auto" w:fill="852166"/>
          </w:tcPr>
          <w:p>
            <w:pPr>
              <w:ind w:left="1960"/>
              <w:spacing w:after="0"/>
              <w:rPr>
                <w:sz w:val="20"/>
                <w:szCs w:val="20"/>
                <w:color w:val="auto"/>
              </w:rPr>
            </w:pPr>
            <w:r>
              <w:rPr>
                <w:rFonts w:ascii="Arial" w:cs="Arial" w:eastAsia="Arial" w:hAnsi="Arial"/>
                <w:sz w:val="20"/>
                <w:szCs w:val="20"/>
                <w:b w:val="1"/>
                <w:bCs w:val="1"/>
                <w:color w:val="FFFFFF"/>
              </w:rPr>
              <w:t>What We do</w:t>
            </w:r>
          </w:p>
        </w:tc>
        <w:tc>
          <w:tcPr>
            <w:tcW w:w="5600" w:type="dxa"/>
            <w:vAlign w:val="bottom"/>
            <w:shd w:val="clear" w:color="auto" w:fill="001C71"/>
          </w:tcPr>
          <w:p>
            <w:pPr>
              <w:ind w:left="1820"/>
              <w:spacing w:after="0"/>
              <w:rPr>
                <w:sz w:val="20"/>
                <w:szCs w:val="20"/>
                <w:color w:val="auto"/>
              </w:rPr>
            </w:pPr>
            <w:r>
              <w:rPr>
                <w:rFonts w:ascii="Arial" w:cs="Arial" w:eastAsia="Arial" w:hAnsi="Arial"/>
                <w:sz w:val="22"/>
                <w:szCs w:val="22"/>
                <w:b w:val="1"/>
                <w:bCs w:val="1"/>
                <w:color w:val="FFFFFF"/>
              </w:rPr>
              <w:t>What We Don’t Do</w:t>
            </w:r>
          </w:p>
        </w:tc>
      </w:tr>
      <w:tr>
        <w:trPr>
          <w:trHeight w:val="82"/>
        </w:trPr>
        <w:tc>
          <w:tcPr>
            <w:tcW w:w="5640" w:type="dxa"/>
            <w:vAlign w:val="bottom"/>
            <w:gridSpan w:val="2"/>
            <w:shd w:val="clear" w:color="auto" w:fill="852166"/>
          </w:tcPr>
          <w:p>
            <w:pPr>
              <w:spacing w:after="0"/>
              <w:rPr>
                <w:sz w:val="7"/>
                <w:szCs w:val="7"/>
                <w:color w:val="auto"/>
              </w:rPr>
            </w:pPr>
          </w:p>
        </w:tc>
        <w:tc>
          <w:tcPr>
            <w:tcW w:w="5600" w:type="dxa"/>
            <w:vAlign w:val="bottom"/>
            <w:shd w:val="clear" w:color="auto" w:fill="001C71"/>
          </w:tcPr>
          <w:p>
            <w:pPr>
              <w:spacing w:after="0"/>
              <w:rPr>
                <w:sz w:val="7"/>
                <w:szCs w:val="7"/>
                <w:color w:val="auto"/>
              </w:rPr>
            </w:pPr>
          </w:p>
        </w:tc>
      </w:tr>
      <w:tr>
        <w:trPr>
          <w:trHeight w:val="364"/>
        </w:trPr>
        <w:tc>
          <w:tcPr>
            <w:tcW w:w="5640" w:type="dxa"/>
            <w:vAlign w:val="bottom"/>
            <w:tcBorders>
              <w:bottom w:val="single" w:sz="8" w:color="auto"/>
            </w:tcBorders>
            <w:gridSpan w:val="2"/>
          </w:tcPr>
          <w:p>
            <w:pPr>
              <w:ind w:left="80"/>
              <w:spacing w:after="0" w:line="365" w:lineRule="exact"/>
              <w:rPr>
                <w:sz w:val="20"/>
                <w:szCs w:val="20"/>
                <w:color w:val="auto"/>
              </w:rPr>
            </w:pPr>
            <w:r>
              <w:rPr>
                <w:rFonts w:ascii="Wingdings" w:cs="Wingdings" w:eastAsia="Wingdings" w:hAnsi="Wingdings"/>
                <w:sz w:val="42"/>
                <w:szCs w:val="42"/>
                <w:b w:val="1"/>
                <w:bCs w:val="1"/>
                <w:color w:val="852166"/>
                <w:vertAlign w:val="subscript"/>
              </w:rPr>
              <w:t>ü</w:t>
            </w:r>
            <w:r>
              <w:rPr>
                <w:rFonts w:ascii="Arial" w:cs="Arial" w:eastAsia="Arial" w:hAnsi="Arial"/>
                <w:sz w:val="14"/>
                <w:szCs w:val="14"/>
                <w:color w:val="auto"/>
              </w:rPr>
              <w:t xml:space="preserve"> Design executive compensation to align pay with performance</w:t>
            </w:r>
          </w:p>
        </w:tc>
        <w:tc>
          <w:tcPr>
            <w:tcW w:w="5600" w:type="dxa"/>
            <w:vAlign w:val="bottom"/>
            <w:tcBorders>
              <w:bottom w:val="single" w:sz="8" w:color="auto"/>
            </w:tcBorders>
          </w:tcPr>
          <w:p>
            <w:pPr>
              <w:ind w:left="100"/>
              <w:spacing w:after="0" w:line="365" w:lineRule="exact"/>
              <w:rPr>
                <w:sz w:val="20"/>
                <w:szCs w:val="20"/>
                <w:color w:val="auto"/>
              </w:rPr>
            </w:pPr>
            <w:r>
              <w:rPr>
                <w:rFonts w:ascii="Wingdings" w:cs="Wingdings" w:eastAsia="Wingdings" w:hAnsi="Wingdings"/>
                <w:sz w:val="42"/>
                <w:szCs w:val="42"/>
                <w:b w:val="1"/>
                <w:bCs w:val="1"/>
                <w:color w:val="001C71"/>
                <w:vertAlign w:val="subscript"/>
              </w:rPr>
              <w:t>û</w:t>
            </w:r>
            <w:r>
              <w:rPr>
                <w:rFonts w:ascii="Arial" w:cs="Arial" w:eastAsia="Arial" w:hAnsi="Arial"/>
                <w:sz w:val="14"/>
                <w:szCs w:val="14"/>
                <w:color w:val="auto"/>
              </w:rPr>
              <w:t xml:space="preserve"> No excessive change in control or severance arrangements</w:t>
            </w:r>
          </w:p>
        </w:tc>
      </w:tr>
      <w:tr>
        <w:trPr>
          <w:trHeight w:val="241"/>
        </w:trPr>
        <w:tc>
          <w:tcPr>
            <w:tcW w:w="300" w:type="dxa"/>
            <w:vAlign w:val="bottom"/>
          </w:tcPr>
          <w:p>
            <w:pPr>
              <w:ind w:left="80"/>
              <w:spacing w:after="0" w:line="242" w:lineRule="exact"/>
              <w:rPr>
                <w:sz w:val="20"/>
                <w:szCs w:val="20"/>
                <w:color w:val="auto"/>
              </w:rPr>
            </w:pPr>
            <w:r>
              <w:rPr>
                <w:rFonts w:ascii="Wingdings" w:cs="Wingdings" w:eastAsia="Wingdings" w:hAnsi="Wingdings"/>
                <w:sz w:val="22"/>
                <w:szCs w:val="22"/>
                <w:b w:val="1"/>
                <w:bCs w:val="1"/>
                <w:color w:val="852166"/>
              </w:rPr>
              <w:t>ü</w:t>
            </w:r>
          </w:p>
        </w:tc>
        <w:tc>
          <w:tcPr>
            <w:tcW w:w="5340" w:type="dxa"/>
            <w:vAlign w:val="bottom"/>
          </w:tcPr>
          <w:p>
            <w:pPr>
              <w:ind w:left="60"/>
              <w:spacing w:after="0"/>
              <w:rPr>
                <w:sz w:val="20"/>
                <w:szCs w:val="20"/>
                <w:color w:val="auto"/>
              </w:rPr>
            </w:pPr>
            <w:r>
              <w:rPr>
                <w:rFonts w:ascii="Arial" w:cs="Arial" w:eastAsia="Arial" w:hAnsi="Arial"/>
                <w:sz w:val="14"/>
                <w:szCs w:val="14"/>
                <w:color w:val="auto"/>
              </w:rPr>
              <w:t>Balance short-term and long-term incentive compensation, with a majority of</w:t>
            </w:r>
          </w:p>
        </w:tc>
        <w:tc>
          <w:tcPr>
            <w:tcW w:w="5600" w:type="dxa"/>
            <w:vAlign w:val="bottom"/>
          </w:tcPr>
          <w:p>
            <w:pPr>
              <w:ind w:left="100"/>
              <w:spacing w:after="0" w:line="241" w:lineRule="exact"/>
              <w:rPr>
                <w:sz w:val="20"/>
                <w:szCs w:val="20"/>
                <w:color w:val="auto"/>
              </w:rPr>
            </w:pPr>
            <w:r>
              <w:rPr>
                <w:rFonts w:ascii="Wingdings" w:cs="Wingdings" w:eastAsia="Wingdings" w:hAnsi="Wingdings"/>
                <w:sz w:val="27"/>
                <w:szCs w:val="27"/>
                <w:b w:val="1"/>
                <w:bCs w:val="1"/>
                <w:color w:val="001C71"/>
                <w:vertAlign w:val="subscript"/>
              </w:rPr>
              <w:t>û</w:t>
            </w:r>
            <w:r>
              <w:rPr>
                <w:rFonts w:ascii="Arial" w:cs="Arial" w:eastAsia="Arial" w:hAnsi="Arial"/>
                <w:sz w:val="12"/>
                <w:szCs w:val="12"/>
                <w:color w:val="auto"/>
              </w:rPr>
              <w:t xml:space="preserve"> No “single-trigger” cash or equity change in control benefits</w:t>
            </w:r>
          </w:p>
        </w:tc>
      </w:tr>
      <w:tr>
        <w:trPr>
          <w:trHeight w:val="194"/>
        </w:trPr>
        <w:tc>
          <w:tcPr>
            <w:tcW w:w="300" w:type="dxa"/>
            <w:vAlign w:val="bottom"/>
            <w:tcBorders>
              <w:bottom w:val="single" w:sz="8" w:color="auto"/>
            </w:tcBorders>
          </w:tcPr>
          <w:p>
            <w:pPr>
              <w:spacing w:after="0"/>
              <w:rPr>
                <w:sz w:val="16"/>
                <w:szCs w:val="16"/>
                <w:color w:val="auto"/>
              </w:rPr>
            </w:pPr>
          </w:p>
        </w:tc>
        <w:tc>
          <w:tcPr>
            <w:tcW w:w="53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executive compensation being “at-risk”</w:t>
            </w:r>
          </w:p>
        </w:tc>
        <w:tc>
          <w:tcPr>
            <w:tcW w:w="5600" w:type="dxa"/>
            <w:vAlign w:val="bottom"/>
            <w:tcBorders>
              <w:bottom w:val="single" w:sz="8" w:color="auto"/>
            </w:tcBorders>
          </w:tcPr>
          <w:p>
            <w:pPr>
              <w:spacing w:after="0"/>
              <w:rPr>
                <w:sz w:val="16"/>
                <w:szCs w:val="16"/>
                <w:color w:val="auto"/>
              </w:rPr>
            </w:pPr>
          </w:p>
        </w:tc>
      </w:tr>
      <w:tr>
        <w:trPr>
          <w:trHeight w:val="245"/>
        </w:trPr>
        <w:tc>
          <w:tcPr>
            <w:tcW w:w="300" w:type="dxa"/>
            <w:vAlign w:val="bottom"/>
          </w:tcPr>
          <w:p>
            <w:pPr>
              <w:ind w:left="80"/>
              <w:spacing w:after="0"/>
              <w:rPr>
                <w:sz w:val="20"/>
                <w:szCs w:val="20"/>
                <w:color w:val="auto"/>
              </w:rPr>
            </w:pPr>
            <w:r>
              <w:rPr>
                <w:rFonts w:ascii="Wingdings" w:cs="Wingdings" w:eastAsia="Wingdings" w:hAnsi="Wingdings"/>
                <w:sz w:val="22"/>
                <w:szCs w:val="22"/>
                <w:b w:val="1"/>
                <w:bCs w:val="1"/>
                <w:color w:val="852166"/>
              </w:rPr>
              <w:t>ü</w:t>
            </w:r>
          </w:p>
        </w:tc>
        <w:tc>
          <w:tcPr>
            <w:tcW w:w="5340" w:type="dxa"/>
            <w:vAlign w:val="bottom"/>
          </w:tcPr>
          <w:p>
            <w:pPr>
              <w:ind w:left="60"/>
              <w:spacing w:after="0"/>
              <w:rPr>
                <w:sz w:val="20"/>
                <w:szCs w:val="20"/>
                <w:color w:val="auto"/>
              </w:rPr>
            </w:pPr>
            <w:r>
              <w:rPr>
                <w:rFonts w:ascii="Arial" w:cs="Arial" w:eastAsia="Arial" w:hAnsi="Arial"/>
                <w:sz w:val="14"/>
                <w:szCs w:val="14"/>
                <w:color w:val="auto"/>
              </w:rPr>
              <w:t>Grant equity awards that vest based on performance goals over a multi-year</w:t>
            </w:r>
          </w:p>
        </w:tc>
        <w:tc>
          <w:tcPr>
            <w:tcW w:w="5600" w:type="dxa"/>
            <w:vAlign w:val="bottom"/>
          </w:tcPr>
          <w:p>
            <w:pPr>
              <w:ind w:left="100"/>
              <w:spacing w:after="0" w:line="245" w:lineRule="exact"/>
              <w:rPr>
                <w:sz w:val="20"/>
                <w:szCs w:val="20"/>
                <w:color w:val="auto"/>
              </w:rPr>
            </w:pPr>
            <w:r>
              <w:rPr>
                <w:rFonts w:ascii="Wingdings" w:cs="Wingdings" w:eastAsia="Wingdings" w:hAnsi="Wingdings"/>
                <w:sz w:val="28"/>
                <w:szCs w:val="28"/>
                <w:b w:val="1"/>
                <w:bCs w:val="1"/>
                <w:color w:val="001C71"/>
                <w:vertAlign w:val="subscript"/>
              </w:rPr>
              <w:t>û</w:t>
            </w:r>
            <w:r>
              <w:rPr>
                <w:rFonts w:ascii="Arial" w:cs="Arial" w:eastAsia="Arial" w:hAnsi="Arial"/>
                <w:sz w:val="12"/>
                <w:szCs w:val="12"/>
                <w:color w:val="auto"/>
              </w:rPr>
              <w:t xml:space="preserve"> No repricing of underwater stock options without prior shareholder approval</w:t>
            </w:r>
          </w:p>
        </w:tc>
      </w:tr>
      <w:tr>
        <w:trPr>
          <w:trHeight w:val="194"/>
        </w:trPr>
        <w:tc>
          <w:tcPr>
            <w:tcW w:w="300" w:type="dxa"/>
            <w:vAlign w:val="bottom"/>
            <w:tcBorders>
              <w:bottom w:val="single" w:sz="8" w:color="auto"/>
            </w:tcBorders>
          </w:tcPr>
          <w:p>
            <w:pPr>
              <w:spacing w:after="0"/>
              <w:rPr>
                <w:sz w:val="16"/>
                <w:szCs w:val="16"/>
                <w:color w:val="auto"/>
              </w:rPr>
            </w:pPr>
          </w:p>
        </w:tc>
        <w:tc>
          <w:tcPr>
            <w:tcW w:w="53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performance period</w:t>
            </w:r>
          </w:p>
        </w:tc>
        <w:tc>
          <w:tcPr>
            <w:tcW w:w="5600" w:type="dxa"/>
            <w:vAlign w:val="bottom"/>
            <w:tcBorders>
              <w:bottom w:val="single" w:sz="8" w:color="auto"/>
            </w:tcBorders>
          </w:tcPr>
          <w:p>
            <w:pPr>
              <w:spacing w:after="0"/>
              <w:rPr>
                <w:sz w:val="16"/>
                <w:szCs w:val="16"/>
                <w:color w:val="auto"/>
              </w:rPr>
            </w:pPr>
          </w:p>
        </w:tc>
      </w:tr>
      <w:tr>
        <w:trPr>
          <w:trHeight w:val="348"/>
        </w:trPr>
        <w:tc>
          <w:tcPr>
            <w:tcW w:w="5640" w:type="dxa"/>
            <w:vAlign w:val="bottom"/>
            <w:tcBorders>
              <w:bottom w:val="single" w:sz="8" w:color="auto"/>
            </w:tcBorders>
            <w:gridSpan w:val="2"/>
          </w:tcPr>
          <w:p>
            <w:pPr>
              <w:ind w:left="80"/>
              <w:spacing w:after="0" w:line="347" w:lineRule="exact"/>
              <w:rPr>
                <w:sz w:val="20"/>
                <w:szCs w:val="20"/>
                <w:color w:val="auto"/>
              </w:rPr>
            </w:pPr>
            <w:r>
              <w:rPr>
                <w:rFonts w:ascii="Wingdings" w:cs="Wingdings" w:eastAsia="Wingdings" w:hAnsi="Wingdings"/>
                <w:sz w:val="40"/>
                <w:szCs w:val="40"/>
                <w:b w:val="1"/>
                <w:bCs w:val="1"/>
                <w:color w:val="852166"/>
                <w:vertAlign w:val="subscript"/>
              </w:rPr>
              <w:t>ü</w:t>
            </w:r>
            <w:r>
              <w:rPr>
                <w:rFonts w:ascii="Arial" w:cs="Arial" w:eastAsia="Arial" w:hAnsi="Arial"/>
                <w:sz w:val="14"/>
                <w:szCs w:val="14"/>
                <w:color w:val="auto"/>
              </w:rPr>
              <w:t xml:space="preserve"> Maintain executive share ownership guidelines</w:t>
            </w:r>
          </w:p>
        </w:tc>
        <w:tc>
          <w:tcPr>
            <w:tcW w:w="5600" w:type="dxa"/>
            <w:vAlign w:val="bottom"/>
            <w:tcBorders>
              <w:bottom w:val="single" w:sz="8" w:color="auto"/>
            </w:tcBorders>
          </w:tcPr>
          <w:p>
            <w:pPr>
              <w:ind w:left="100"/>
              <w:spacing w:after="0" w:line="347" w:lineRule="exact"/>
              <w:rPr>
                <w:sz w:val="20"/>
                <w:szCs w:val="20"/>
                <w:color w:val="auto"/>
              </w:rPr>
            </w:pPr>
            <w:r>
              <w:rPr>
                <w:rFonts w:ascii="Wingdings" w:cs="Wingdings" w:eastAsia="Wingdings" w:hAnsi="Wingdings"/>
                <w:sz w:val="40"/>
                <w:szCs w:val="40"/>
                <w:b w:val="1"/>
                <w:bCs w:val="1"/>
                <w:color w:val="001C71"/>
                <w:vertAlign w:val="subscript"/>
              </w:rPr>
              <w:t>û</w:t>
            </w:r>
            <w:r>
              <w:rPr>
                <w:rFonts w:ascii="Arial" w:cs="Arial" w:eastAsia="Arial" w:hAnsi="Arial"/>
                <w:sz w:val="14"/>
                <w:szCs w:val="14"/>
                <w:color w:val="auto"/>
              </w:rPr>
              <w:t xml:space="preserve"> No excessive perquisites</w:t>
            </w:r>
          </w:p>
        </w:tc>
      </w:tr>
      <w:tr>
        <w:trPr>
          <w:trHeight w:val="344"/>
        </w:trPr>
        <w:tc>
          <w:tcPr>
            <w:tcW w:w="5640" w:type="dxa"/>
            <w:vAlign w:val="bottom"/>
            <w:tcBorders>
              <w:bottom w:val="single" w:sz="8" w:color="auto"/>
            </w:tcBorders>
            <w:gridSpan w:val="2"/>
          </w:tcPr>
          <w:p>
            <w:pPr>
              <w:ind w:left="80"/>
              <w:spacing w:after="0" w:line="344" w:lineRule="exact"/>
              <w:rPr>
                <w:sz w:val="20"/>
                <w:szCs w:val="20"/>
                <w:color w:val="auto"/>
              </w:rPr>
            </w:pPr>
            <w:r>
              <w:rPr>
                <w:rFonts w:ascii="Wingdings" w:cs="Wingdings" w:eastAsia="Wingdings" w:hAnsi="Wingdings"/>
                <w:sz w:val="39"/>
                <w:szCs w:val="39"/>
                <w:b w:val="1"/>
                <w:bCs w:val="1"/>
                <w:color w:val="852166"/>
                <w:vertAlign w:val="subscript"/>
              </w:rPr>
              <w:t>ü</w:t>
            </w:r>
            <w:r>
              <w:rPr>
                <w:rFonts w:ascii="Arial" w:cs="Arial" w:eastAsia="Arial" w:hAnsi="Arial"/>
                <w:sz w:val="14"/>
                <w:szCs w:val="14"/>
                <w:color w:val="auto"/>
              </w:rPr>
              <w:t xml:space="preserve"> Provide “double-trigger” change in control benefits</w:t>
            </w:r>
          </w:p>
        </w:tc>
        <w:tc>
          <w:tcPr>
            <w:tcW w:w="5600" w:type="dxa"/>
            <w:vAlign w:val="bottom"/>
            <w:tcBorders>
              <w:bottom w:val="single" w:sz="8" w:color="auto"/>
            </w:tcBorders>
          </w:tcPr>
          <w:p>
            <w:pPr>
              <w:ind w:left="100"/>
              <w:spacing w:after="0" w:line="344" w:lineRule="exact"/>
              <w:rPr>
                <w:sz w:val="20"/>
                <w:szCs w:val="20"/>
                <w:color w:val="auto"/>
              </w:rPr>
            </w:pPr>
            <w:r>
              <w:rPr>
                <w:rFonts w:ascii="Wingdings" w:cs="Wingdings" w:eastAsia="Wingdings" w:hAnsi="Wingdings"/>
                <w:sz w:val="39"/>
                <w:szCs w:val="39"/>
                <w:b w:val="1"/>
                <w:bCs w:val="1"/>
                <w:color w:val="001C71"/>
                <w:vertAlign w:val="subscript"/>
              </w:rPr>
              <w:t>û</w:t>
            </w:r>
            <w:r>
              <w:rPr>
                <w:rFonts w:ascii="Arial" w:cs="Arial" w:eastAsia="Arial" w:hAnsi="Arial"/>
                <w:sz w:val="14"/>
                <w:szCs w:val="14"/>
                <w:color w:val="auto"/>
              </w:rPr>
              <w:t xml:space="preserve"> No tax gross ups on severance or change in control benefits</w:t>
            </w:r>
          </w:p>
        </w:tc>
      </w:tr>
      <w:tr>
        <w:trPr>
          <w:trHeight w:val="241"/>
        </w:trPr>
        <w:tc>
          <w:tcPr>
            <w:tcW w:w="5640" w:type="dxa"/>
            <w:vAlign w:val="bottom"/>
            <w:gridSpan w:val="2"/>
          </w:tcPr>
          <w:p>
            <w:pPr>
              <w:ind w:left="80"/>
              <w:spacing w:after="0" w:line="241" w:lineRule="exact"/>
              <w:rPr>
                <w:sz w:val="20"/>
                <w:szCs w:val="20"/>
                <w:color w:val="auto"/>
              </w:rPr>
            </w:pPr>
            <w:r>
              <w:rPr>
                <w:rFonts w:ascii="Wingdings" w:cs="Wingdings" w:eastAsia="Wingdings" w:hAnsi="Wingdings"/>
                <w:sz w:val="27"/>
                <w:szCs w:val="27"/>
                <w:b w:val="1"/>
                <w:bCs w:val="1"/>
                <w:color w:val="852166"/>
                <w:vertAlign w:val="subscript"/>
              </w:rPr>
              <w:t>ü</w:t>
            </w:r>
            <w:r>
              <w:rPr>
                <w:rFonts w:ascii="Arial" w:cs="Arial" w:eastAsia="Arial" w:hAnsi="Arial"/>
                <w:sz w:val="12"/>
                <w:szCs w:val="12"/>
                <w:color w:val="auto"/>
              </w:rPr>
              <w:t xml:space="preserve"> Prohibit hedging and pledging by executive officers and directors</w:t>
            </w:r>
          </w:p>
        </w:tc>
        <w:tc>
          <w:tcPr>
            <w:tcW w:w="5600" w:type="dxa"/>
            <w:vAlign w:val="bottom"/>
          </w:tcPr>
          <w:p>
            <w:pPr>
              <w:ind w:left="100"/>
              <w:spacing w:after="0" w:line="241" w:lineRule="exact"/>
              <w:rPr>
                <w:sz w:val="20"/>
                <w:szCs w:val="20"/>
                <w:color w:val="auto"/>
              </w:rPr>
            </w:pPr>
            <w:r>
              <w:rPr>
                <w:rFonts w:ascii="Wingdings" w:cs="Wingdings" w:eastAsia="Wingdings" w:hAnsi="Wingdings"/>
                <w:sz w:val="27"/>
                <w:szCs w:val="27"/>
                <w:b w:val="1"/>
                <w:bCs w:val="1"/>
                <w:color w:val="001C71"/>
                <w:vertAlign w:val="subscript"/>
              </w:rPr>
              <w:t>û</w:t>
            </w:r>
            <w:r>
              <w:rPr>
                <w:rFonts w:ascii="Arial" w:cs="Arial" w:eastAsia="Arial" w:hAnsi="Arial"/>
                <w:sz w:val="12"/>
                <w:szCs w:val="12"/>
                <w:color w:val="auto"/>
              </w:rPr>
              <w:t xml:space="preserve"> No post-termination retirement or pension benefits that are not available to</w:t>
            </w:r>
          </w:p>
        </w:tc>
      </w:tr>
      <w:tr>
        <w:trPr>
          <w:trHeight w:val="194"/>
        </w:trPr>
        <w:tc>
          <w:tcPr>
            <w:tcW w:w="300" w:type="dxa"/>
            <w:vAlign w:val="bottom"/>
            <w:tcBorders>
              <w:bottom w:val="single" w:sz="8" w:color="auto"/>
            </w:tcBorders>
          </w:tcPr>
          <w:p>
            <w:pPr>
              <w:spacing w:after="0"/>
              <w:rPr>
                <w:sz w:val="16"/>
                <w:szCs w:val="16"/>
                <w:color w:val="auto"/>
              </w:rPr>
            </w:pPr>
          </w:p>
        </w:tc>
        <w:tc>
          <w:tcPr>
            <w:tcW w:w="5340" w:type="dxa"/>
            <w:vAlign w:val="bottom"/>
            <w:tcBorders>
              <w:bottom w:val="single" w:sz="8" w:color="auto"/>
            </w:tcBorders>
          </w:tcPr>
          <w:p>
            <w:pPr>
              <w:spacing w:after="0"/>
              <w:rPr>
                <w:sz w:val="16"/>
                <w:szCs w:val="16"/>
                <w:color w:val="auto"/>
              </w:rPr>
            </w:pPr>
          </w:p>
        </w:tc>
        <w:tc>
          <w:tcPr>
            <w:tcW w:w="560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employees generally</w:t>
            </w:r>
          </w:p>
        </w:tc>
      </w:tr>
      <w:tr>
        <w:trPr>
          <w:trHeight w:val="348"/>
        </w:trPr>
        <w:tc>
          <w:tcPr>
            <w:tcW w:w="5640" w:type="dxa"/>
            <w:vAlign w:val="bottom"/>
            <w:tcBorders>
              <w:bottom w:val="single" w:sz="8" w:color="auto"/>
            </w:tcBorders>
            <w:gridSpan w:val="2"/>
          </w:tcPr>
          <w:p>
            <w:pPr>
              <w:ind w:left="80"/>
              <w:spacing w:after="0" w:line="347" w:lineRule="exact"/>
              <w:rPr>
                <w:sz w:val="20"/>
                <w:szCs w:val="20"/>
                <w:color w:val="auto"/>
              </w:rPr>
            </w:pPr>
            <w:r>
              <w:rPr>
                <w:rFonts w:ascii="Wingdings" w:cs="Wingdings" w:eastAsia="Wingdings" w:hAnsi="Wingdings"/>
                <w:sz w:val="40"/>
                <w:szCs w:val="40"/>
                <w:b w:val="1"/>
                <w:bCs w:val="1"/>
                <w:color w:val="852166"/>
                <w:vertAlign w:val="subscript"/>
              </w:rPr>
              <w:t>ü</w:t>
            </w:r>
            <w:r>
              <w:rPr>
                <w:rFonts w:ascii="Arial" w:cs="Arial" w:eastAsia="Arial" w:hAnsi="Arial"/>
                <w:sz w:val="14"/>
                <w:szCs w:val="14"/>
                <w:color w:val="auto"/>
              </w:rPr>
              <w:t xml:space="preserve"> Maintain a clawback policy</w:t>
            </w:r>
          </w:p>
        </w:tc>
        <w:tc>
          <w:tcPr>
            <w:tcW w:w="5600" w:type="dxa"/>
            <w:vAlign w:val="bottom"/>
            <w:tcBorders>
              <w:bottom w:val="single" w:sz="8" w:color="auto"/>
            </w:tcBorders>
          </w:tcPr>
          <w:p>
            <w:pPr>
              <w:ind w:left="100"/>
              <w:spacing w:after="0" w:line="347" w:lineRule="exact"/>
              <w:rPr>
                <w:sz w:val="20"/>
                <w:szCs w:val="20"/>
                <w:color w:val="auto"/>
              </w:rPr>
            </w:pPr>
            <w:r>
              <w:rPr>
                <w:rFonts w:ascii="Wingdings" w:cs="Wingdings" w:eastAsia="Wingdings" w:hAnsi="Wingdings"/>
                <w:sz w:val="40"/>
                <w:szCs w:val="40"/>
                <w:b w:val="1"/>
                <w:bCs w:val="1"/>
                <w:color w:val="001C71"/>
                <w:vertAlign w:val="subscript"/>
              </w:rPr>
              <w:t>û</w:t>
            </w:r>
            <w:r>
              <w:rPr>
                <w:rFonts w:ascii="Arial" w:cs="Arial" w:eastAsia="Arial" w:hAnsi="Arial"/>
                <w:sz w:val="14"/>
                <w:szCs w:val="14"/>
                <w:color w:val="auto"/>
              </w:rPr>
              <w:t xml:space="preserve"> No guaranteed bonuses or base salary increases</w:t>
            </w:r>
          </w:p>
        </w:tc>
      </w:tr>
    </w:tbl>
    <w:p>
      <w:pPr>
        <w:spacing w:after="0" w:line="58" w:lineRule="exact"/>
        <w:rPr>
          <w:sz w:val="20"/>
          <w:szCs w:val="20"/>
          <w:color w:val="auto"/>
        </w:rPr>
      </w:pPr>
    </w:p>
    <w:p>
      <w:pPr>
        <w:ind w:left="360" w:right="5900" w:hanging="275"/>
        <w:spacing w:after="0" w:line="183" w:lineRule="auto"/>
        <w:tabs>
          <w:tab w:leader="none" w:pos="360" w:val="left"/>
        </w:tabs>
        <w:numPr>
          <w:ilvl w:val="0"/>
          <w:numId w:val="49"/>
        </w:numPr>
        <w:rPr>
          <w:rFonts w:ascii="Wingdings" w:cs="Wingdings" w:eastAsia="Wingdings" w:hAnsi="Wingdings"/>
          <w:sz w:val="37"/>
          <w:szCs w:val="37"/>
          <w:b w:val="1"/>
          <w:bCs w:val="1"/>
          <w:color w:val="852166"/>
          <w:vertAlign w:val="subscript"/>
        </w:rPr>
      </w:pPr>
      <w:r>
        <w:rPr>
          <w:rFonts w:ascii="Arial" w:cs="Arial" w:eastAsia="Arial" w:hAnsi="Arial"/>
          <w:sz w:val="13"/>
          <w:szCs w:val="13"/>
          <w:color w:val="auto"/>
        </w:rPr>
        <w:t>Establish threshold and maximum levels of achievement for payouts under our annual performance bonus plan and our performance-vesting equity awards, including an overall cap on individual payout amounts</w:t>
      </w:r>
    </w:p>
    <w:p>
      <w:pPr>
        <w:ind w:left="360" w:hanging="275"/>
        <w:spacing w:after="0" w:line="184" w:lineRule="auto"/>
        <w:tabs>
          <w:tab w:leader="none" w:pos="360" w:val="left"/>
        </w:tabs>
        <w:numPr>
          <w:ilvl w:val="0"/>
          <w:numId w:val="49"/>
        </w:numPr>
        <w:rPr>
          <w:rFonts w:ascii="Wingdings" w:cs="Wingdings" w:eastAsia="Wingdings" w:hAnsi="Wingdings"/>
          <w:sz w:val="38"/>
          <w:szCs w:val="38"/>
          <w:b w:val="1"/>
          <w:bCs w:val="1"/>
          <w:color w:val="852166"/>
          <w:vertAlign w:val="subscript"/>
        </w:rPr>
      </w:pPr>
      <w:r>
        <w:rPr>
          <w:rFonts w:ascii="Arial" w:cs="Arial" w:eastAsia="Arial" w:hAnsi="Arial"/>
          <w:sz w:val="14"/>
          <w:szCs w:val="14"/>
          <w:color w:val="auto"/>
        </w:rPr>
        <w:t>Have 100% independent directors on our compensation committee</w:t>
      </w:r>
    </w:p>
    <w:p>
      <w:pPr>
        <w:spacing w:after="0" w:line="174" w:lineRule="exact"/>
        <w:rPr>
          <w:rFonts w:ascii="Wingdings" w:cs="Wingdings" w:eastAsia="Wingdings" w:hAnsi="Wingdings"/>
          <w:sz w:val="38"/>
          <w:szCs w:val="38"/>
          <w:b w:val="1"/>
          <w:bCs w:val="1"/>
          <w:color w:val="852166"/>
          <w:vertAlign w:val="subscript"/>
        </w:rPr>
      </w:pPr>
    </w:p>
    <w:p>
      <w:pPr>
        <w:ind w:left="360" w:right="6320" w:hanging="275"/>
        <w:spacing w:after="0" w:line="182" w:lineRule="auto"/>
        <w:tabs>
          <w:tab w:leader="none" w:pos="360" w:val="left"/>
        </w:tabs>
        <w:numPr>
          <w:ilvl w:val="0"/>
          <w:numId w:val="49"/>
        </w:numPr>
        <w:rPr>
          <w:rFonts w:ascii="Wingdings" w:cs="Wingdings" w:eastAsia="Wingdings" w:hAnsi="Wingdings"/>
          <w:sz w:val="31"/>
          <w:szCs w:val="31"/>
          <w:b w:val="1"/>
          <w:bCs w:val="1"/>
          <w:color w:val="852166"/>
          <w:vertAlign w:val="subscript"/>
        </w:rPr>
      </w:pPr>
      <w:r>
        <w:rPr>
          <w:rFonts w:ascii="Arial" w:cs="Arial" w:eastAsia="Arial" w:hAnsi="Arial"/>
          <w:sz w:val="12"/>
          <w:szCs w:val="12"/>
          <w:color w:val="auto"/>
        </w:rPr>
        <w:t>Retain independent compensation consultant who reports directly to our compensation committee</w:t>
      </w:r>
    </w:p>
    <w:p>
      <w:pPr>
        <w:ind w:left="360" w:hanging="275"/>
        <w:spacing w:after="0" w:line="180" w:lineRule="auto"/>
        <w:tabs>
          <w:tab w:leader="none" w:pos="360" w:val="left"/>
        </w:tabs>
        <w:numPr>
          <w:ilvl w:val="0"/>
          <w:numId w:val="49"/>
        </w:numPr>
        <w:rPr>
          <w:rFonts w:ascii="Wingdings" w:cs="Wingdings" w:eastAsia="Wingdings" w:hAnsi="Wingdings"/>
          <w:sz w:val="34"/>
          <w:szCs w:val="34"/>
          <w:b w:val="1"/>
          <w:bCs w:val="1"/>
          <w:color w:val="852166"/>
          <w:vertAlign w:val="subscript"/>
        </w:rPr>
      </w:pPr>
      <w:r>
        <w:rPr>
          <w:rFonts w:ascii="Arial" w:cs="Arial" w:eastAsia="Arial" w:hAnsi="Arial"/>
          <w:sz w:val="13"/>
          <w:szCs w:val="13"/>
          <w:color w:val="auto"/>
        </w:rPr>
        <w:t>Meet regularly in executive session without management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-688340</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2023 Pay-for-Performance Overview</w:t>
      </w:r>
    </w:p>
    <w:p>
      <w:pPr>
        <w:spacing w:after="0" w:line="127" w:lineRule="exact"/>
        <w:rPr>
          <w:sz w:val="20"/>
          <w:szCs w:val="20"/>
          <w:color w:val="auto"/>
        </w:rPr>
      </w:pPr>
    </w:p>
    <w:p>
      <w:pPr>
        <w:ind w:right="460"/>
        <w:spacing w:after="0" w:line="319" w:lineRule="auto"/>
        <w:rPr>
          <w:sz w:val="20"/>
          <w:szCs w:val="20"/>
          <w:color w:val="auto"/>
        </w:rPr>
      </w:pPr>
      <w:r>
        <w:rPr>
          <w:rFonts w:ascii="Arial" w:cs="Arial" w:eastAsia="Arial" w:hAnsi="Arial"/>
          <w:sz w:val="16"/>
          <w:szCs w:val="16"/>
          <w:color w:val="auto"/>
        </w:rPr>
        <w:t>As discussed throughout this Compensation Discussion and Analysis, our executive compensation program is designed to align executive pay with the achievement of our most critical financial and strategic objectives and the creation of long-term, sustainable shareholder value. The following 2023 compensation payouts were directly impacted by our achievement of pre-determined performance objectives.</w:t>
      </w:r>
    </w:p>
    <w:p>
      <w:pPr>
        <w:spacing w:after="0" w:line="63"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b w:val="1"/>
          <w:bCs w:val="1"/>
          <w:i w:val="1"/>
          <w:iCs w:val="1"/>
          <w:color w:val="auto"/>
        </w:rPr>
        <w:t xml:space="preserve">Annual Performance Bonus </w:t>
      </w:r>
      <w:r>
        <w:rPr>
          <w:rFonts w:ascii="Arial" w:cs="Arial" w:eastAsia="Arial" w:hAnsi="Arial"/>
          <w:sz w:val="16"/>
          <w:szCs w:val="16"/>
          <w:color w:val="auto"/>
        </w:rPr>
        <w:t>– Our 2023 annual performance bonus program is described in more detail below under “2023 Performance Bonus Program.”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performance during 2023 against the bonus plan corporate objectives resulted in achievement at 95% of target.</w:t>
      </w:r>
    </w:p>
    <w:p>
      <w:pPr>
        <w:spacing w:after="0" w:line="61"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 xml:space="preserve">Long-Term Incentive </w:t>
      </w:r>
      <w:r>
        <w:rPr>
          <w:rFonts w:ascii="Arial" w:cs="Arial" w:eastAsia="Arial" w:hAnsi="Arial"/>
          <w:sz w:val="16"/>
          <w:szCs w:val="16"/>
          <w:color w:val="auto"/>
        </w:rPr>
        <w:t>– Our annual long-term incentive program consists of 50% time-vesting RSUs and 50% PSUs that are eligible to vest based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performance goals measured over a multi-year performance period. The PSUs granted for the 2021-2023 performance period provided senior executives the opportunity to earn share awards based on a mix of commercial and development goals measured from the close of our transaction with GW Pharmaceuticals on May 5, 2021, through December 31, 2023, modified by a TSR ranking versus peers, measured during the same period. Based on the achievement of the commercial and development objectives, the preliminary payout was 96% of target. However, our TSR ranked in the 26th percentile against peers, which reduced the payout by 24% based on the schedule that was established by our compensation committee at the time of grant. As a result, the final payout of the 2021-2023 PSU award cycle was 73% of target. Additional details about our PSU program and the 2021-2023 PSU award cycle are provided below under </w:t>
      </w:r>
      <w:r>
        <w:rPr>
          <w:rFonts w:ascii="Arial" w:cs="Arial" w:eastAsia="Arial" w:hAnsi="Arial"/>
          <w:sz w:val="16"/>
          <w:szCs w:val="16"/>
          <w:i w:val="1"/>
          <w:iCs w:val="1"/>
          <w:color w:val="auto"/>
        </w:rPr>
        <w:t>“Goals for and Achievement of 2023 Performance-Based Compensation—2023 – 2025 PSU Program” and “2023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Decisions for Our Named Executive Officers—Conclusion of Performance Period for 2021 PSUs.”</w:t>
      </w:r>
    </w:p>
    <w:p>
      <w:pPr>
        <w:spacing w:after="0" w:line="200" w:lineRule="exact"/>
        <w:rPr>
          <w:sz w:val="20"/>
          <w:szCs w:val="20"/>
          <w:color w:val="auto"/>
        </w:rPr>
      </w:pPr>
    </w:p>
    <w:p>
      <w:pPr>
        <w:spacing w:after="0" w:line="367"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6" w:name="page47"/>
    <w:bookmarkEnd w:id="46"/>
    <w:p>
      <w:pPr>
        <w:spacing w:after="0"/>
        <w:rPr>
          <w:sz w:val="20"/>
          <w:szCs w:val="20"/>
          <w:color w:val="auto"/>
        </w:rPr>
      </w:pPr>
      <w:r>
        <w:rPr>
          <w:rFonts w:ascii="Arial" w:cs="Arial" w:eastAsia="Arial" w:hAnsi="Arial"/>
          <w:sz w:val="20"/>
          <w:szCs w:val="20"/>
          <w:b w:val="1"/>
          <w:bCs w:val="1"/>
          <w:color w:val="852166"/>
        </w:rPr>
        <w:t>Compensation Philosophy and Objectives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program is designed to support the following philosophy and objectives:</w:t>
      </w:r>
    </w:p>
    <w:p>
      <w:pPr>
        <w:spacing w:after="0" w:line="154" w:lineRule="exact"/>
        <w:rPr>
          <w:sz w:val="20"/>
          <w:szCs w:val="20"/>
          <w:color w:val="auto"/>
        </w:rPr>
      </w:pPr>
    </w:p>
    <w:p>
      <w:pPr>
        <w:ind w:left="660" w:right="60" w:hanging="328"/>
        <w:spacing w:after="0" w:line="349" w:lineRule="auto"/>
        <w:tabs>
          <w:tab w:leader="none" w:pos="649"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Attract, incentivize, reward and retain diverse, talented individuals with relevant experience in the life sciences industry through a competitive pay structure. </w:t>
      </w:r>
      <w:r>
        <w:rPr>
          <w:rFonts w:ascii="Arial" w:cs="Arial" w:eastAsia="Arial" w:hAnsi="Arial"/>
          <w:sz w:val="16"/>
          <w:szCs w:val="16"/>
          <w:color w:val="auto"/>
        </w:rPr>
        <w:t>We reward individuals fairly over time and seek to retain those individuals who continue to meet our high expectations.</w:t>
      </w:r>
    </w:p>
    <w:p>
      <w:pPr>
        <w:spacing w:after="0" w:line="31" w:lineRule="exact"/>
        <w:rPr>
          <w:rFonts w:ascii="Arial" w:cs="Arial" w:eastAsia="Arial" w:hAnsi="Arial"/>
          <w:sz w:val="16"/>
          <w:szCs w:val="16"/>
          <w:b w:val="1"/>
          <w:bCs w:val="1"/>
          <w:color w:val="auto"/>
        </w:rPr>
      </w:pPr>
    </w:p>
    <w:p>
      <w:pPr>
        <w:ind w:left="660" w:right="60" w:hanging="328"/>
        <w:spacing w:after="0" w:line="306" w:lineRule="auto"/>
        <w:tabs>
          <w:tab w:leader="none" w:pos="649"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Deliver balanced total compensation packages to accomplish our business objectives and mission. </w:t>
      </w:r>
      <w:r>
        <w:rPr>
          <w:rFonts w:ascii="Arial" w:cs="Arial" w:eastAsia="Arial" w:hAnsi="Arial"/>
          <w:sz w:val="16"/>
          <w:szCs w:val="16"/>
          <w:color w:val="auto"/>
        </w:rPr>
        <w:t>Our executive compensation program</w:t>
      </w:r>
      <w:r>
        <w:rPr>
          <w:rFonts w:ascii="Arial" w:cs="Arial" w:eastAsia="Arial" w:hAnsi="Arial"/>
          <w:sz w:val="16"/>
          <w:szCs w:val="16"/>
          <w:b w:val="1"/>
          <w:bCs w:val="1"/>
          <w:color w:val="auto"/>
        </w:rPr>
        <w:t xml:space="preserve"> </w:t>
      </w:r>
      <w:r>
        <w:rPr>
          <w:rFonts w:ascii="Arial" w:cs="Arial" w:eastAsia="Arial" w:hAnsi="Arial"/>
          <w:sz w:val="16"/>
          <w:szCs w:val="16"/>
          <w:color w:val="auto"/>
        </w:rPr>
        <w:t>focuses on target total direct compensation, combining short-term and long-term components, cash and equity, and fixed and variable payments, in the proportions that we believe are the most appropriate to incentivize and reward our executive officers for achieving our corporate goals while minimizing incentives for excessive risk-taking or unethical conduct.</w:t>
      </w:r>
    </w:p>
    <w:p>
      <w:pPr>
        <w:spacing w:after="0" w:line="74" w:lineRule="exact"/>
        <w:rPr>
          <w:rFonts w:ascii="Arial" w:cs="Arial" w:eastAsia="Arial" w:hAnsi="Arial"/>
          <w:sz w:val="16"/>
          <w:szCs w:val="16"/>
          <w:b w:val="1"/>
          <w:bCs w:val="1"/>
          <w:color w:val="auto"/>
        </w:rPr>
      </w:pPr>
    </w:p>
    <w:p>
      <w:pPr>
        <w:ind w:left="660" w:right="60" w:hanging="328"/>
        <w:spacing w:after="0" w:line="303" w:lineRule="auto"/>
        <w:tabs>
          <w:tab w:leader="none" w:pos="649"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Align pay with our performance</w:t>
      </w:r>
      <w:r>
        <w:rPr>
          <w:rFonts w:ascii="Arial" w:cs="Arial" w:eastAsia="Arial" w:hAnsi="Arial"/>
          <w:sz w:val="16"/>
          <w:szCs w:val="16"/>
          <w:color w:val="auto"/>
        </w:rPr>
        <w:t>. As illustrated below, a substantial portion of our NEOs’ compensation opportunity is variable or “at-risk” and</w:t>
      </w:r>
      <w:r>
        <w:rPr>
          <w:rFonts w:ascii="Arial" w:cs="Arial" w:eastAsia="Arial" w:hAnsi="Arial"/>
          <w:sz w:val="16"/>
          <w:szCs w:val="16"/>
          <w:b w:val="1"/>
          <w:bCs w:val="1"/>
          <w:color w:val="auto"/>
        </w:rPr>
        <w:t xml:space="preserve"> </w:t>
      </w:r>
      <w:r>
        <w:rPr>
          <w:rFonts w:ascii="Arial" w:cs="Arial" w:eastAsia="Arial" w:hAnsi="Arial"/>
          <w:sz w:val="16"/>
          <w:szCs w:val="16"/>
          <w:color w:val="auto"/>
        </w:rPr>
        <w:t>dependent upon our performance. Our annual performance bonus awards are not earned unless pre-determined levels of performance are achieved against annual corporate objectives approved by our board, upon recommendation of our compensation committee, at the beginning of the year. Likewise, our PSUs are not earned unless pre-determined levels of performance are achieved and our RSUs will not provide increased value unless there is an increase in the value of our shares, which benefits all shareholders. We also have executive share ownership guidelines to further support our ownership culture and align the interests of executive officers and shareholders.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How We Determine Executive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Role of our Compensation Committee</w:t>
      </w:r>
    </w:p>
    <w:p>
      <w:pPr>
        <w:spacing w:after="0" w:line="140"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auto"/>
        </w:rPr>
        <w:t>We refer to our compensation committee in this proxy statement as our compensation committee. Our compensation committee is (and was at all times during 2023) composed entirely of independent directors, as defined by the Nasdaq listing standards applicable to the independence of compensation committee members. Our compensation committee meets as often as it determines necessary to carry out its duties and responsibilities through regularly scheduled meetings and, if necessary, special meetings. Our compensation committee also has the authority to take certain actions by written consent of all members. The agenda for each compensation committee meeting is usually developed by members of our human resources department and our CEO, with input from members of our legal department, and is reviewed and finalized with the chairperson of our compensation committee.</w:t>
      </w:r>
    </w:p>
    <w:p>
      <w:pPr>
        <w:spacing w:after="0" w:line="78"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Our compensation committee reviews and oversees our compensation policies, plans and programs and reviews and generally determines the compensation to be paid to the executive officers, including the NEOs. Our CEO’s compensation is approved by our compensation committee or the independent members of our board, upon recommendation from our compensation committee, after considering advice from its independent compensation consultant. References in this Compensation Discussion and Analysis to our board approving our CEO’s compensation are to the independent members of our board.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In making executive compensation determinations other than for our CEO, our compensation committee considers recommendations from our CEO.</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Role of Our CEO and Management</w:t>
      </w:r>
    </w:p>
    <w:p>
      <w:pPr>
        <w:spacing w:after="0" w:line="140"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In making his recommendations regarding executive compensation determinations, our CEO receives input from our human resources department and from the individuals who manage or report directly to the other executive officers, and he reviews various sources of market compensation data provided by the independent compensation consultant to our compensation committee, as described below. While our CEO discusses his recommendations for the other executive officers with our compensation committee, he does not participate in the deliberations and recommendations to our board concerning, or our board’s determination of, his own compensation. Members of our human resources department also attend compensation committee meetings.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407"/>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852166"/>
        </w:rPr>
        <w:t>Annual Executive Compensation Program Cycle</w:t>
      </w:r>
    </w:p>
    <w:p>
      <w:pPr>
        <w:spacing w:after="0" w:line="127" w:lineRule="exact"/>
        <w:rPr>
          <w:sz w:val="20"/>
          <w:szCs w:val="20"/>
          <w:color w:val="auto"/>
        </w:rPr>
      </w:pPr>
    </w:p>
    <w:p>
      <w:pPr>
        <w:ind w:right="860"/>
        <w:spacing w:after="0" w:line="339" w:lineRule="auto"/>
        <w:rPr>
          <w:sz w:val="20"/>
          <w:szCs w:val="20"/>
          <w:color w:val="auto"/>
        </w:rPr>
      </w:pPr>
      <w:r>
        <w:rPr>
          <w:rFonts w:ascii="Arial" w:cs="Arial" w:eastAsia="Arial" w:hAnsi="Arial"/>
          <w:sz w:val="16"/>
          <w:szCs w:val="16"/>
          <w:color w:val="auto"/>
        </w:rPr>
        <w:t>Below are the highlights of the annual cycle our compensation committee follows in reviewing and making decisions with respect to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543050" cy="3683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43050" cy="36830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p>
      <w:pPr>
        <w:spacing w:after="0" w:line="249"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852166"/>
        </w:rPr>
        <w:t>1Q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543050" cy="13373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43050" cy="1337310"/>
                    </a:xfrm>
                    <a:prstGeom prst="rect">
                      <a:avLst/>
                    </a:prstGeom>
                    <a:noFill/>
                  </pic:spPr>
                </pic:pic>
              </a:graphicData>
            </a:graphic>
          </wp:anchor>
        </w:drawing>
      </w:r>
    </w:p>
    <w:p>
      <w:pPr>
        <w:spacing w:after="0" w:line="273" w:lineRule="exact"/>
        <w:rPr>
          <w:sz w:val="20"/>
          <w:szCs w:val="20"/>
          <w:color w:val="auto"/>
        </w:rPr>
      </w:pPr>
    </w:p>
    <w:p>
      <w:pPr>
        <w:ind w:left="220" w:right="20"/>
        <w:spacing w:after="0" w:line="265" w:lineRule="auto"/>
        <w:rPr>
          <w:sz w:val="20"/>
          <w:szCs w:val="20"/>
          <w:color w:val="auto"/>
        </w:rPr>
      </w:pPr>
      <w:r>
        <w:rPr>
          <w:rFonts w:ascii="Arial" w:cs="Arial" w:eastAsia="Arial" w:hAnsi="Arial"/>
          <w:sz w:val="14"/>
          <w:szCs w:val="14"/>
          <w:color w:val="auto"/>
        </w:rPr>
        <w:t>Review prior year’s performance and determine bonus and PSU program payouts; establish goals for short and long-term incentive plans; set current-year market levels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15430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44"/>
        </w:trPr>
        <w:tc>
          <w:tcPr>
            <w:tcW w:w="2480" w:type="dxa"/>
            <w:vAlign w:val="bottom"/>
            <w:shd w:val="clear" w:color="auto" w:fill="B586A0"/>
          </w:tcPr>
          <w:p>
            <w:pPr>
              <w:ind w:left="1100"/>
              <w:spacing w:after="0"/>
              <w:rPr>
                <w:sz w:val="20"/>
                <w:szCs w:val="20"/>
                <w:color w:val="auto"/>
              </w:rPr>
            </w:pPr>
            <w:r>
              <w:rPr>
                <w:rFonts w:ascii="Arial" w:cs="Arial" w:eastAsia="Arial" w:hAnsi="Arial"/>
                <w:sz w:val="22"/>
                <w:szCs w:val="22"/>
                <w:b w:val="1"/>
                <w:bCs w:val="1"/>
                <w:color w:val="FFFFFF"/>
              </w:rPr>
              <w:t>2Q</w:t>
            </w:r>
          </w:p>
        </w:tc>
        <w:tc>
          <w:tcPr>
            <w:tcW w:w="460" w:type="dxa"/>
            <w:vAlign w:val="bottom"/>
          </w:tcPr>
          <w:p>
            <w:pPr>
              <w:spacing w:after="0"/>
              <w:rPr>
                <w:sz w:val="24"/>
                <w:szCs w:val="24"/>
                <w:color w:val="auto"/>
              </w:rPr>
            </w:pPr>
          </w:p>
        </w:tc>
        <w:tc>
          <w:tcPr>
            <w:tcW w:w="2500" w:type="dxa"/>
            <w:vAlign w:val="bottom"/>
            <w:shd w:val="clear" w:color="auto" w:fill="852166"/>
          </w:tcPr>
          <w:p>
            <w:pPr>
              <w:ind w:left="1100"/>
              <w:spacing w:after="0"/>
              <w:rPr>
                <w:sz w:val="20"/>
                <w:szCs w:val="20"/>
                <w:color w:val="auto"/>
              </w:rPr>
            </w:pPr>
            <w:r>
              <w:rPr>
                <w:rFonts w:ascii="Arial" w:cs="Arial" w:eastAsia="Arial" w:hAnsi="Arial"/>
                <w:sz w:val="22"/>
                <w:szCs w:val="22"/>
                <w:b w:val="1"/>
                <w:bCs w:val="1"/>
                <w:color w:val="FFFFFF"/>
              </w:rPr>
              <w:t>3Q</w:t>
            </w:r>
          </w:p>
        </w:tc>
        <w:tc>
          <w:tcPr>
            <w:tcW w:w="440" w:type="dxa"/>
            <w:vAlign w:val="bottom"/>
          </w:tcPr>
          <w:p>
            <w:pPr>
              <w:spacing w:after="0"/>
              <w:rPr>
                <w:sz w:val="24"/>
                <w:szCs w:val="24"/>
                <w:color w:val="auto"/>
              </w:rPr>
            </w:pPr>
          </w:p>
        </w:tc>
        <w:tc>
          <w:tcPr>
            <w:tcW w:w="2480" w:type="dxa"/>
            <w:vAlign w:val="bottom"/>
            <w:shd w:val="clear" w:color="auto" w:fill="001C71"/>
          </w:tcPr>
          <w:p>
            <w:pPr>
              <w:ind w:left="1100"/>
              <w:spacing w:after="0"/>
              <w:rPr>
                <w:sz w:val="20"/>
                <w:szCs w:val="20"/>
                <w:color w:val="auto"/>
              </w:rPr>
            </w:pPr>
            <w:r>
              <w:rPr>
                <w:rFonts w:ascii="Arial" w:cs="Arial" w:eastAsia="Arial" w:hAnsi="Arial"/>
                <w:sz w:val="22"/>
                <w:szCs w:val="22"/>
                <w:b w:val="1"/>
                <w:bCs w:val="1"/>
                <w:color w:val="FFFFFF"/>
              </w:rPr>
              <w:t>4Q</w:t>
            </w:r>
          </w:p>
        </w:tc>
      </w:tr>
      <w:tr>
        <w:trPr>
          <w:trHeight w:val="136"/>
        </w:trPr>
        <w:tc>
          <w:tcPr>
            <w:tcW w:w="2480" w:type="dxa"/>
            <w:vAlign w:val="bottom"/>
            <w:shd w:val="clear" w:color="auto" w:fill="B586A0"/>
          </w:tcPr>
          <w:p>
            <w:pPr>
              <w:spacing w:after="0"/>
              <w:rPr>
                <w:sz w:val="11"/>
                <w:szCs w:val="11"/>
                <w:color w:val="auto"/>
              </w:rPr>
            </w:pPr>
          </w:p>
        </w:tc>
        <w:tc>
          <w:tcPr>
            <w:tcW w:w="460" w:type="dxa"/>
            <w:vAlign w:val="bottom"/>
          </w:tcPr>
          <w:p>
            <w:pPr>
              <w:spacing w:after="0"/>
              <w:rPr>
                <w:sz w:val="11"/>
                <w:szCs w:val="11"/>
                <w:color w:val="auto"/>
              </w:rPr>
            </w:pPr>
          </w:p>
        </w:tc>
        <w:tc>
          <w:tcPr>
            <w:tcW w:w="2500" w:type="dxa"/>
            <w:vAlign w:val="bottom"/>
            <w:shd w:val="clear" w:color="auto" w:fill="852166"/>
          </w:tcPr>
          <w:p>
            <w:pPr>
              <w:spacing w:after="0"/>
              <w:rPr>
                <w:sz w:val="11"/>
                <w:szCs w:val="11"/>
                <w:color w:val="auto"/>
              </w:rPr>
            </w:pPr>
          </w:p>
        </w:tc>
        <w:tc>
          <w:tcPr>
            <w:tcW w:w="440" w:type="dxa"/>
            <w:vAlign w:val="bottom"/>
          </w:tcPr>
          <w:p>
            <w:pPr>
              <w:spacing w:after="0"/>
              <w:rPr>
                <w:sz w:val="11"/>
                <w:szCs w:val="11"/>
                <w:color w:val="auto"/>
              </w:rPr>
            </w:pPr>
          </w:p>
        </w:tc>
        <w:tc>
          <w:tcPr>
            <w:tcW w:w="2480" w:type="dxa"/>
            <w:vAlign w:val="bottom"/>
            <w:shd w:val="clear" w:color="auto" w:fill="001C71"/>
          </w:tcPr>
          <w:p>
            <w:pPr>
              <w:spacing w:after="0"/>
              <w:rPr>
                <w:sz w:val="11"/>
                <w:szCs w:val="11"/>
                <w:color w:val="auto"/>
              </w:rPr>
            </w:pPr>
          </w:p>
        </w:tc>
      </w:tr>
      <w:tr>
        <w:trPr>
          <w:trHeight w:val="288"/>
        </w:trPr>
        <w:tc>
          <w:tcPr>
            <w:tcW w:w="2480" w:type="dxa"/>
            <w:vAlign w:val="bottom"/>
            <w:shd w:val="clear" w:color="auto" w:fill="E9E9E9"/>
          </w:tcPr>
          <w:p>
            <w:pPr>
              <w:ind w:left="260"/>
              <w:spacing w:after="0"/>
              <w:rPr>
                <w:sz w:val="20"/>
                <w:szCs w:val="20"/>
                <w:color w:val="auto"/>
              </w:rPr>
            </w:pPr>
            <w:r>
              <w:rPr>
                <w:rFonts w:ascii="Arial" w:cs="Arial" w:eastAsia="Arial" w:hAnsi="Arial"/>
                <w:sz w:val="14"/>
                <w:szCs w:val="14"/>
                <w:color w:val="auto"/>
              </w:rPr>
              <w:t>Consider any compensation-</w:t>
            </w:r>
          </w:p>
        </w:tc>
        <w:tc>
          <w:tcPr>
            <w:tcW w:w="460" w:type="dxa"/>
            <w:vAlign w:val="bottom"/>
          </w:tcPr>
          <w:p>
            <w:pPr>
              <w:spacing w:after="0"/>
              <w:rPr>
                <w:sz w:val="24"/>
                <w:szCs w:val="24"/>
                <w:color w:val="auto"/>
              </w:rPr>
            </w:pPr>
          </w:p>
        </w:tc>
        <w:tc>
          <w:tcPr>
            <w:tcW w:w="2500" w:type="dxa"/>
            <w:vAlign w:val="bottom"/>
            <w:shd w:val="clear" w:color="auto" w:fill="E9E9E9"/>
          </w:tcPr>
          <w:p>
            <w:pPr>
              <w:ind w:left="240"/>
              <w:spacing w:after="0"/>
              <w:rPr>
                <w:sz w:val="20"/>
                <w:szCs w:val="20"/>
                <w:color w:val="auto"/>
              </w:rPr>
            </w:pPr>
            <w:r>
              <w:rPr>
                <w:rFonts w:ascii="Arial" w:cs="Arial" w:eastAsia="Arial" w:hAnsi="Arial"/>
                <w:sz w:val="14"/>
                <w:szCs w:val="14"/>
                <w:color w:val="auto"/>
              </w:rPr>
              <w:t>Review compensation-related</w:t>
            </w:r>
          </w:p>
        </w:tc>
        <w:tc>
          <w:tcPr>
            <w:tcW w:w="440" w:type="dxa"/>
            <w:vAlign w:val="bottom"/>
          </w:tcPr>
          <w:p>
            <w:pPr>
              <w:spacing w:after="0"/>
              <w:rPr>
                <w:sz w:val="24"/>
                <w:szCs w:val="24"/>
                <w:color w:val="auto"/>
              </w:rPr>
            </w:pPr>
          </w:p>
        </w:tc>
        <w:tc>
          <w:tcPr>
            <w:tcW w:w="2480" w:type="dxa"/>
            <w:vAlign w:val="bottom"/>
            <w:shd w:val="clear" w:color="auto" w:fill="E9E9E9"/>
          </w:tcPr>
          <w:p>
            <w:pPr>
              <w:ind w:left="240"/>
              <w:spacing w:after="0"/>
              <w:rPr>
                <w:sz w:val="20"/>
                <w:szCs w:val="20"/>
                <w:color w:val="auto"/>
              </w:rPr>
            </w:pPr>
            <w:r>
              <w:rPr>
                <w:rFonts w:ascii="Arial" w:cs="Arial" w:eastAsia="Arial" w:hAnsi="Arial"/>
                <w:sz w:val="14"/>
                <w:szCs w:val="14"/>
                <w:color w:val="auto"/>
              </w:rPr>
              <w:t>Discuss compensation</w:t>
            </w:r>
          </w:p>
        </w:tc>
      </w:tr>
      <w:tr>
        <w:trPr>
          <w:trHeight w:val="176"/>
        </w:trPr>
        <w:tc>
          <w:tcPr>
            <w:tcW w:w="2480" w:type="dxa"/>
            <w:vAlign w:val="bottom"/>
            <w:shd w:val="clear" w:color="auto" w:fill="E9E9E9"/>
          </w:tcPr>
          <w:p>
            <w:pPr>
              <w:ind w:left="260"/>
              <w:spacing w:after="0"/>
              <w:rPr>
                <w:sz w:val="20"/>
                <w:szCs w:val="20"/>
                <w:color w:val="auto"/>
              </w:rPr>
            </w:pPr>
            <w:r>
              <w:rPr>
                <w:rFonts w:ascii="Arial" w:cs="Arial" w:eastAsia="Arial" w:hAnsi="Arial"/>
                <w:sz w:val="14"/>
                <w:szCs w:val="14"/>
                <w:color w:val="auto"/>
              </w:rPr>
              <w:t>related proxy proposals and</w:t>
            </w:r>
          </w:p>
        </w:tc>
        <w:tc>
          <w:tcPr>
            <w:tcW w:w="460" w:type="dxa"/>
            <w:vAlign w:val="bottom"/>
          </w:tcPr>
          <w:p>
            <w:pPr>
              <w:spacing w:after="0"/>
              <w:rPr>
                <w:sz w:val="15"/>
                <w:szCs w:val="15"/>
                <w:color w:val="auto"/>
              </w:rPr>
            </w:pPr>
          </w:p>
        </w:tc>
        <w:tc>
          <w:tcPr>
            <w:tcW w:w="2500" w:type="dxa"/>
            <w:vAlign w:val="bottom"/>
            <w:shd w:val="clear" w:color="auto" w:fill="E9E9E9"/>
          </w:tcPr>
          <w:p>
            <w:pPr>
              <w:ind w:left="240"/>
              <w:spacing w:after="0"/>
              <w:rPr>
                <w:sz w:val="20"/>
                <w:szCs w:val="20"/>
                <w:color w:val="auto"/>
              </w:rPr>
            </w:pPr>
            <w:r>
              <w:rPr>
                <w:rFonts w:ascii="Arial" w:cs="Arial" w:eastAsia="Arial" w:hAnsi="Arial"/>
                <w:sz w:val="14"/>
                <w:szCs w:val="14"/>
                <w:color w:val="auto"/>
              </w:rPr>
              <w:t>corporate governance trends</w:t>
            </w:r>
          </w:p>
        </w:tc>
        <w:tc>
          <w:tcPr>
            <w:tcW w:w="440" w:type="dxa"/>
            <w:vAlign w:val="bottom"/>
          </w:tcPr>
          <w:p>
            <w:pPr>
              <w:spacing w:after="0"/>
              <w:rPr>
                <w:sz w:val="15"/>
                <w:szCs w:val="15"/>
                <w:color w:val="auto"/>
              </w:rPr>
            </w:pPr>
          </w:p>
        </w:tc>
        <w:tc>
          <w:tcPr>
            <w:tcW w:w="2480" w:type="dxa"/>
            <w:vAlign w:val="bottom"/>
            <w:shd w:val="clear" w:color="auto" w:fill="E9E9E9"/>
          </w:tcPr>
          <w:p>
            <w:pPr>
              <w:ind w:left="240"/>
              <w:spacing w:after="0"/>
              <w:rPr>
                <w:sz w:val="20"/>
                <w:szCs w:val="20"/>
                <w:color w:val="auto"/>
              </w:rPr>
            </w:pPr>
            <w:r>
              <w:rPr>
                <w:rFonts w:ascii="Arial" w:cs="Arial" w:eastAsia="Arial" w:hAnsi="Arial"/>
                <w:sz w:val="14"/>
                <w:szCs w:val="14"/>
                <w:color w:val="auto"/>
              </w:rPr>
              <w:t>philosophy and direction for</w:t>
            </w:r>
          </w:p>
        </w:tc>
      </w:tr>
      <w:tr>
        <w:trPr>
          <w:trHeight w:val="176"/>
        </w:trPr>
        <w:tc>
          <w:tcPr>
            <w:tcW w:w="2480" w:type="dxa"/>
            <w:vAlign w:val="bottom"/>
            <w:shd w:val="clear" w:color="auto" w:fill="E9E9E9"/>
          </w:tcPr>
          <w:p>
            <w:pPr>
              <w:ind w:left="260"/>
              <w:spacing w:after="0"/>
              <w:rPr>
                <w:sz w:val="20"/>
                <w:szCs w:val="20"/>
                <w:color w:val="auto"/>
              </w:rPr>
            </w:pPr>
            <w:r>
              <w:rPr>
                <w:rFonts w:ascii="Arial" w:cs="Arial" w:eastAsia="Arial" w:hAnsi="Arial"/>
                <w:sz w:val="14"/>
                <w:szCs w:val="14"/>
                <w:color w:val="auto"/>
              </w:rPr>
              <w:t>disclosures; review executive</w:t>
            </w:r>
          </w:p>
        </w:tc>
        <w:tc>
          <w:tcPr>
            <w:tcW w:w="460" w:type="dxa"/>
            <w:vAlign w:val="bottom"/>
          </w:tcPr>
          <w:p>
            <w:pPr>
              <w:spacing w:after="0"/>
              <w:rPr>
                <w:sz w:val="15"/>
                <w:szCs w:val="15"/>
                <w:color w:val="auto"/>
              </w:rPr>
            </w:pPr>
          </w:p>
        </w:tc>
        <w:tc>
          <w:tcPr>
            <w:tcW w:w="2500" w:type="dxa"/>
            <w:vAlign w:val="bottom"/>
            <w:shd w:val="clear" w:color="auto" w:fill="E9E9E9"/>
          </w:tcPr>
          <w:p>
            <w:pPr>
              <w:ind w:left="240"/>
              <w:spacing w:after="0"/>
              <w:rPr>
                <w:sz w:val="20"/>
                <w:szCs w:val="20"/>
                <w:color w:val="auto"/>
              </w:rPr>
            </w:pPr>
            <w:r>
              <w:rPr>
                <w:rFonts w:ascii="Arial" w:cs="Arial" w:eastAsia="Arial" w:hAnsi="Arial"/>
                <w:sz w:val="14"/>
                <w:szCs w:val="14"/>
                <w:color w:val="auto"/>
              </w:rPr>
              <w:t>and any feedback received</w:t>
            </w:r>
          </w:p>
        </w:tc>
        <w:tc>
          <w:tcPr>
            <w:tcW w:w="440" w:type="dxa"/>
            <w:vAlign w:val="bottom"/>
          </w:tcPr>
          <w:p>
            <w:pPr>
              <w:spacing w:after="0"/>
              <w:rPr>
                <w:sz w:val="15"/>
                <w:szCs w:val="15"/>
                <w:color w:val="auto"/>
              </w:rPr>
            </w:pPr>
          </w:p>
        </w:tc>
        <w:tc>
          <w:tcPr>
            <w:tcW w:w="2480" w:type="dxa"/>
            <w:vAlign w:val="bottom"/>
            <w:shd w:val="clear" w:color="auto" w:fill="E9E9E9"/>
          </w:tcPr>
          <w:p>
            <w:pPr>
              <w:ind w:left="240"/>
              <w:spacing w:after="0"/>
              <w:rPr>
                <w:sz w:val="20"/>
                <w:szCs w:val="20"/>
                <w:color w:val="auto"/>
              </w:rPr>
            </w:pPr>
            <w:r>
              <w:rPr>
                <w:rFonts w:ascii="Arial" w:cs="Arial" w:eastAsia="Arial" w:hAnsi="Arial"/>
                <w:sz w:val="14"/>
                <w:szCs w:val="14"/>
                <w:color w:val="auto"/>
              </w:rPr>
              <w:t>next year, including incentive</w:t>
            </w:r>
          </w:p>
        </w:tc>
      </w:tr>
      <w:tr>
        <w:trPr>
          <w:trHeight w:val="175"/>
        </w:trPr>
        <w:tc>
          <w:tcPr>
            <w:tcW w:w="2480" w:type="dxa"/>
            <w:vAlign w:val="bottom"/>
            <w:shd w:val="clear" w:color="auto" w:fill="E9E9E9"/>
          </w:tcPr>
          <w:p>
            <w:pPr>
              <w:ind w:left="260"/>
              <w:spacing w:after="0"/>
              <w:rPr>
                <w:sz w:val="20"/>
                <w:szCs w:val="20"/>
                <w:color w:val="auto"/>
              </w:rPr>
            </w:pPr>
            <w:r>
              <w:rPr>
                <w:rFonts w:ascii="Arial" w:cs="Arial" w:eastAsia="Arial" w:hAnsi="Arial"/>
                <w:sz w:val="14"/>
                <w:szCs w:val="14"/>
                <w:color w:val="auto"/>
              </w:rPr>
              <w:t>share ownership levels; review</w:t>
            </w:r>
          </w:p>
        </w:tc>
        <w:tc>
          <w:tcPr>
            <w:tcW w:w="460" w:type="dxa"/>
            <w:vAlign w:val="bottom"/>
          </w:tcPr>
          <w:p>
            <w:pPr>
              <w:spacing w:after="0"/>
              <w:rPr>
                <w:sz w:val="15"/>
                <w:szCs w:val="15"/>
                <w:color w:val="auto"/>
              </w:rPr>
            </w:pPr>
          </w:p>
        </w:tc>
        <w:tc>
          <w:tcPr>
            <w:tcW w:w="2500" w:type="dxa"/>
            <w:vAlign w:val="bottom"/>
            <w:shd w:val="clear" w:color="auto" w:fill="E9E9E9"/>
          </w:tcPr>
          <w:p>
            <w:pPr>
              <w:ind w:left="240"/>
              <w:spacing w:after="0"/>
              <w:rPr>
                <w:sz w:val="20"/>
                <w:szCs w:val="20"/>
                <w:color w:val="auto"/>
              </w:rPr>
            </w:pPr>
            <w:r>
              <w:rPr>
                <w:rFonts w:ascii="Arial" w:cs="Arial" w:eastAsia="Arial" w:hAnsi="Arial"/>
                <w:sz w:val="14"/>
                <w:szCs w:val="14"/>
                <w:color w:val="auto"/>
              </w:rPr>
              <w:t>from shareholders; discuss</w:t>
            </w:r>
          </w:p>
        </w:tc>
        <w:tc>
          <w:tcPr>
            <w:tcW w:w="440" w:type="dxa"/>
            <w:vAlign w:val="bottom"/>
          </w:tcPr>
          <w:p>
            <w:pPr>
              <w:spacing w:after="0"/>
              <w:rPr>
                <w:sz w:val="15"/>
                <w:szCs w:val="15"/>
                <w:color w:val="auto"/>
              </w:rPr>
            </w:pPr>
          </w:p>
        </w:tc>
        <w:tc>
          <w:tcPr>
            <w:tcW w:w="2480" w:type="dxa"/>
            <w:vAlign w:val="bottom"/>
            <w:shd w:val="clear" w:color="auto" w:fill="E9E9E9"/>
          </w:tcPr>
          <w:p>
            <w:pPr>
              <w:ind w:left="240"/>
              <w:spacing w:after="0"/>
              <w:rPr>
                <w:sz w:val="20"/>
                <w:szCs w:val="20"/>
                <w:color w:val="auto"/>
              </w:rPr>
            </w:pPr>
            <w:r>
              <w:rPr>
                <w:rFonts w:ascii="Arial" w:cs="Arial" w:eastAsia="Arial" w:hAnsi="Arial"/>
                <w:sz w:val="14"/>
                <w:szCs w:val="14"/>
                <w:color w:val="auto"/>
              </w:rPr>
              <w:t>plan designs</w:t>
            </w:r>
          </w:p>
        </w:tc>
      </w:tr>
      <w:tr>
        <w:trPr>
          <w:trHeight w:val="162"/>
        </w:trPr>
        <w:tc>
          <w:tcPr>
            <w:tcW w:w="2480" w:type="dxa"/>
            <w:vAlign w:val="bottom"/>
            <w:shd w:val="clear" w:color="auto" w:fill="E9E9E9"/>
          </w:tcPr>
          <w:p>
            <w:pPr>
              <w:ind w:left="260"/>
              <w:spacing w:after="0"/>
              <w:rPr>
                <w:sz w:val="20"/>
                <w:szCs w:val="20"/>
                <w:color w:val="auto"/>
              </w:rPr>
            </w:pPr>
            <w:r>
              <w:rPr>
                <w:rFonts w:ascii="Arial" w:cs="Arial" w:eastAsia="Arial" w:hAnsi="Arial"/>
                <w:sz w:val="14"/>
                <w:szCs w:val="14"/>
                <w:color w:val="auto"/>
              </w:rPr>
              <w:t>non-employee director</w:t>
            </w:r>
          </w:p>
        </w:tc>
        <w:tc>
          <w:tcPr>
            <w:tcW w:w="460" w:type="dxa"/>
            <w:vAlign w:val="bottom"/>
          </w:tcPr>
          <w:p>
            <w:pPr>
              <w:spacing w:after="0"/>
              <w:rPr>
                <w:sz w:val="14"/>
                <w:szCs w:val="14"/>
                <w:color w:val="auto"/>
              </w:rPr>
            </w:pPr>
          </w:p>
        </w:tc>
        <w:tc>
          <w:tcPr>
            <w:tcW w:w="2500" w:type="dxa"/>
            <w:vAlign w:val="bottom"/>
            <w:shd w:val="clear" w:color="auto" w:fill="E9E9E9"/>
          </w:tcPr>
          <w:p>
            <w:pPr>
              <w:ind w:left="240"/>
              <w:spacing w:after="0"/>
              <w:rPr>
                <w:sz w:val="20"/>
                <w:szCs w:val="20"/>
                <w:color w:val="auto"/>
              </w:rPr>
            </w:pPr>
            <w:r>
              <w:rPr>
                <w:rFonts w:ascii="Arial" w:cs="Arial" w:eastAsia="Arial" w:hAnsi="Arial"/>
                <w:sz w:val="14"/>
                <w:szCs w:val="14"/>
                <w:color w:val="auto"/>
              </w:rPr>
              <w:t>talent and succession planning</w:t>
            </w:r>
          </w:p>
        </w:tc>
        <w:tc>
          <w:tcPr>
            <w:tcW w:w="440" w:type="dxa"/>
            <w:vAlign w:val="bottom"/>
          </w:tcPr>
          <w:p>
            <w:pPr>
              <w:spacing w:after="0"/>
              <w:rPr>
                <w:sz w:val="14"/>
                <w:szCs w:val="14"/>
                <w:color w:val="auto"/>
              </w:rPr>
            </w:pPr>
          </w:p>
        </w:tc>
        <w:tc>
          <w:tcPr>
            <w:tcW w:w="2480" w:type="dxa"/>
            <w:vAlign w:val="bottom"/>
            <w:shd w:val="clear" w:color="auto" w:fill="E9E9E9"/>
          </w:tcPr>
          <w:p>
            <w:pPr>
              <w:spacing w:after="0"/>
              <w:rPr>
                <w:sz w:val="14"/>
                <w:szCs w:val="14"/>
                <w:color w:val="auto"/>
              </w:rPr>
            </w:pPr>
          </w:p>
        </w:tc>
      </w:tr>
      <w:tr>
        <w:trPr>
          <w:trHeight w:val="176"/>
        </w:trPr>
        <w:tc>
          <w:tcPr>
            <w:tcW w:w="2480" w:type="dxa"/>
            <w:vAlign w:val="bottom"/>
            <w:shd w:val="clear" w:color="auto" w:fill="E9E9E9"/>
          </w:tcPr>
          <w:p>
            <w:pPr>
              <w:ind w:left="260"/>
              <w:spacing w:after="0"/>
              <w:rPr>
                <w:sz w:val="20"/>
                <w:szCs w:val="20"/>
                <w:color w:val="auto"/>
              </w:rPr>
            </w:pPr>
            <w:r>
              <w:rPr>
                <w:rFonts w:ascii="Arial" w:cs="Arial" w:eastAsia="Arial" w:hAnsi="Arial"/>
                <w:sz w:val="14"/>
                <w:szCs w:val="14"/>
                <w:color w:val="auto"/>
              </w:rPr>
              <w:t>compensation</w:t>
            </w:r>
          </w:p>
        </w:tc>
        <w:tc>
          <w:tcPr>
            <w:tcW w:w="460" w:type="dxa"/>
            <w:vAlign w:val="bottom"/>
          </w:tcPr>
          <w:p>
            <w:pPr>
              <w:spacing w:after="0"/>
              <w:rPr>
                <w:sz w:val="15"/>
                <w:szCs w:val="15"/>
                <w:color w:val="auto"/>
              </w:rPr>
            </w:pPr>
          </w:p>
        </w:tc>
        <w:tc>
          <w:tcPr>
            <w:tcW w:w="2500" w:type="dxa"/>
            <w:vAlign w:val="bottom"/>
            <w:shd w:val="clear" w:color="auto" w:fill="E9E9E9"/>
          </w:tcPr>
          <w:p>
            <w:pPr>
              <w:ind w:left="240"/>
              <w:spacing w:after="0"/>
              <w:rPr>
                <w:sz w:val="20"/>
                <w:szCs w:val="20"/>
                <w:color w:val="auto"/>
              </w:rPr>
            </w:pPr>
            <w:r>
              <w:rPr>
                <w:rFonts w:ascii="Arial" w:cs="Arial" w:eastAsia="Arial" w:hAnsi="Arial"/>
                <w:sz w:val="14"/>
                <w:szCs w:val="14"/>
                <w:color w:val="auto"/>
              </w:rPr>
              <w:t>for CEO and other senior</w:t>
            </w:r>
          </w:p>
        </w:tc>
        <w:tc>
          <w:tcPr>
            <w:tcW w:w="440" w:type="dxa"/>
            <w:vAlign w:val="bottom"/>
          </w:tcPr>
          <w:p>
            <w:pPr>
              <w:spacing w:after="0"/>
              <w:rPr>
                <w:sz w:val="15"/>
                <w:szCs w:val="15"/>
                <w:color w:val="auto"/>
              </w:rPr>
            </w:pPr>
          </w:p>
        </w:tc>
        <w:tc>
          <w:tcPr>
            <w:tcW w:w="2480" w:type="dxa"/>
            <w:vAlign w:val="bottom"/>
            <w:shd w:val="clear" w:color="auto" w:fill="E9E9E9"/>
          </w:tcPr>
          <w:p>
            <w:pPr>
              <w:spacing w:after="0"/>
              <w:rPr>
                <w:sz w:val="15"/>
                <w:szCs w:val="15"/>
                <w:color w:val="auto"/>
              </w:rPr>
            </w:pPr>
          </w:p>
        </w:tc>
      </w:tr>
      <w:tr>
        <w:trPr>
          <w:trHeight w:val="176"/>
        </w:trPr>
        <w:tc>
          <w:tcPr>
            <w:tcW w:w="2480" w:type="dxa"/>
            <w:vAlign w:val="bottom"/>
            <w:shd w:val="clear" w:color="auto" w:fill="E9E9E9"/>
          </w:tcPr>
          <w:p>
            <w:pPr>
              <w:spacing w:after="0"/>
              <w:rPr>
                <w:sz w:val="15"/>
                <w:szCs w:val="15"/>
                <w:color w:val="auto"/>
              </w:rPr>
            </w:pPr>
          </w:p>
        </w:tc>
        <w:tc>
          <w:tcPr>
            <w:tcW w:w="460" w:type="dxa"/>
            <w:vAlign w:val="bottom"/>
          </w:tcPr>
          <w:p>
            <w:pPr>
              <w:spacing w:after="0"/>
              <w:rPr>
                <w:sz w:val="15"/>
                <w:szCs w:val="15"/>
                <w:color w:val="auto"/>
              </w:rPr>
            </w:pPr>
          </w:p>
        </w:tc>
        <w:tc>
          <w:tcPr>
            <w:tcW w:w="2500" w:type="dxa"/>
            <w:vAlign w:val="bottom"/>
            <w:shd w:val="clear" w:color="auto" w:fill="E9E9E9"/>
          </w:tcPr>
          <w:p>
            <w:pPr>
              <w:ind w:left="240"/>
              <w:spacing w:after="0"/>
              <w:rPr>
                <w:sz w:val="20"/>
                <w:szCs w:val="20"/>
                <w:color w:val="auto"/>
              </w:rPr>
            </w:pPr>
            <w:r>
              <w:rPr>
                <w:rFonts w:ascii="Arial" w:cs="Arial" w:eastAsia="Arial" w:hAnsi="Arial"/>
                <w:sz w:val="14"/>
                <w:szCs w:val="14"/>
                <w:color w:val="auto"/>
              </w:rPr>
              <w:t>management roles; determine</w:t>
            </w:r>
          </w:p>
        </w:tc>
        <w:tc>
          <w:tcPr>
            <w:tcW w:w="440" w:type="dxa"/>
            <w:vAlign w:val="bottom"/>
          </w:tcPr>
          <w:p>
            <w:pPr>
              <w:spacing w:after="0"/>
              <w:rPr>
                <w:sz w:val="15"/>
                <w:szCs w:val="15"/>
                <w:color w:val="auto"/>
              </w:rPr>
            </w:pPr>
          </w:p>
        </w:tc>
        <w:tc>
          <w:tcPr>
            <w:tcW w:w="2480" w:type="dxa"/>
            <w:vAlign w:val="bottom"/>
            <w:shd w:val="clear" w:color="auto" w:fill="E9E9E9"/>
          </w:tcPr>
          <w:p>
            <w:pPr>
              <w:spacing w:after="0"/>
              <w:rPr>
                <w:sz w:val="15"/>
                <w:szCs w:val="15"/>
                <w:color w:val="auto"/>
              </w:rPr>
            </w:pPr>
          </w:p>
        </w:tc>
      </w:tr>
      <w:tr>
        <w:trPr>
          <w:trHeight w:val="190"/>
        </w:trPr>
        <w:tc>
          <w:tcPr>
            <w:tcW w:w="2480" w:type="dxa"/>
            <w:vAlign w:val="bottom"/>
            <w:shd w:val="clear" w:color="auto" w:fill="E9E9E9"/>
          </w:tcPr>
          <w:p>
            <w:pPr>
              <w:spacing w:after="0"/>
              <w:rPr>
                <w:sz w:val="16"/>
                <w:szCs w:val="16"/>
                <w:color w:val="auto"/>
              </w:rPr>
            </w:pPr>
          </w:p>
        </w:tc>
        <w:tc>
          <w:tcPr>
            <w:tcW w:w="460" w:type="dxa"/>
            <w:vAlign w:val="bottom"/>
          </w:tcPr>
          <w:p>
            <w:pPr>
              <w:spacing w:after="0"/>
              <w:rPr>
                <w:sz w:val="16"/>
                <w:szCs w:val="16"/>
                <w:color w:val="auto"/>
              </w:rPr>
            </w:pPr>
          </w:p>
        </w:tc>
        <w:tc>
          <w:tcPr>
            <w:tcW w:w="2500" w:type="dxa"/>
            <w:vAlign w:val="bottom"/>
            <w:shd w:val="clear" w:color="auto" w:fill="E9E9E9"/>
          </w:tcPr>
          <w:p>
            <w:pPr>
              <w:ind w:left="240"/>
              <w:spacing w:after="0"/>
              <w:rPr>
                <w:sz w:val="20"/>
                <w:szCs w:val="20"/>
                <w:color w:val="auto"/>
              </w:rPr>
            </w:pPr>
            <w:r>
              <w:rPr>
                <w:rFonts w:ascii="Arial" w:cs="Arial" w:eastAsia="Arial" w:hAnsi="Arial"/>
                <w:sz w:val="14"/>
                <w:szCs w:val="14"/>
                <w:color w:val="auto"/>
              </w:rPr>
              <w:t>peer group for next year</w:t>
            </w:r>
          </w:p>
        </w:tc>
        <w:tc>
          <w:tcPr>
            <w:tcW w:w="440" w:type="dxa"/>
            <w:vAlign w:val="bottom"/>
          </w:tcPr>
          <w:p>
            <w:pPr>
              <w:spacing w:after="0"/>
              <w:rPr>
                <w:sz w:val="16"/>
                <w:szCs w:val="16"/>
                <w:color w:val="auto"/>
              </w:rPr>
            </w:pPr>
          </w:p>
        </w:tc>
        <w:tc>
          <w:tcPr>
            <w:tcW w:w="2480" w:type="dxa"/>
            <w:vAlign w:val="bottom"/>
            <w:shd w:val="clear" w:color="auto" w:fill="E9E9E9"/>
          </w:tcPr>
          <w:p>
            <w:pPr>
              <w:spacing w:after="0"/>
              <w:rPr>
                <w:sz w:val="16"/>
                <w:szCs w:val="16"/>
                <w:color w:val="auto"/>
              </w:rPr>
            </w:pPr>
          </w:p>
        </w:tc>
      </w:tr>
      <w:tr>
        <w:trPr>
          <w:trHeight w:val="103"/>
        </w:trPr>
        <w:tc>
          <w:tcPr>
            <w:tcW w:w="2480" w:type="dxa"/>
            <w:vAlign w:val="bottom"/>
            <w:tcBorders>
              <w:bottom w:val="single" w:sz="8" w:color="852166"/>
            </w:tcBorders>
            <w:shd w:val="clear" w:color="auto" w:fill="E9E9E9"/>
          </w:tcPr>
          <w:p>
            <w:pPr>
              <w:spacing w:after="0"/>
              <w:rPr>
                <w:sz w:val="8"/>
                <w:szCs w:val="8"/>
                <w:color w:val="auto"/>
              </w:rPr>
            </w:pPr>
          </w:p>
        </w:tc>
        <w:tc>
          <w:tcPr>
            <w:tcW w:w="460" w:type="dxa"/>
            <w:vAlign w:val="bottom"/>
          </w:tcPr>
          <w:p>
            <w:pPr>
              <w:spacing w:after="0"/>
              <w:rPr>
                <w:sz w:val="8"/>
                <w:szCs w:val="8"/>
                <w:color w:val="auto"/>
              </w:rPr>
            </w:pPr>
          </w:p>
        </w:tc>
        <w:tc>
          <w:tcPr>
            <w:tcW w:w="2500" w:type="dxa"/>
            <w:vAlign w:val="bottom"/>
            <w:tcBorders>
              <w:bottom w:val="single" w:sz="8" w:color="852166"/>
            </w:tcBorders>
            <w:shd w:val="clear" w:color="auto" w:fill="E9E9E9"/>
          </w:tcPr>
          <w:p>
            <w:pPr>
              <w:spacing w:after="0"/>
              <w:rPr>
                <w:sz w:val="8"/>
                <w:szCs w:val="8"/>
                <w:color w:val="auto"/>
              </w:rPr>
            </w:pPr>
          </w:p>
        </w:tc>
        <w:tc>
          <w:tcPr>
            <w:tcW w:w="440" w:type="dxa"/>
            <w:vAlign w:val="bottom"/>
          </w:tcPr>
          <w:p>
            <w:pPr>
              <w:spacing w:after="0"/>
              <w:rPr>
                <w:sz w:val="8"/>
                <w:szCs w:val="8"/>
                <w:color w:val="auto"/>
              </w:rPr>
            </w:pPr>
          </w:p>
        </w:tc>
        <w:tc>
          <w:tcPr>
            <w:tcW w:w="2480" w:type="dxa"/>
            <w:vAlign w:val="bottom"/>
            <w:tcBorders>
              <w:bottom w:val="single" w:sz="8" w:color="852166"/>
            </w:tcBorders>
            <w:shd w:val="clear" w:color="auto" w:fill="E9E9E9"/>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-1345565</wp:posOffset>
            </wp:positionV>
            <wp:extent cx="188595"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1630680</wp:posOffset>
            </wp:positionH>
            <wp:positionV relativeFrom="paragraph">
              <wp:posOffset>-1345565</wp:posOffset>
            </wp:positionV>
            <wp:extent cx="188595"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-1345565</wp:posOffset>
            </wp:positionV>
            <wp:extent cx="188595"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720"/>
            <w:col w:w="8360"/>
          </w:cols>
          <w:pgMar w:left="320" w:top="1057" w:right="339" w:bottom="1440" w:gutter="0" w:footer="0" w:header="0"/>
          <w:type w:val="continuous"/>
        </w:sectPr>
      </w:pP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Role of the Independent Compensation Consultant</w:t>
      </w:r>
    </w:p>
    <w:p>
      <w:pPr>
        <w:spacing w:after="0" w:line="127"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Our compensation committee engages an independent compensation consultant each year to provide a competitive compensation assessment with respect to the executive officers to assist our compensation committee in making annual compensation decisions. Since 2010, Aon’s Human Capital Solutions practice, a division of Aon plc, or Aon, has been engaged by our compensation committee. Aon supports our compensation committee in addressing the design of the peer group, provides industry compensation data, when requested, provides our compensation committee with advice regarding executive officers’ compensation, including base salaries, performance-based bonuses and long-term equity compensation, and similar advice regarding non-employee directors’ compensation. Our compensation committee has also consulted with Aon to update the peer company and industry compensation data on an annual basis and address specific questions that arise as the committee fulfills their responsibilities as outlined in our compensation committee charter. Aon provides support in addressing changes in trends and best practices for executive compensation, incentive and equity compensation and/or other best practices that are requested by our compensation committee, in order to help inform our compensation committee’s decisions. Aon reports directly to our compensation committee, which maintains the authority to direct Aon’s work and engagement. As requested, and under the purview of our compensation committee, Aon may advise the human resources department on projects from time to time. Aon interacts with management to gain access to company information that is required to perform services and to understand the culture and policies of the organization. Aon attends compensation committee meetings, and our compensation committee and Aon meet in executive session with no members of management present, as needed, to address various compensation matters, including deliberations regarding our CEO’s compensation.</w:t>
      </w:r>
    </w:p>
    <w:p>
      <w:pPr>
        <w:spacing w:after="0" w:line="85"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In assessing Aon’s independence from management in providing executive compensation services to our compensation committee, our compensation committee considered that Aon is only engaged by, takes direction from, and reports to, our compensation committee for such services and, accordingly, only our compensation committee has the right to terminate or replace Aon as its compensation consultant at any time. Our compensation committee also analyzed whether the work of Aon as a compensation consultant with respect to executive and director compensation raised any conflict of interest, taking into consideration the following factors:</w:t>
      </w:r>
    </w:p>
    <w:p>
      <w:pPr>
        <w:sectPr>
          <w:pgSz w:w="11900" w:h="16838" w:orient="portrait"/>
          <w:cols w:equalWidth="0" w:num="1">
            <w:col w:w="11240"/>
          </w:cols>
          <w:pgMar w:left="320" w:top="1057" w:right="339" w:bottom="1440" w:gutter="0" w:footer="0" w:header="0"/>
          <w:type w:val="continuous"/>
        </w:sectPr>
      </w:pPr>
    </w:p>
    <w:p>
      <w:pPr>
        <w:spacing w:after="0" w:line="99" w:lineRule="exact"/>
        <w:rPr>
          <w:sz w:val="20"/>
          <w:szCs w:val="20"/>
          <w:color w:val="auto"/>
        </w:rPr>
      </w:pPr>
    </w:p>
    <w:p>
      <w:pPr>
        <w:ind w:left="20"/>
        <w:spacing w:after="0"/>
        <w:rPr>
          <w:sz w:val="20"/>
          <w:szCs w:val="20"/>
          <w:color w:val="auto"/>
        </w:rPr>
      </w:pPr>
      <w:r>
        <w:rPr>
          <w:rFonts w:ascii="Wingdings" w:cs="Wingdings" w:eastAsia="Wingdings" w:hAnsi="Wingdings"/>
          <w:sz w:val="22"/>
          <w:szCs w:val="22"/>
          <w:b w:val="1"/>
          <w:bCs w:val="1"/>
          <w:color w:val="852166"/>
        </w:rPr>
        <w:t>ü</w:t>
      </w:r>
      <w:r>
        <w:rPr>
          <w:rFonts w:ascii="Arial" w:cs="Arial" w:eastAsia="Arial" w:hAnsi="Arial"/>
          <w:sz w:val="16"/>
          <w:szCs w:val="16"/>
          <w:color w:val="000000"/>
        </w:rPr>
        <w:t xml:space="preserve">  the provision of other services to us by Aon and its affiliates</w:t>
      </w:r>
    </w:p>
    <w:p>
      <w:pPr>
        <w:spacing w:after="0" w:line="134" w:lineRule="exact"/>
        <w:rPr>
          <w:sz w:val="20"/>
          <w:szCs w:val="20"/>
          <w:color w:val="auto"/>
        </w:rPr>
      </w:pPr>
    </w:p>
    <w:p>
      <w:pPr>
        <w:ind w:left="260" w:right="260" w:hanging="242"/>
        <w:spacing w:after="0" w:line="227" w:lineRule="auto"/>
        <w:rPr>
          <w:sz w:val="20"/>
          <w:szCs w:val="20"/>
          <w:color w:val="auto"/>
        </w:rPr>
      </w:pPr>
      <w:r>
        <w:rPr>
          <w:rFonts w:ascii="Wingdings" w:cs="Wingdings" w:eastAsia="Wingdings" w:hAnsi="Wingdings"/>
          <w:sz w:val="22"/>
          <w:szCs w:val="22"/>
          <w:b w:val="1"/>
          <w:bCs w:val="1"/>
          <w:color w:val="852166"/>
        </w:rPr>
        <w:t>ü</w:t>
      </w:r>
      <w:r>
        <w:rPr>
          <w:rFonts w:ascii="Arial" w:cs="Arial" w:eastAsia="Arial" w:hAnsi="Arial"/>
          <w:sz w:val="16"/>
          <w:szCs w:val="16"/>
          <w:color w:val="000000"/>
        </w:rPr>
        <w:t xml:space="preserve">  the amount of fees we paid to Aon and its affiliates as a percentage of</w:t>
      </w:r>
      <w:r>
        <w:rPr>
          <w:rFonts w:ascii="Wingdings" w:cs="Wingdings" w:eastAsia="Wingdings" w:hAnsi="Wingdings"/>
          <w:sz w:val="22"/>
          <w:szCs w:val="22"/>
          <w:b w:val="1"/>
          <w:bCs w:val="1"/>
          <w:color w:val="852166"/>
        </w:rPr>
        <w:t xml:space="preserve"> </w:t>
      </w:r>
      <w:r>
        <w:rPr>
          <w:rFonts w:ascii="Arial" w:cs="Arial" w:eastAsia="Arial" w:hAnsi="Arial"/>
          <w:sz w:val="16"/>
          <w:szCs w:val="16"/>
          <w:color w:val="000000"/>
        </w:rPr>
        <w:t>Aon’s total revenue;</w:t>
      </w:r>
    </w:p>
    <w:p>
      <w:pPr>
        <w:spacing w:after="0" w:line="119" w:lineRule="exact"/>
        <w:rPr>
          <w:sz w:val="20"/>
          <w:szCs w:val="20"/>
          <w:color w:val="auto"/>
        </w:rPr>
      </w:pPr>
    </w:p>
    <w:p>
      <w:pPr>
        <w:ind w:left="260" w:right="80" w:hanging="242"/>
        <w:spacing w:after="0" w:line="227" w:lineRule="auto"/>
        <w:rPr>
          <w:sz w:val="20"/>
          <w:szCs w:val="20"/>
          <w:color w:val="auto"/>
        </w:rPr>
      </w:pPr>
      <w:r>
        <w:rPr>
          <w:rFonts w:ascii="Wingdings" w:cs="Wingdings" w:eastAsia="Wingdings" w:hAnsi="Wingdings"/>
          <w:sz w:val="22"/>
          <w:szCs w:val="22"/>
          <w:b w:val="1"/>
          <w:bCs w:val="1"/>
          <w:color w:val="852166"/>
        </w:rPr>
        <w:t>ü</w:t>
      </w:r>
      <w:r>
        <w:rPr>
          <w:rFonts w:ascii="Arial" w:cs="Arial" w:eastAsia="Arial" w:hAnsi="Arial"/>
          <w:sz w:val="16"/>
          <w:szCs w:val="16"/>
          <w:color w:val="000000"/>
        </w:rPr>
        <w:t xml:space="preserve">  any business or personal relationship of Aon or the individual</w:t>
      </w:r>
      <w:r>
        <w:rPr>
          <w:rFonts w:ascii="Wingdings" w:cs="Wingdings" w:eastAsia="Wingdings" w:hAnsi="Wingdings"/>
          <w:sz w:val="22"/>
          <w:szCs w:val="22"/>
          <w:b w:val="1"/>
          <w:bCs w:val="1"/>
          <w:color w:val="852166"/>
        </w:rPr>
        <w:t xml:space="preserve"> </w:t>
      </w:r>
      <w:r>
        <w:rPr>
          <w:rFonts w:ascii="Arial" w:cs="Arial" w:eastAsia="Arial" w:hAnsi="Arial"/>
          <w:sz w:val="16"/>
          <w:szCs w:val="16"/>
          <w:color w:val="000000"/>
        </w:rPr>
        <w:t>compensation advisors employed by it with any of our executive officers;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80" w:hanging="242"/>
        <w:spacing w:after="0" w:line="227" w:lineRule="auto"/>
        <w:rPr>
          <w:sz w:val="20"/>
          <w:szCs w:val="20"/>
          <w:color w:val="auto"/>
        </w:rPr>
      </w:pPr>
      <w:r>
        <w:rPr>
          <w:rFonts w:ascii="Wingdings" w:cs="Wingdings" w:eastAsia="Wingdings" w:hAnsi="Wingdings"/>
          <w:sz w:val="22"/>
          <w:szCs w:val="22"/>
          <w:b w:val="1"/>
          <w:bCs w:val="1"/>
          <w:color w:val="852166"/>
        </w:rPr>
        <w:t>ü</w:t>
      </w:r>
      <w:r>
        <w:rPr>
          <w:rFonts w:ascii="Arial" w:cs="Arial" w:eastAsia="Arial" w:hAnsi="Arial"/>
          <w:sz w:val="16"/>
          <w:szCs w:val="16"/>
          <w:color w:val="000000"/>
        </w:rPr>
        <w:t xml:space="preserve">  any business or personal relationship of the individual compensation</w:t>
      </w:r>
      <w:r>
        <w:rPr>
          <w:rFonts w:ascii="Wingdings" w:cs="Wingdings" w:eastAsia="Wingdings" w:hAnsi="Wingdings"/>
          <w:sz w:val="22"/>
          <w:szCs w:val="22"/>
          <w:b w:val="1"/>
          <w:bCs w:val="1"/>
          <w:color w:val="852166"/>
        </w:rPr>
        <w:t xml:space="preserve"> </w:t>
      </w:r>
      <w:r>
        <w:rPr>
          <w:rFonts w:ascii="Arial" w:cs="Arial" w:eastAsia="Arial" w:hAnsi="Arial"/>
          <w:sz w:val="16"/>
          <w:szCs w:val="16"/>
          <w:color w:val="000000"/>
        </w:rPr>
        <w:t>advisors with any compensation committee member;</w:t>
      </w:r>
    </w:p>
    <w:p>
      <w:pPr>
        <w:spacing w:after="0" w:line="119" w:lineRule="exact"/>
        <w:rPr>
          <w:sz w:val="20"/>
          <w:szCs w:val="20"/>
          <w:color w:val="auto"/>
        </w:rPr>
      </w:pPr>
    </w:p>
    <w:p>
      <w:pPr>
        <w:ind w:right="120" w:hanging="242"/>
        <w:spacing w:after="0" w:line="227" w:lineRule="auto"/>
        <w:rPr>
          <w:sz w:val="20"/>
          <w:szCs w:val="20"/>
          <w:color w:val="auto"/>
        </w:rPr>
      </w:pPr>
      <w:r>
        <w:rPr>
          <w:rFonts w:ascii="Wingdings" w:cs="Wingdings" w:eastAsia="Wingdings" w:hAnsi="Wingdings"/>
          <w:sz w:val="22"/>
          <w:szCs w:val="22"/>
          <w:b w:val="1"/>
          <w:bCs w:val="1"/>
          <w:color w:val="852166"/>
        </w:rPr>
        <w:t>ü</w:t>
      </w:r>
      <w:r>
        <w:rPr>
          <w:rFonts w:ascii="Arial" w:cs="Arial" w:eastAsia="Arial" w:hAnsi="Arial"/>
          <w:sz w:val="16"/>
          <w:szCs w:val="16"/>
          <w:color w:val="000000"/>
        </w:rPr>
        <w:t xml:space="preserve">  Aon’s policies and procedures that are designed to prevent conflicts</w:t>
      </w:r>
      <w:r>
        <w:rPr>
          <w:rFonts w:ascii="Wingdings" w:cs="Wingdings" w:eastAsia="Wingdings" w:hAnsi="Wingdings"/>
          <w:sz w:val="22"/>
          <w:szCs w:val="22"/>
          <w:b w:val="1"/>
          <w:bCs w:val="1"/>
          <w:color w:val="852166"/>
        </w:rPr>
        <w:t xml:space="preserve"> </w:t>
      </w:r>
      <w:r>
        <w:rPr>
          <w:rFonts w:ascii="Arial" w:cs="Arial" w:eastAsia="Arial" w:hAnsi="Arial"/>
          <w:sz w:val="16"/>
          <w:szCs w:val="16"/>
          <w:color w:val="000000"/>
        </w:rPr>
        <w:t>of interest; and</w:t>
      </w:r>
    </w:p>
    <w:p>
      <w:pPr>
        <w:spacing w:after="0" w:line="119" w:lineRule="exact"/>
        <w:rPr>
          <w:sz w:val="20"/>
          <w:szCs w:val="20"/>
          <w:color w:val="auto"/>
        </w:rPr>
      </w:pPr>
    </w:p>
    <w:p>
      <w:pPr>
        <w:ind w:right="840" w:hanging="242"/>
        <w:spacing w:after="0" w:line="227" w:lineRule="auto"/>
        <w:rPr>
          <w:sz w:val="20"/>
          <w:szCs w:val="20"/>
          <w:color w:val="auto"/>
        </w:rPr>
      </w:pPr>
      <w:r>
        <w:rPr>
          <w:rFonts w:ascii="Wingdings" w:cs="Wingdings" w:eastAsia="Wingdings" w:hAnsi="Wingdings"/>
          <w:sz w:val="22"/>
          <w:szCs w:val="22"/>
          <w:b w:val="1"/>
          <w:bCs w:val="1"/>
          <w:color w:val="852166"/>
        </w:rPr>
        <w:t>ü</w:t>
      </w:r>
      <w:r>
        <w:rPr>
          <w:rFonts w:ascii="Arial" w:cs="Arial" w:eastAsia="Arial" w:hAnsi="Arial"/>
          <w:sz w:val="16"/>
          <w:szCs w:val="16"/>
          <w:color w:val="000000"/>
        </w:rPr>
        <w:t xml:space="preserve">  any of our ordinary shares owned by Aon or the individual</w:t>
      </w:r>
      <w:r>
        <w:rPr>
          <w:rFonts w:ascii="Wingdings" w:cs="Wingdings" w:eastAsia="Wingdings" w:hAnsi="Wingdings"/>
          <w:sz w:val="22"/>
          <w:szCs w:val="22"/>
          <w:b w:val="1"/>
          <w:bCs w:val="1"/>
          <w:color w:val="852166"/>
        </w:rPr>
        <w:t xml:space="preserve"> </w:t>
      </w:r>
      <w:r>
        <w:rPr>
          <w:rFonts w:ascii="Arial" w:cs="Arial" w:eastAsia="Arial" w:hAnsi="Arial"/>
          <w:sz w:val="16"/>
          <w:szCs w:val="16"/>
          <w:color w:val="000000"/>
        </w:rPr>
        <w:t>compensation advisors employed by it.</w:t>
      </w:r>
    </w:p>
    <w:p>
      <w:pPr>
        <w:spacing w:after="0" w:line="200" w:lineRule="exact"/>
        <w:rPr>
          <w:sz w:val="20"/>
          <w:szCs w:val="20"/>
          <w:color w:val="auto"/>
        </w:rPr>
      </w:pPr>
    </w:p>
    <w:p>
      <w:pPr>
        <w:sectPr>
          <w:pgSz w:w="11900" w:h="16838" w:orient="portrait"/>
          <w:cols w:equalWidth="0" w:num="2">
            <w:col w:w="5540" w:space="720"/>
            <w:col w:w="4980"/>
          </w:cols>
          <w:pgMar w:left="320" w:top="1057" w:right="339" w:bottom="1440" w:gutter="0" w:footer="0" w:header="0"/>
          <w:type w:val="continuous"/>
        </w:sectPr>
      </w:pPr>
    </w:p>
    <w:p>
      <w:pPr>
        <w:spacing w:after="0" w:line="99" w:lineRule="exact"/>
        <w:rPr>
          <w:sz w:val="20"/>
          <w:szCs w:val="20"/>
          <w:color w:val="auto"/>
        </w:rPr>
      </w:pPr>
    </w:p>
    <w:p>
      <w:pPr>
        <w:ind w:right="360"/>
        <w:spacing w:after="0" w:line="339" w:lineRule="auto"/>
        <w:rPr>
          <w:sz w:val="20"/>
          <w:szCs w:val="20"/>
          <w:color w:val="auto"/>
        </w:rPr>
      </w:pPr>
      <w:r>
        <w:rPr>
          <w:rFonts w:ascii="Arial" w:cs="Arial" w:eastAsia="Arial" w:hAnsi="Arial"/>
          <w:sz w:val="16"/>
          <w:szCs w:val="16"/>
          <w:color w:val="auto"/>
        </w:rPr>
        <w:t>Our compensation committee has determined, based on its analysis of the above factors, that the work of Aon and the individual compensation advisors employed by Aon as compensation consultants to us has not created any conflict of interest.</w:t>
      </w:r>
    </w:p>
    <w:p>
      <w:pPr>
        <w:spacing w:after="0" w:line="200" w:lineRule="exact"/>
        <w:rPr>
          <w:sz w:val="20"/>
          <w:szCs w:val="20"/>
          <w:color w:val="auto"/>
        </w:rPr>
      </w:pPr>
    </w:p>
    <w:p>
      <w:pPr>
        <w:spacing w:after="0" w:line="338"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6"/>
          <w:szCs w:val="16"/>
          <w:b w:val="1"/>
          <w:bCs w:val="1"/>
          <w:color w:val="852166"/>
        </w:rPr>
        <w:t>Competitive Assessment of Compensation – Peer Companies and Market Data</w:t>
      </w:r>
    </w:p>
    <w:p>
      <w:pPr>
        <w:spacing w:after="0" w:line="127"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Because we aim to attract and retain the most highly qualified executive officers in an extremely competitive market, our compensation committee believes that it is important when making its compensation decisions to be informed as to the current practices of comparable public companies with which we compete for top talent. To this end, our compensation committee reviews market data for each executive officer’s position, compiled by Aon as described below, including information relating to the mix and levels of compensation for executive officers in the life sciences industry, with a focus on target total direct compensation in line with our compensation committee’s holistic approach to executive compensation.</w:t>
      </w:r>
    </w:p>
    <w:p>
      <w:pPr>
        <w:spacing w:after="0" w:line="7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b w:val="1"/>
          <w:bCs w:val="1"/>
          <w:i w:val="1"/>
          <w:iCs w:val="1"/>
          <w:color w:val="auto"/>
        </w:rPr>
        <w:t xml:space="preserve">2023 Peer Group. </w:t>
      </w:r>
      <w:r>
        <w:rPr>
          <w:rFonts w:ascii="Arial" w:cs="Arial" w:eastAsia="Arial" w:hAnsi="Arial"/>
          <w:sz w:val="16"/>
          <w:szCs w:val="16"/>
          <w:color w:val="auto"/>
        </w:rPr>
        <w:t>Our compensation committee uses a peer group and other market data to provide context for its executive compensation decision-making. Each year, Aon reviews the external market data and evaluates the composition of our peer group to ensure it appropriately reflects our growth, the increase in our revenues and market capitalization and the consolidation in our industry. In July 2022, with the assistance of Aon, our compensation committee considered companies:</w:t>
      </w:r>
    </w:p>
    <w:p>
      <w:pPr>
        <w:spacing w:after="0" w:line="56" w:lineRule="exact"/>
        <w:rPr>
          <w:sz w:val="20"/>
          <w:szCs w:val="20"/>
          <w:color w:val="auto"/>
        </w:rPr>
      </w:pPr>
    </w:p>
    <w:p>
      <w:pPr>
        <w:ind w:left="640" w:hanging="308"/>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the life sciences industry (specifically biotechnology and select bio/pharma companies) with commercial products on the market;</w:t>
      </w:r>
    </w:p>
    <w:p>
      <w:pPr>
        <w:spacing w:after="0" w:line="153" w:lineRule="exact"/>
        <w:rPr>
          <w:rFonts w:ascii="Arial" w:cs="Arial" w:eastAsia="Arial" w:hAnsi="Arial"/>
          <w:sz w:val="16"/>
          <w:szCs w:val="16"/>
          <w:color w:val="auto"/>
        </w:rPr>
      </w:pPr>
    </w:p>
    <w:p>
      <w:pPr>
        <w:ind w:left="660" w:right="340" w:hanging="328"/>
        <w:spacing w:after="0" w:line="339" w:lineRule="auto"/>
        <w:tabs>
          <w:tab w:leader="none" w:pos="6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with revenues of approximately one-half (0.5x) to three times (3x) our then-projected revenue (resulting in a range of $1.5 billion to $10 billion in revenues);</w:t>
      </w:r>
    </w:p>
    <w:p>
      <w:pPr>
        <w:spacing w:after="0" w:line="47" w:lineRule="exact"/>
        <w:rPr>
          <w:rFonts w:ascii="Arial" w:cs="Arial" w:eastAsia="Arial" w:hAnsi="Arial"/>
          <w:sz w:val="16"/>
          <w:szCs w:val="16"/>
          <w:color w:val="auto"/>
        </w:rPr>
      </w:pPr>
    </w:p>
    <w:p>
      <w:pPr>
        <w:ind w:left="660" w:right="100" w:hanging="328"/>
        <w:spacing w:after="0" w:line="339" w:lineRule="auto"/>
        <w:tabs>
          <w:tab w:leader="none" w:pos="6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with market value of approximately one-third (0.3x) to four times (4x) our market capitalization at the time (resulting in a range of between $3 billion to $37.4 billion in market capitalization); and</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primarily located in the U.S. with a secondary focus on companies that are headquartered in Europe.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Based on the above criteria, our compensation committee approved the following changes to the executive compensation peer group for 2023:</w:t>
      </w:r>
    </w:p>
    <w:p>
      <w:pPr>
        <w:spacing w:after="0" w:line="154" w:lineRule="exact"/>
        <w:rPr>
          <w:sz w:val="20"/>
          <w:szCs w:val="20"/>
          <w:color w:val="auto"/>
        </w:rPr>
      </w:pPr>
    </w:p>
    <w:p>
      <w:pPr>
        <w:ind w:left="640" w:hanging="308"/>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added Gilead Sciences, Inc. and Organon &amp; Co; and</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removed Alexion Pharmaceuticals, Inc., Ionis Pharmaceuticals, Inc., and Sarepta Therapeutics, Inc.</w:t>
      </w:r>
    </w:p>
    <w:p>
      <w:pPr>
        <w:spacing w:after="0" w:line="154" w:lineRule="exact"/>
        <w:rPr>
          <w:sz w:val="20"/>
          <w:szCs w:val="20"/>
          <w:color w:val="auto"/>
        </w:rPr>
      </w:pPr>
    </w:p>
    <w:p>
      <w:pPr>
        <w:ind w:right="460"/>
        <w:spacing w:after="0" w:line="277" w:lineRule="auto"/>
        <w:rPr>
          <w:sz w:val="20"/>
          <w:szCs w:val="20"/>
          <w:color w:val="auto"/>
        </w:rPr>
      </w:pPr>
      <w:r>
        <w:rPr>
          <w:rFonts w:ascii="Arial" w:cs="Arial" w:eastAsia="Arial" w:hAnsi="Arial"/>
          <w:sz w:val="16"/>
          <w:szCs w:val="16"/>
          <w:color w:val="auto"/>
        </w:rPr>
        <w:t>The peer group used for our 2023 compensation decisions, which we refer to as our 2023 peer group, consisted of the 13 companies listed in the table below. At the time our compensation committee approved the peer group, we were at the 52nd percentile for trailing 12 months revenue and the 27</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 for market capitalization among the new peer group. Our compensation committee considered this a reasonable balance and a good representation of companies that were of similar scope and complexity.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40" w:type="dxa"/>
            <w:vAlign w:val="bottom"/>
            <w:vMerge w:val="restart"/>
          </w:tcPr>
          <w:p>
            <w:pPr>
              <w:ind w:left="100"/>
              <w:spacing w:after="0"/>
              <w:rPr>
                <w:sz w:val="20"/>
                <w:szCs w:val="20"/>
                <w:color w:val="auto"/>
              </w:rPr>
            </w:pPr>
            <w:r>
              <w:rPr>
                <w:rFonts w:ascii="Arial" w:cs="Arial" w:eastAsia="Arial" w:hAnsi="Arial"/>
                <w:sz w:val="16"/>
                <w:szCs w:val="16"/>
                <w:color w:val="auto"/>
              </w:rPr>
              <w:t>Alkermes plc</w:t>
            </w:r>
          </w:p>
        </w:tc>
        <w:tc>
          <w:tcPr>
            <w:tcW w:w="2740" w:type="dxa"/>
            <w:vAlign w:val="bottom"/>
            <w:vMerge w:val="restart"/>
          </w:tcPr>
          <w:p>
            <w:pPr>
              <w:ind w:left="340"/>
              <w:spacing w:after="0"/>
              <w:rPr>
                <w:sz w:val="20"/>
                <w:szCs w:val="20"/>
                <w:color w:val="auto"/>
              </w:rPr>
            </w:pPr>
            <w:r>
              <w:rPr>
                <w:rFonts w:ascii="Arial" w:cs="Arial" w:eastAsia="Arial" w:hAnsi="Arial"/>
                <w:sz w:val="16"/>
                <w:szCs w:val="16"/>
                <w:color w:val="auto"/>
              </w:rPr>
              <w:t>Gilead Sciences, Inc.</w:t>
            </w:r>
          </w:p>
        </w:tc>
        <w:tc>
          <w:tcPr>
            <w:tcW w:w="3080" w:type="dxa"/>
            <w:vAlign w:val="bottom"/>
            <w:vMerge w:val="restart"/>
          </w:tcPr>
          <w:p>
            <w:pPr>
              <w:ind w:left="360"/>
              <w:spacing w:after="0"/>
              <w:rPr>
                <w:sz w:val="20"/>
                <w:szCs w:val="20"/>
                <w:color w:val="auto"/>
              </w:rPr>
            </w:pPr>
            <w:r>
              <w:rPr>
                <w:rFonts w:ascii="Arial" w:cs="Arial" w:eastAsia="Arial" w:hAnsi="Arial"/>
                <w:sz w:val="16"/>
                <w:szCs w:val="16"/>
                <w:color w:val="auto"/>
              </w:rPr>
              <w:t>Organon &amp; Co.</w:t>
            </w:r>
          </w:p>
        </w:tc>
        <w:tc>
          <w:tcPr>
            <w:tcW w:w="2880" w:type="dxa"/>
            <w:vAlign w:val="bottom"/>
          </w:tcPr>
          <w:p>
            <w:pPr>
              <w:ind w:left="340"/>
              <w:spacing w:after="0"/>
              <w:rPr>
                <w:sz w:val="20"/>
                <w:szCs w:val="20"/>
                <w:color w:val="auto"/>
              </w:rPr>
            </w:pPr>
            <w:r>
              <w:rPr>
                <w:rFonts w:ascii="Arial" w:cs="Arial" w:eastAsia="Arial" w:hAnsi="Arial"/>
                <w:sz w:val="16"/>
                <w:szCs w:val="16"/>
                <w:color w:val="auto"/>
              </w:rPr>
              <w:t>Vertex Pharmaceuticals</w:t>
            </w:r>
          </w:p>
        </w:tc>
        <w:tc>
          <w:tcPr>
            <w:tcW w:w="0" w:type="dxa"/>
            <w:vAlign w:val="bottom"/>
          </w:tcPr>
          <w:p>
            <w:pPr>
              <w:spacing w:after="0"/>
              <w:rPr>
                <w:sz w:val="1"/>
                <w:szCs w:val="1"/>
                <w:color w:val="auto"/>
              </w:rPr>
            </w:pPr>
          </w:p>
        </w:tc>
      </w:tr>
      <w:tr>
        <w:trPr>
          <w:trHeight w:val="108"/>
        </w:trPr>
        <w:tc>
          <w:tcPr>
            <w:tcW w:w="2540" w:type="dxa"/>
            <w:vAlign w:val="bottom"/>
            <w:vMerge w:val="continue"/>
          </w:tcPr>
          <w:p>
            <w:pPr>
              <w:spacing w:after="0"/>
              <w:rPr>
                <w:sz w:val="9"/>
                <w:szCs w:val="9"/>
                <w:color w:val="auto"/>
              </w:rPr>
            </w:pPr>
          </w:p>
        </w:tc>
        <w:tc>
          <w:tcPr>
            <w:tcW w:w="2740" w:type="dxa"/>
            <w:vAlign w:val="bottom"/>
            <w:vMerge w:val="continue"/>
          </w:tcPr>
          <w:p>
            <w:pPr>
              <w:spacing w:after="0"/>
              <w:rPr>
                <w:sz w:val="9"/>
                <w:szCs w:val="9"/>
                <w:color w:val="auto"/>
              </w:rPr>
            </w:pPr>
          </w:p>
        </w:tc>
        <w:tc>
          <w:tcPr>
            <w:tcW w:w="3080" w:type="dxa"/>
            <w:vAlign w:val="bottom"/>
            <w:vMerge w:val="continue"/>
          </w:tcPr>
          <w:p>
            <w:pPr>
              <w:spacing w:after="0"/>
              <w:rPr>
                <w:sz w:val="9"/>
                <w:szCs w:val="9"/>
                <w:color w:val="auto"/>
              </w:rPr>
            </w:pPr>
          </w:p>
        </w:tc>
        <w:tc>
          <w:tcPr>
            <w:tcW w:w="2880" w:type="dxa"/>
            <w:vAlign w:val="bottom"/>
            <w:vMerge w:val="restart"/>
          </w:tcPr>
          <w:p>
            <w:pPr>
              <w:ind w:left="340"/>
              <w:spacing w:after="0"/>
              <w:rPr>
                <w:sz w:val="20"/>
                <w:szCs w:val="20"/>
                <w:color w:val="auto"/>
              </w:rPr>
            </w:pPr>
            <w:r>
              <w:rPr>
                <w:rFonts w:ascii="Arial" w:cs="Arial" w:eastAsia="Arial" w:hAnsi="Arial"/>
                <w:sz w:val="16"/>
                <w:szCs w:val="16"/>
                <w:color w:val="auto"/>
              </w:rPr>
              <w:t>Incorporated</w:t>
            </w:r>
          </w:p>
        </w:tc>
        <w:tc>
          <w:tcPr>
            <w:tcW w:w="0" w:type="dxa"/>
            <w:vAlign w:val="bottom"/>
          </w:tcPr>
          <w:p>
            <w:pPr>
              <w:spacing w:after="0"/>
              <w:rPr>
                <w:sz w:val="1"/>
                <w:szCs w:val="1"/>
                <w:color w:val="auto"/>
              </w:rPr>
            </w:pPr>
          </w:p>
        </w:tc>
      </w:tr>
      <w:tr>
        <w:trPr>
          <w:trHeight w:val="122"/>
        </w:trPr>
        <w:tc>
          <w:tcPr>
            <w:tcW w:w="25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2540" w:type="dxa"/>
            <w:vAlign w:val="bottom"/>
            <w:tcBorders>
              <w:bottom w:val="single" w:sz="8" w:color="FFCF01"/>
            </w:tcBorders>
          </w:tcPr>
          <w:p>
            <w:pPr>
              <w:spacing w:after="0"/>
              <w:rPr>
                <w:sz w:val="3"/>
                <w:szCs w:val="3"/>
                <w:color w:val="auto"/>
              </w:rPr>
            </w:pPr>
          </w:p>
        </w:tc>
        <w:tc>
          <w:tcPr>
            <w:tcW w:w="2740" w:type="dxa"/>
            <w:vAlign w:val="bottom"/>
            <w:tcBorders>
              <w:bottom w:val="single" w:sz="8" w:color="FFCF01"/>
            </w:tcBorders>
          </w:tcPr>
          <w:p>
            <w:pPr>
              <w:spacing w:after="0"/>
              <w:rPr>
                <w:sz w:val="3"/>
                <w:szCs w:val="3"/>
                <w:color w:val="auto"/>
              </w:rPr>
            </w:pPr>
          </w:p>
        </w:tc>
        <w:tc>
          <w:tcPr>
            <w:tcW w:w="3080" w:type="dxa"/>
            <w:vAlign w:val="bottom"/>
            <w:tcBorders>
              <w:bottom w:val="single" w:sz="8" w:color="FFCF01"/>
            </w:tcBorders>
          </w:tcPr>
          <w:p>
            <w:pPr>
              <w:spacing w:after="0"/>
              <w:rPr>
                <w:sz w:val="3"/>
                <w:szCs w:val="3"/>
                <w:color w:val="auto"/>
              </w:rPr>
            </w:pPr>
          </w:p>
        </w:tc>
        <w:tc>
          <w:tcPr>
            <w:tcW w:w="2880" w:type="dxa"/>
            <w:vAlign w:val="bottom"/>
            <w:tcBorders>
              <w:bottom w:val="single" w:sz="8" w:color="FFCF01"/>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540" w:type="dxa"/>
            <w:vAlign w:val="bottom"/>
            <w:vMerge w:val="restart"/>
          </w:tcPr>
          <w:p>
            <w:pPr>
              <w:ind w:left="100"/>
              <w:spacing w:after="0"/>
              <w:rPr>
                <w:sz w:val="20"/>
                <w:szCs w:val="20"/>
                <w:color w:val="auto"/>
              </w:rPr>
            </w:pPr>
            <w:r>
              <w:rPr>
                <w:rFonts w:ascii="Arial" w:cs="Arial" w:eastAsia="Arial" w:hAnsi="Arial"/>
                <w:sz w:val="16"/>
                <w:szCs w:val="16"/>
                <w:color w:val="auto"/>
              </w:rPr>
              <w:t>Biogen Inc.</w:t>
            </w:r>
          </w:p>
        </w:tc>
        <w:tc>
          <w:tcPr>
            <w:tcW w:w="2740" w:type="dxa"/>
            <w:vAlign w:val="bottom"/>
          </w:tcPr>
          <w:p>
            <w:pPr>
              <w:ind w:left="340"/>
              <w:spacing w:after="0" w:line="237" w:lineRule="exact"/>
              <w:rPr>
                <w:sz w:val="20"/>
                <w:szCs w:val="20"/>
                <w:color w:val="auto"/>
              </w:rPr>
            </w:pPr>
            <w:r>
              <w:rPr>
                <w:rFonts w:ascii="Arial" w:cs="Arial" w:eastAsia="Arial" w:hAnsi="Arial"/>
                <w:sz w:val="16"/>
                <w:szCs w:val="16"/>
                <w:color w:val="auto"/>
              </w:rPr>
              <w:t>Horizon Therapeutics plc</w:t>
            </w:r>
            <w:r>
              <w:rPr>
                <w:rFonts w:ascii="Arial" w:cs="Arial" w:eastAsia="Arial" w:hAnsi="Arial"/>
                <w:sz w:val="21"/>
                <w:szCs w:val="21"/>
                <w:color w:val="auto"/>
                <w:vertAlign w:val="superscript"/>
              </w:rPr>
              <w:t>(1)</w:t>
            </w:r>
          </w:p>
        </w:tc>
        <w:tc>
          <w:tcPr>
            <w:tcW w:w="3080" w:type="dxa"/>
            <w:vAlign w:val="bottom"/>
            <w:vMerge w:val="restart"/>
          </w:tcPr>
          <w:p>
            <w:pPr>
              <w:ind w:left="360"/>
              <w:spacing w:after="0"/>
              <w:rPr>
                <w:sz w:val="20"/>
                <w:szCs w:val="20"/>
                <w:color w:val="auto"/>
              </w:rPr>
            </w:pPr>
            <w:r>
              <w:rPr>
                <w:rFonts w:ascii="Arial" w:cs="Arial" w:eastAsia="Arial" w:hAnsi="Arial"/>
                <w:sz w:val="16"/>
                <w:szCs w:val="16"/>
                <w:color w:val="auto"/>
              </w:rPr>
              <w:t>Regeneron Pharmaceuticals, Inc.</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2540" w:type="dxa"/>
            <w:vAlign w:val="bottom"/>
            <w:vMerge w:val="continue"/>
          </w:tcPr>
          <w:p>
            <w:pPr>
              <w:spacing w:after="0"/>
              <w:rPr>
                <w:sz w:val="4"/>
                <w:szCs w:val="4"/>
                <w:color w:val="auto"/>
              </w:rPr>
            </w:pPr>
          </w:p>
        </w:tc>
        <w:tc>
          <w:tcPr>
            <w:tcW w:w="2740" w:type="dxa"/>
            <w:vAlign w:val="bottom"/>
          </w:tcPr>
          <w:p>
            <w:pPr>
              <w:spacing w:after="0"/>
              <w:rPr>
                <w:sz w:val="4"/>
                <w:szCs w:val="4"/>
                <w:color w:val="auto"/>
              </w:rPr>
            </w:pPr>
          </w:p>
        </w:tc>
        <w:tc>
          <w:tcPr>
            <w:tcW w:w="3080" w:type="dxa"/>
            <w:vAlign w:val="bottom"/>
            <w:vMerge w:val="continue"/>
          </w:tcPr>
          <w:p>
            <w:pPr>
              <w:spacing w:after="0"/>
              <w:rPr>
                <w:sz w:val="4"/>
                <w:szCs w:val="4"/>
                <w:color w:val="auto"/>
              </w:rPr>
            </w:pPr>
          </w:p>
        </w:tc>
        <w:tc>
          <w:tcPr>
            <w:tcW w:w="2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540" w:type="dxa"/>
            <w:vAlign w:val="bottom"/>
            <w:tcBorders>
              <w:bottom w:val="single" w:sz="8" w:color="FFCF01"/>
            </w:tcBorders>
          </w:tcPr>
          <w:p>
            <w:pPr>
              <w:spacing w:after="0"/>
              <w:rPr>
                <w:sz w:val="8"/>
                <w:szCs w:val="8"/>
                <w:color w:val="auto"/>
              </w:rPr>
            </w:pPr>
          </w:p>
        </w:tc>
        <w:tc>
          <w:tcPr>
            <w:tcW w:w="2740" w:type="dxa"/>
            <w:vAlign w:val="bottom"/>
            <w:tcBorders>
              <w:bottom w:val="single" w:sz="8" w:color="FFCF01"/>
            </w:tcBorders>
          </w:tcPr>
          <w:p>
            <w:pPr>
              <w:spacing w:after="0"/>
              <w:rPr>
                <w:sz w:val="8"/>
                <w:szCs w:val="8"/>
                <w:color w:val="auto"/>
              </w:rPr>
            </w:pPr>
          </w:p>
        </w:tc>
        <w:tc>
          <w:tcPr>
            <w:tcW w:w="3080" w:type="dxa"/>
            <w:vAlign w:val="bottom"/>
            <w:tcBorders>
              <w:bottom w:val="single" w:sz="8" w:color="FFCF01"/>
            </w:tcBorders>
          </w:tcPr>
          <w:p>
            <w:pPr>
              <w:spacing w:after="0"/>
              <w:rPr>
                <w:sz w:val="8"/>
                <w:szCs w:val="8"/>
                <w:color w:val="auto"/>
              </w:rPr>
            </w:pPr>
          </w:p>
        </w:tc>
        <w:tc>
          <w:tcPr>
            <w:tcW w:w="2880" w:type="dxa"/>
            <w:vAlign w:val="bottom"/>
            <w:tcBorders>
              <w:bottom w:val="single" w:sz="8" w:color="FFCF01"/>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540" w:type="dxa"/>
            <w:vAlign w:val="bottom"/>
            <w:vMerge w:val="restart"/>
          </w:tcPr>
          <w:p>
            <w:pPr>
              <w:ind w:left="100"/>
              <w:spacing w:after="0"/>
              <w:rPr>
                <w:sz w:val="20"/>
                <w:szCs w:val="20"/>
                <w:color w:val="auto"/>
              </w:rPr>
            </w:pPr>
            <w:r>
              <w:rPr>
                <w:rFonts w:ascii="Arial" w:cs="Arial" w:eastAsia="Arial" w:hAnsi="Arial"/>
                <w:sz w:val="16"/>
                <w:szCs w:val="16"/>
                <w:color w:val="auto"/>
              </w:rPr>
              <w:t>BioMarin Pharmaceutical Inc.</w:t>
            </w:r>
          </w:p>
        </w:tc>
        <w:tc>
          <w:tcPr>
            <w:tcW w:w="2740" w:type="dxa"/>
            <w:vAlign w:val="bottom"/>
            <w:vMerge w:val="restart"/>
          </w:tcPr>
          <w:p>
            <w:pPr>
              <w:ind w:left="340"/>
              <w:spacing w:after="0"/>
              <w:rPr>
                <w:sz w:val="20"/>
                <w:szCs w:val="20"/>
                <w:color w:val="auto"/>
              </w:rPr>
            </w:pPr>
            <w:r>
              <w:rPr>
                <w:rFonts w:ascii="Arial" w:cs="Arial" w:eastAsia="Arial" w:hAnsi="Arial"/>
                <w:sz w:val="16"/>
                <w:szCs w:val="16"/>
                <w:color w:val="auto"/>
              </w:rPr>
              <w:t>Incyte Corporation</w:t>
            </w:r>
          </w:p>
        </w:tc>
        <w:tc>
          <w:tcPr>
            <w:tcW w:w="3080" w:type="dxa"/>
            <w:vAlign w:val="bottom"/>
          </w:tcPr>
          <w:p>
            <w:pPr>
              <w:ind w:left="360"/>
              <w:spacing w:after="0" w:line="237" w:lineRule="exact"/>
              <w:rPr>
                <w:sz w:val="20"/>
                <w:szCs w:val="20"/>
                <w:color w:val="auto"/>
              </w:rPr>
            </w:pPr>
            <w:r>
              <w:rPr>
                <w:rFonts w:ascii="Arial" w:cs="Arial" w:eastAsia="Arial" w:hAnsi="Arial"/>
                <w:sz w:val="16"/>
                <w:szCs w:val="16"/>
                <w:color w:val="auto"/>
              </w:rPr>
              <w:t>Seagen Inc.</w:t>
            </w:r>
            <w:r>
              <w:rPr>
                <w:rFonts w:ascii="Arial" w:cs="Arial" w:eastAsia="Arial" w:hAnsi="Arial"/>
                <w:sz w:val="21"/>
                <w:szCs w:val="21"/>
                <w:color w:val="auto"/>
                <w:vertAlign w:val="superscript"/>
              </w:rPr>
              <w:t>(2)</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2540" w:type="dxa"/>
            <w:vAlign w:val="bottom"/>
            <w:vMerge w:val="continue"/>
          </w:tcPr>
          <w:p>
            <w:pPr>
              <w:spacing w:after="0"/>
              <w:rPr>
                <w:sz w:val="4"/>
                <w:szCs w:val="4"/>
                <w:color w:val="auto"/>
              </w:rPr>
            </w:pPr>
          </w:p>
        </w:tc>
        <w:tc>
          <w:tcPr>
            <w:tcW w:w="274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2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540" w:type="dxa"/>
            <w:vAlign w:val="bottom"/>
            <w:tcBorders>
              <w:bottom w:val="single" w:sz="8" w:color="FFCF01"/>
            </w:tcBorders>
          </w:tcPr>
          <w:p>
            <w:pPr>
              <w:spacing w:after="0"/>
              <w:rPr>
                <w:sz w:val="8"/>
                <w:szCs w:val="8"/>
                <w:color w:val="auto"/>
              </w:rPr>
            </w:pPr>
          </w:p>
        </w:tc>
        <w:tc>
          <w:tcPr>
            <w:tcW w:w="2740" w:type="dxa"/>
            <w:vAlign w:val="bottom"/>
            <w:tcBorders>
              <w:bottom w:val="single" w:sz="8" w:color="FFCF01"/>
            </w:tcBorders>
          </w:tcPr>
          <w:p>
            <w:pPr>
              <w:spacing w:after="0"/>
              <w:rPr>
                <w:sz w:val="8"/>
                <w:szCs w:val="8"/>
                <w:color w:val="auto"/>
              </w:rPr>
            </w:pPr>
          </w:p>
        </w:tc>
        <w:tc>
          <w:tcPr>
            <w:tcW w:w="3080" w:type="dxa"/>
            <w:vAlign w:val="bottom"/>
            <w:tcBorders>
              <w:bottom w:val="single" w:sz="8" w:color="FFCF01"/>
            </w:tcBorders>
          </w:tcPr>
          <w:p>
            <w:pPr>
              <w:spacing w:after="0"/>
              <w:rPr>
                <w:sz w:val="8"/>
                <w:szCs w:val="8"/>
                <w:color w:val="auto"/>
              </w:rPr>
            </w:pPr>
          </w:p>
        </w:tc>
        <w:tc>
          <w:tcPr>
            <w:tcW w:w="2880" w:type="dxa"/>
            <w:vAlign w:val="bottom"/>
            <w:tcBorders>
              <w:bottom w:val="single" w:sz="8" w:color="FFCF01"/>
            </w:tcBorders>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2540" w:type="dxa"/>
            <w:vAlign w:val="bottom"/>
          </w:tcPr>
          <w:p>
            <w:pPr>
              <w:ind w:left="100"/>
              <w:spacing w:after="0"/>
              <w:rPr>
                <w:sz w:val="20"/>
                <w:szCs w:val="20"/>
                <w:color w:val="auto"/>
              </w:rPr>
            </w:pPr>
            <w:r>
              <w:rPr>
                <w:rFonts w:ascii="Arial" w:cs="Arial" w:eastAsia="Arial" w:hAnsi="Arial"/>
                <w:sz w:val="16"/>
                <w:szCs w:val="16"/>
                <w:color w:val="auto"/>
              </w:rPr>
              <w:t>Exelixis, Inc.</w:t>
            </w:r>
          </w:p>
        </w:tc>
        <w:tc>
          <w:tcPr>
            <w:tcW w:w="2740" w:type="dxa"/>
            <w:vAlign w:val="bottom"/>
          </w:tcPr>
          <w:p>
            <w:pPr>
              <w:ind w:left="340"/>
              <w:spacing w:after="0"/>
              <w:rPr>
                <w:sz w:val="20"/>
                <w:szCs w:val="20"/>
                <w:color w:val="auto"/>
              </w:rPr>
            </w:pPr>
            <w:r>
              <w:rPr>
                <w:rFonts w:ascii="Arial" w:cs="Arial" w:eastAsia="Arial" w:hAnsi="Arial"/>
                <w:sz w:val="16"/>
                <w:szCs w:val="16"/>
                <w:color w:val="auto"/>
              </w:rPr>
              <w:t>Neurocrine Biosciences, Inc.</w:t>
            </w:r>
          </w:p>
        </w:tc>
        <w:tc>
          <w:tcPr>
            <w:tcW w:w="3080" w:type="dxa"/>
            <w:vAlign w:val="bottom"/>
          </w:tcPr>
          <w:p>
            <w:pPr>
              <w:ind w:left="360"/>
              <w:spacing w:after="0"/>
              <w:rPr>
                <w:sz w:val="20"/>
                <w:szCs w:val="20"/>
                <w:color w:val="auto"/>
              </w:rPr>
            </w:pPr>
            <w:r>
              <w:rPr>
                <w:rFonts w:ascii="Arial" w:cs="Arial" w:eastAsia="Arial" w:hAnsi="Arial"/>
                <w:sz w:val="16"/>
                <w:szCs w:val="16"/>
                <w:color w:val="auto"/>
              </w:rPr>
              <w:t>United Therapeutics Corporation</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540" w:type="dxa"/>
            <w:vAlign w:val="bottom"/>
            <w:tcBorders>
              <w:bottom w:val="single" w:sz="8" w:color="852166"/>
            </w:tcBorders>
          </w:tcPr>
          <w:p>
            <w:pPr>
              <w:spacing w:after="0"/>
              <w:rPr>
                <w:sz w:val="3"/>
                <w:szCs w:val="3"/>
                <w:color w:val="auto"/>
              </w:rPr>
            </w:pPr>
          </w:p>
        </w:tc>
        <w:tc>
          <w:tcPr>
            <w:tcW w:w="2740" w:type="dxa"/>
            <w:vAlign w:val="bottom"/>
            <w:tcBorders>
              <w:bottom w:val="single" w:sz="8" w:color="852166"/>
            </w:tcBorders>
          </w:tcPr>
          <w:p>
            <w:pPr>
              <w:spacing w:after="0"/>
              <w:rPr>
                <w:sz w:val="3"/>
                <w:szCs w:val="3"/>
                <w:color w:val="auto"/>
              </w:rPr>
            </w:pPr>
          </w:p>
        </w:tc>
        <w:tc>
          <w:tcPr>
            <w:tcW w:w="3080" w:type="dxa"/>
            <w:vAlign w:val="bottom"/>
            <w:tcBorders>
              <w:bottom w:val="single" w:sz="8" w:color="852166"/>
            </w:tcBorders>
          </w:tcPr>
          <w:p>
            <w:pPr>
              <w:spacing w:after="0"/>
              <w:rPr>
                <w:sz w:val="3"/>
                <w:szCs w:val="3"/>
                <w:color w:val="auto"/>
              </w:rPr>
            </w:pPr>
          </w:p>
        </w:tc>
        <w:tc>
          <w:tcPr>
            <w:tcW w:w="2880" w:type="dxa"/>
            <w:vAlign w:val="bottom"/>
            <w:tcBorders>
              <w:bottom w:val="single" w:sz="8" w:color="852166"/>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Acquired by Amgen Inc. in October 2023.</w:t>
      </w:r>
    </w:p>
    <w:p>
      <w:pPr>
        <w:spacing w:after="0" w:line="82" w:lineRule="exact"/>
        <w:rPr>
          <w:rFonts w:ascii="Arial" w:cs="Arial" w:eastAsia="Arial" w:hAnsi="Arial"/>
          <w:sz w:val="14"/>
          <w:szCs w:val="14"/>
          <w:color w:val="auto"/>
        </w:rPr>
      </w:pPr>
    </w:p>
    <w:p>
      <w:pPr>
        <w:ind w:left="320" w:hanging="312"/>
        <w:spacing w:after="0"/>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Acquired by Pfizer Inc. in December 2023.</w:t>
      </w:r>
    </w:p>
    <w:p>
      <w:pPr>
        <w:spacing w:after="0" w:line="253" w:lineRule="exact"/>
        <w:rPr>
          <w:sz w:val="20"/>
          <w:szCs w:val="20"/>
          <w:color w:val="auto"/>
        </w:rPr>
      </w:pPr>
    </w:p>
    <w:p>
      <w:pPr>
        <w:ind w:right="100"/>
        <w:spacing w:after="0" w:line="299" w:lineRule="auto"/>
        <w:rPr>
          <w:sz w:val="20"/>
          <w:szCs w:val="20"/>
          <w:color w:val="auto"/>
        </w:rPr>
      </w:pPr>
      <w:r>
        <w:rPr>
          <w:rFonts w:ascii="Arial" w:cs="Arial" w:eastAsia="Arial" w:hAnsi="Arial"/>
          <w:sz w:val="16"/>
          <w:szCs w:val="16"/>
          <w:b w:val="1"/>
          <w:bCs w:val="1"/>
          <w:i w:val="1"/>
          <w:iCs w:val="1"/>
          <w:color w:val="auto"/>
        </w:rPr>
        <w:t xml:space="preserve">2023 Market Data. </w:t>
      </w:r>
      <w:r>
        <w:rPr>
          <w:rFonts w:ascii="Arial" w:cs="Arial" w:eastAsia="Arial" w:hAnsi="Arial"/>
          <w:sz w:val="16"/>
          <w:szCs w:val="16"/>
          <w:color w:val="auto"/>
        </w:rPr>
        <w:t>In early 2023, Aon completed an assessment of executive compensation based on our 2023 peer group to inform our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committee’s determinations of executive compensation for 2023. Our compensation committee reviews target total direct compensation, consisting of target total cash compensation and equity compensation, against the market data provided by Aon primarily to ensure that our executive compensation program, as a whole, is positioned competitively to attract and retain the highest caliber of executive officers and to ensure that the total direct compensation opportunity for the executive officer group is aligned with our corporate objectives and strategic needs. Our compensation committee does not target a specific percentile for setting the level of compensation for the NEOs and does not otherwise use a formulaic approach to setting pay against the market data. Our compensation committee believes that over-reliance on benchmarking can result in compensation that is unrelated to the value delivered by our executive officers because compensation benchmarking does not consider company-to-company variations among actual roles with similar titles or the specific performance of the executive officers.</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39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color w:val="852166"/>
        </w:rPr>
        <w:t>Factors Used in Determining Executive Compensation</w:t>
      </w:r>
    </w:p>
    <w:p>
      <w:pPr>
        <w:spacing w:after="0" w:line="127"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Our compensation committee sets the compensation of our executive officers at levels that our compensation committee determines to be competitive and appropriate for each NEO, using our compensation committee’s professional experience and judgment. Our compensation committee’s pay decisions are not driven by a particular target level of compensation based on market data, and our compensation committee does not otherwise use a formulaic approach to setting executive pay. Instead, our compensation committee believes that executive pay decisions require consideration of multiple relevant factors, which may vary from year to year. The figure below reflects the factors our compensation committee considered in determining and approving the amount, form and mix of pay for our NEOs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2489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102"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FFFFFF"/>
        </w:rPr>
        <w:t>Factors in Determining Compensation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494"/>
        </w:trPr>
        <w:tc>
          <w:tcPr>
            <w:tcW w:w="5560" w:type="dxa"/>
            <w:vAlign w:val="bottom"/>
            <w:tcBorders>
              <w:bottom w:val="single" w:sz="8" w:color="auto"/>
            </w:tcBorders>
          </w:tcPr>
          <w:p>
            <w:pPr>
              <w:ind w:left="80"/>
              <w:spacing w:after="0"/>
              <w:rPr>
                <w:sz w:val="20"/>
                <w:szCs w:val="20"/>
                <w:color w:val="auto"/>
              </w:rPr>
            </w:pPr>
            <w:r>
              <w:rPr>
                <w:rFonts w:ascii="Wingdings" w:cs="Wingdings" w:eastAsia="Wingdings" w:hAnsi="Wingdings"/>
                <w:sz w:val="43"/>
                <w:szCs w:val="43"/>
                <w:b w:val="1"/>
                <w:bCs w:val="1"/>
                <w:color w:val="852166"/>
                <w:vertAlign w:val="subscript"/>
              </w:rPr>
              <w:t>ü</w:t>
            </w:r>
            <w:r>
              <w:rPr>
                <w:rFonts w:ascii="Arial" w:cs="Arial" w:eastAsia="Arial" w:hAnsi="Arial"/>
                <w:sz w:val="14"/>
                <w:szCs w:val="14"/>
                <w:color w:val="auto"/>
              </w:rPr>
              <w:t xml:space="preserve"> Company performance</w:t>
            </w:r>
          </w:p>
        </w:tc>
        <w:tc>
          <w:tcPr>
            <w:tcW w:w="5680" w:type="dxa"/>
            <w:vAlign w:val="bottom"/>
            <w:tcBorders>
              <w:bottom w:val="single" w:sz="8" w:color="auto"/>
            </w:tcBorders>
          </w:tcPr>
          <w:p>
            <w:pPr>
              <w:ind w:left="160"/>
              <w:spacing w:after="0"/>
              <w:rPr>
                <w:sz w:val="20"/>
                <w:szCs w:val="20"/>
                <w:color w:val="auto"/>
              </w:rPr>
            </w:pPr>
            <w:r>
              <w:rPr>
                <w:rFonts w:ascii="Wingdings" w:cs="Wingdings" w:eastAsia="Wingdings" w:hAnsi="Wingdings"/>
                <w:sz w:val="43"/>
                <w:szCs w:val="43"/>
                <w:b w:val="1"/>
                <w:bCs w:val="1"/>
                <w:color w:val="852166"/>
                <w:vertAlign w:val="subscript"/>
              </w:rPr>
              <w:t>ü</w:t>
            </w:r>
            <w:r>
              <w:rPr>
                <w:rFonts w:ascii="Arial" w:cs="Arial" w:eastAsia="Arial" w:hAnsi="Arial"/>
                <w:sz w:val="14"/>
                <w:szCs w:val="14"/>
                <w:color w:val="auto"/>
              </w:rPr>
              <w:t xml:space="preserve"> Each NEO’s target total direct compensation and equity ownership</w:t>
            </w:r>
          </w:p>
        </w:tc>
      </w:tr>
      <w:tr>
        <w:trPr>
          <w:trHeight w:val="241"/>
        </w:trPr>
        <w:tc>
          <w:tcPr>
            <w:tcW w:w="5560" w:type="dxa"/>
            <w:vAlign w:val="bottom"/>
          </w:tcPr>
          <w:p>
            <w:pPr>
              <w:ind w:left="80"/>
              <w:spacing w:after="0" w:line="241" w:lineRule="exact"/>
              <w:rPr>
                <w:sz w:val="20"/>
                <w:szCs w:val="20"/>
                <w:color w:val="auto"/>
              </w:rPr>
            </w:pPr>
            <w:r>
              <w:rPr>
                <w:rFonts w:ascii="Wingdings" w:cs="Wingdings" w:eastAsia="Wingdings" w:hAnsi="Wingdings"/>
                <w:sz w:val="27"/>
                <w:szCs w:val="27"/>
                <w:b w:val="1"/>
                <w:bCs w:val="1"/>
                <w:color w:val="852166"/>
                <w:vertAlign w:val="subscript"/>
              </w:rPr>
              <w:t>ü</w:t>
            </w:r>
            <w:r>
              <w:rPr>
                <w:rFonts w:ascii="Arial" w:cs="Arial" w:eastAsia="Arial" w:hAnsi="Arial"/>
                <w:sz w:val="12"/>
                <w:szCs w:val="12"/>
                <w:color w:val="auto"/>
              </w:rPr>
              <w:t xml:space="preserve"> Each NEO’s criticality to the business</w:t>
            </w:r>
          </w:p>
        </w:tc>
        <w:tc>
          <w:tcPr>
            <w:tcW w:w="5680" w:type="dxa"/>
            <w:vAlign w:val="bottom"/>
          </w:tcPr>
          <w:p>
            <w:pPr>
              <w:ind w:left="160"/>
              <w:spacing w:after="0" w:line="241" w:lineRule="exact"/>
              <w:rPr>
                <w:sz w:val="20"/>
                <w:szCs w:val="20"/>
                <w:color w:val="auto"/>
              </w:rPr>
            </w:pPr>
            <w:r>
              <w:rPr>
                <w:rFonts w:ascii="Wingdings" w:cs="Wingdings" w:eastAsia="Wingdings" w:hAnsi="Wingdings"/>
                <w:sz w:val="27"/>
                <w:szCs w:val="27"/>
                <w:b w:val="1"/>
                <w:bCs w:val="1"/>
                <w:color w:val="852166"/>
                <w:vertAlign w:val="subscript"/>
              </w:rPr>
              <w:t>ü</w:t>
            </w:r>
            <w:r>
              <w:rPr>
                <w:rFonts w:ascii="Arial" w:cs="Arial" w:eastAsia="Arial" w:hAnsi="Arial"/>
                <w:sz w:val="12"/>
                <w:szCs w:val="12"/>
                <w:color w:val="auto"/>
              </w:rPr>
              <w:t xml:space="preserve"> Range of market data reference points (generally the 25th, 50th, 60th, and 75th</w:t>
            </w:r>
          </w:p>
        </w:tc>
      </w:tr>
      <w:tr>
        <w:trPr>
          <w:trHeight w:val="194"/>
        </w:trPr>
        <w:tc>
          <w:tcPr>
            <w:tcW w:w="5560" w:type="dxa"/>
            <w:vAlign w:val="bottom"/>
            <w:tcBorders>
              <w:bottom w:val="single" w:sz="8" w:color="auto"/>
            </w:tcBorders>
          </w:tcPr>
          <w:p>
            <w:pPr>
              <w:spacing w:after="0"/>
              <w:rPr>
                <w:sz w:val="16"/>
                <w:szCs w:val="16"/>
                <w:color w:val="auto"/>
              </w:rPr>
            </w:pPr>
          </w:p>
        </w:tc>
        <w:tc>
          <w:tcPr>
            <w:tcW w:w="568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percentiles of the market data)</w:t>
            </w:r>
          </w:p>
        </w:tc>
      </w:tr>
      <w:tr>
        <w:trPr>
          <w:trHeight w:val="245"/>
        </w:trPr>
        <w:tc>
          <w:tcPr>
            <w:tcW w:w="5560" w:type="dxa"/>
            <w:vAlign w:val="bottom"/>
          </w:tcPr>
          <w:p>
            <w:pPr>
              <w:ind w:left="80"/>
              <w:spacing w:after="0" w:line="245" w:lineRule="exact"/>
              <w:rPr>
                <w:sz w:val="20"/>
                <w:szCs w:val="20"/>
                <w:color w:val="auto"/>
              </w:rPr>
            </w:pPr>
            <w:r>
              <w:rPr>
                <w:rFonts w:ascii="Wingdings" w:cs="Wingdings" w:eastAsia="Wingdings" w:hAnsi="Wingdings"/>
                <w:sz w:val="28"/>
                <w:szCs w:val="28"/>
                <w:b w:val="1"/>
                <w:bCs w:val="1"/>
                <w:color w:val="852166"/>
                <w:vertAlign w:val="subscript"/>
              </w:rPr>
              <w:t>ü</w:t>
            </w:r>
            <w:r>
              <w:rPr>
                <w:rFonts w:ascii="Arial" w:cs="Arial" w:eastAsia="Arial" w:hAnsi="Arial"/>
                <w:sz w:val="12"/>
                <w:szCs w:val="12"/>
                <w:color w:val="auto"/>
              </w:rPr>
              <w:t xml:space="preserve"> CEO’s recommendations (other than for himself), based on direct knowledge of</w:t>
            </w:r>
          </w:p>
        </w:tc>
        <w:tc>
          <w:tcPr>
            <w:tcW w:w="5680" w:type="dxa"/>
            <w:vAlign w:val="bottom"/>
          </w:tcPr>
          <w:p>
            <w:pPr>
              <w:ind w:left="160"/>
              <w:spacing w:after="0" w:line="245" w:lineRule="exact"/>
              <w:rPr>
                <w:sz w:val="20"/>
                <w:szCs w:val="20"/>
                <w:color w:val="auto"/>
              </w:rPr>
            </w:pPr>
            <w:r>
              <w:rPr>
                <w:rFonts w:ascii="Wingdings" w:cs="Wingdings" w:eastAsia="Wingdings" w:hAnsi="Wingdings"/>
                <w:sz w:val="28"/>
                <w:szCs w:val="28"/>
                <w:b w:val="1"/>
                <w:bCs w:val="1"/>
                <w:color w:val="852166"/>
                <w:vertAlign w:val="subscript"/>
              </w:rPr>
              <w:t>ü</w:t>
            </w:r>
            <w:r>
              <w:rPr>
                <w:rFonts w:ascii="Arial" w:cs="Arial" w:eastAsia="Arial" w:hAnsi="Arial"/>
                <w:sz w:val="12"/>
                <w:szCs w:val="12"/>
                <w:color w:val="auto"/>
              </w:rPr>
              <w:t xml:space="preserve"> Aon’s recommendation on compensation policy, design and structure</w:t>
            </w:r>
          </w:p>
        </w:tc>
      </w:tr>
      <w:tr>
        <w:trPr>
          <w:trHeight w:val="194"/>
        </w:trPr>
        <w:tc>
          <w:tcPr>
            <w:tcW w:w="556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NEO performance and his extensive industry experience</w:t>
            </w:r>
          </w:p>
        </w:tc>
        <w:tc>
          <w:tcPr>
            <w:tcW w:w="5680" w:type="dxa"/>
            <w:vAlign w:val="bottom"/>
            <w:tcBorders>
              <w:bottom w:val="single" w:sz="8" w:color="auto"/>
            </w:tcBorders>
          </w:tcPr>
          <w:p>
            <w:pPr>
              <w:spacing w:after="0"/>
              <w:rPr>
                <w:sz w:val="16"/>
                <w:szCs w:val="16"/>
                <w:color w:val="auto"/>
              </w:rPr>
            </w:pPr>
          </w:p>
        </w:tc>
      </w:tr>
      <w:tr>
        <w:trPr>
          <w:trHeight w:val="348"/>
        </w:trPr>
        <w:tc>
          <w:tcPr>
            <w:tcW w:w="5560" w:type="dxa"/>
            <w:vAlign w:val="bottom"/>
            <w:tcBorders>
              <w:bottom w:val="single" w:sz="8" w:color="auto"/>
            </w:tcBorders>
          </w:tcPr>
          <w:p>
            <w:pPr>
              <w:ind w:left="80"/>
              <w:spacing w:after="0" w:line="347" w:lineRule="exact"/>
              <w:rPr>
                <w:sz w:val="20"/>
                <w:szCs w:val="20"/>
                <w:color w:val="auto"/>
              </w:rPr>
            </w:pPr>
            <w:r>
              <w:rPr>
                <w:rFonts w:ascii="Wingdings" w:cs="Wingdings" w:eastAsia="Wingdings" w:hAnsi="Wingdings"/>
                <w:sz w:val="40"/>
                <w:szCs w:val="40"/>
                <w:b w:val="1"/>
                <w:bCs w:val="1"/>
                <w:color w:val="852166"/>
                <w:vertAlign w:val="subscript"/>
              </w:rPr>
              <w:t>ü</w:t>
            </w:r>
            <w:r>
              <w:rPr>
                <w:rFonts w:ascii="Arial" w:cs="Arial" w:eastAsia="Arial" w:hAnsi="Arial"/>
                <w:sz w:val="14"/>
                <w:szCs w:val="14"/>
                <w:color w:val="auto"/>
              </w:rPr>
              <w:t xml:space="preserve"> Internal pay equity</w:t>
            </w:r>
          </w:p>
        </w:tc>
        <w:tc>
          <w:tcPr>
            <w:tcW w:w="5680" w:type="dxa"/>
            <w:vAlign w:val="bottom"/>
            <w:tcBorders>
              <w:bottom w:val="single" w:sz="8" w:color="auto"/>
            </w:tcBorders>
          </w:tcPr>
          <w:p>
            <w:pPr>
              <w:ind w:left="160"/>
              <w:spacing w:after="0" w:line="347" w:lineRule="exact"/>
              <w:rPr>
                <w:sz w:val="20"/>
                <w:szCs w:val="20"/>
                <w:color w:val="auto"/>
              </w:rPr>
            </w:pPr>
            <w:r>
              <w:rPr>
                <w:rFonts w:ascii="Wingdings" w:cs="Wingdings" w:eastAsia="Wingdings" w:hAnsi="Wingdings"/>
                <w:sz w:val="40"/>
                <w:szCs w:val="40"/>
                <w:b w:val="1"/>
                <w:bCs w:val="1"/>
                <w:color w:val="852166"/>
                <w:vertAlign w:val="subscript"/>
              </w:rPr>
              <w:t>ü</w:t>
            </w:r>
            <w:r>
              <w:rPr>
                <w:rFonts w:ascii="Arial" w:cs="Arial" w:eastAsia="Arial" w:hAnsi="Arial"/>
                <w:sz w:val="14"/>
                <w:szCs w:val="14"/>
                <w:color w:val="auto"/>
              </w:rPr>
              <w:t xml:space="preserve"> Shareholder feedback</w:t>
            </w:r>
          </w:p>
        </w:tc>
      </w:tr>
      <w:tr>
        <w:trPr>
          <w:trHeight w:val="344"/>
        </w:trPr>
        <w:tc>
          <w:tcPr>
            <w:tcW w:w="5560" w:type="dxa"/>
            <w:vAlign w:val="bottom"/>
            <w:tcBorders>
              <w:bottom w:val="single" w:sz="8" w:color="auto"/>
            </w:tcBorders>
          </w:tcPr>
          <w:p>
            <w:pPr>
              <w:ind w:left="80"/>
              <w:spacing w:after="0" w:line="344" w:lineRule="exact"/>
              <w:rPr>
                <w:sz w:val="20"/>
                <w:szCs w:val="20"/>
                <w:color w:val="auto"/>
              </w:rPr>
            </w:pPr>
            <w:r>
              <w:rPr>
                <w:rFonts w:ascii="Wingdings" w:cs="Wingdings" w:eastAsia="Wingdings" w:hAnsi="Wingdings"/>
                <w:sz w:val="39"/>
                <w:szCs w:val="39"/>
                <w:b w:val="1"/>
                <w:bCs w:val="1"/>
                <w:color w:val="852166"/>
                <w:vertAlign w:val="subscript"/>
              </w:rPr>
              <w:t>ü</w:t>
            </w:r>
            <w:r>
              <w:rPr>
                <w:rFonts w:ascii="Arial" w:cs="Arial" w:eastAsia="Arial" w:hAnsi="Arial"/>
                <w:sz w:val="14"/>
                <w:szCs w:val="14"/>
                <w:color w:val="auto"/>
              </w:rPr>
              <w:t xml:space="preserve"> The need to attract and retain talent</w:t>
            </w:r>
          </w:p>
        </w:tc>
        <w:tc>
          <w:tcPr>
            <w:tcW w:w="5680" w:type="dxa"/>
            <w:vAlign w:val="bottom"/>
            <w:tcBorders>
              <w:bottom w:val="single" w:sz="8" w:color="auto"/>
            </w:tcBorders>
          </w:tcPr>
          <w:p>
            <w:pPr>
              <w:ind w:left="160"/>
              <w:spacing w:after="0" w:line="344" w:lineRule="exact"/>
              <w:rPr>
                <w:sz w:val="20"/>
                <w:szCs w:val="20"/>
                <w:color w:val="auto"/>
              </w:rPr>
            </w:pPr>
            <w:r>
              <w:rPr>
                <w:rFonts w:ascii="Wingdings" w:cs="Wingdings" w:eastAsia="Wingdings" w:hAnsi="Wingdings"/>
                <w:sz w:val="39"/>
                <w:szCs w:val="39"/>
                <w:b w:val="1"/>
                <w:bCs w:val="1"/>
                <w:color w:val="852166"/>
                <w:vertAlign w:val="subscript"/>
              </w:rPr>
              <w:t>ü</w:t>
            </w:r>
            <w:r>
              <w:rPr>
                <w:rFonts w:ascii="Arial" w:cs="Arial" w:eastAsia="Arial" w:hAnsi="Arial"/>
                <w:sz w:val="14"/>
                <w:szCs w:val="14"/>
                <w:color w:val="auto"/>
              </w:rPr>
              <w:t xml:space="preserve"> Each NEO’s past performance</w:t>
            </w:r>
          </w:p>
        </w:tc>
      </w:tr>
      <w:tr>
        <w:trPr>
          <w:trHeight w:val="345"/>
        </w:trPr>
        <w:tc>
          <w:tcPr>
            <w:tcW w:w="5560" w:type="dxa"/>
            <w:vAlign w:val="bottom"/>
            <w:tcBorders>
              <w:bottom w:val="single" w:sz="8" w:color="852166"/>
            </w:tcBorders>
          </w:tcPr>
          <w:p>
            <w:pPr>
              <w:ind w:left="80"/>
              <w:spacing w:after="0" w:line="344" w:lineRule="exact"/>
              <w:rPr>
                <w:sz w:val="20"/>
                <w:szCs w:val="20"/>
                <w:color w:val="auto"/>
              </w:rPr>
            </w:pPr>
            <w:r>
              <w:rPr>
                <w:rFonts w:ascii="Wingdings" w:cs="Wingdings" w:eastAsia="Wingdings" w:hAnsi="Wingdings"/>
                <w:sz w:val="39"/>
                <w:szCs w:val="39"/>
                <w:b w:val="1"/>
                <w:bCs w:val="1"/>
                <w:color w:val="852166"/>
                <w:vertAlign w:val="subscript"/>
              </w:rPr>
              <w:t>ü</w:t>
            </w:r>
            <w:r>
              <w:rPr>
                <w:rFonts w:ascii="Arial" w:cs="Arial" w:eastAsia="Arial" w:hAnsi="Arial"/>
                <w:sz w:val="14"/>
                <w:szCs w:val="14"/>
                <w:color w:val="auto"/>
              </w:rPr>
              <w:t xml:space="preserve">  Aggregate compensation cost and impact on shareholder dilution</w:t>
            </w:r>
          </w:p>
        </w:tc>
        <w:tc>
          <w:tcPr>
            <w:tcW w:w="5680" w:type="dxa"/>
            <w:vAlign w:val="bottom"/>
            <w:tcBorders>
              <w:bottom w:val="single" w:sz="8" w:color="852166"/>
            </w:tcBorders>
          </w:tcPr>
          <w:p>
            <w:pPr>
              <w:ind w:left="160"/>
              <w:spacing w:after="0" w:line="344" w:lineRule="exact"/>
              <w:rPr>
                <w:sz w:val="20"/>
                <w:szCs w:val="20"/>
                <w:color w:val="auto"/>
              </w:rPr>
            </w:pPr>
            <w:r>
              <w:rPr>
                <w:rFonts w:ascii="Wingdings" w:cs="Wingdings" w:eastAsia="Wingdings" w:hAnsi="Wingdings"/>
                <w:sz w:val="39"/>
                <w:szCs w:val="39"/>
                <w:b w:val="1"/>
                <w:bCs w:val="1"/>
                <w:color w:val="852166"/>
                <w:vertAlign w:val="subscript"/>
              </w:rPr>
              <w:t>ü</w:t>
            </w:r>
            <w:r>
              <w:rPr>
                <w:rFonts w:ascii="Arial" w:cs="Arial" w:eastAsia="Arial" w:hAnsi="Arial"/>
                <w:sz w:val="14"/>
                <w:szCs w:val="14"/>
                <w:color w:val="auto"/>
              </w:rPr>
              <w:t xml:space="preserve"> Independent judgment of members of compensation committee</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2023 Advisory Vote on Executive Compensation and Shareholder Engagement</w:t>
      </w:r>
    </w:p>
    <w:p>
      <w:pPr>
        <w:spacing w:after="0" w:line="127" w:lineRule="exact"/>
        <w:rPr>
          <w:sz w:val="20"/>
          <w:szCs w:val="20"/>
          <w:color w:val="auto"/>
        </w:rPr>
      </w:pPr>
    </w:p>
    <w:p>
      <w:pPr>
        <w:jc w:val="both"/>
        <w:ind w:right="160"/>
        <w:spacing w:after="0" w:line="319" w:lineRule="auto"/>
        <w:rPr>
          <w:sz w:val="20"/>
          <w:szCs w:val="20"/>
          <w:color w:val="auto"/>
        </w:rPr>
      </w:pPr>
      <w:r>
        <w:rPr>
          <w:rFonts w:ascii="Arial" w:cs="Arial" w:eastAsia="Arial" w:hAnsi="Arial"/>
          <w:sz w:val="16"/>
          <w:szCs w:val="16"/>
          <w:color w:val="auto"/>
        </w:rPr>
        <w:t>We hold a say-on-pay advisory vote on executive compensation annually, which provides shareholders with the opportunity to cast a non-binding vote on a proposal regarding the compensation of our named executive officers. Accordingly, at our 2023 annual meeting, of the votes cast, approximately 92% were voted in favor of the proposal, which covered our executive compensation program for the year ended December 31, 2022.</w:t>
      </w:r>
    </w:p>
    <w:p>
      <w:pPr>
        <w:spacing w:after="0" w:line="63"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auto"/>
        </w:rPr>
        <w:t>Our compensation committee reviewed the final vote results for the proposal and the significant level of shareholder support and positive feedback received on recent program and governance changes. Our compensation committee concluded that our shareholders continue to support our executive compensation program and that it continues to provide a competitive pay-for-performance package that effectively incentivizes the NEOs and encourages long-term retention. As a result, our compensation committee and additionally, with respect to our CEO’s compensation, our board, determined not to make any significant changes to our 2023 executive compensation policies or decisions. Our compensation committee and additionally, with respect to our CEO’s compensation, our board will continue to consider the outcome of our say-on-pay proposals and our shareholders’ views when making future compensation decisions for the NEOs.</w:t>
      </w:r>
    </w:p>
    <w:p>
      <w:pPr>
        <w:spacing w:after="0" w:line="62"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color w:val="auto"/>
        </w:rPr>
        <w:t>More information about our shareholder engagement efforts can be found under the section of this proxy statement entitled, “</w:t>
      </w:r>
      <w:r>
        <w:rPr>
          <w:rFonts w:ascii="Arial" w:cs="Arial" w:eastAsia="Arial" w:hAnsi="Arial"/>
          <w:sz w:val="16"/>
          <w:szCs w:val="16"/>
          <w:i w:val="1"/>
          <w:iCs w:val="1"/>
          <w:color w:val="auto"/>
        </w:rPr>
        <w:t>Proxy Overview—Shareholder</w:t>
      </w:r>
      <w:r>
        <w:rPr>
          <w:rFonts w:ascii="Arial" w:cs="Arial" w:eastAsia="Arial" w:hAnsi="Arial"/>
          <w:sz w:val="16"/>
          <w:szCs w:val="16"/>
          <w:color w:val="auto"/>
        </w:rPr>
        <w:t xml:space="preserve"> </w:t>
      </w:r>
      <w:r>
        <w:rPr>
          <w:rFonts w:ascii="Arial" w:cs="Arial" w:eastAsia="Arial" w:hAnsi="Arial"/>
          <w:sz w:val="16"/>
          <w:szCs w:val="16"/>
          <w:i w:val="1"/>
          <w:iCs w:val="1"/>
          <w:color w:val="auto"/>
        </w:rPr>
        <w:t>and Other Stakeholder Engagement.</w:t>
      </w:r>
      <w:r>
        <w:rPr>
          <w:rFonts w:ascii="Arial" w:cs="Arial" w:eastAsia="Arial" w:hAnsi="Arial"/>
          <w:sz w:val="16"/>
          <w:szCs w:val="16"/>
          <w:color w:val="auto"/>
        </w:rPr>
        <w:t>”</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Key Components and Design of the Executive Compensation Program</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Total Direct Compensation</w:t>
      </w:r>
    </w:p>
    <w:p>
      <w:pPr>
        <w:spacing w:after="0" w:line="127" w:lineRule="exact"/>
        <w:rPr>
          <w:sz w:val="20"/>
          <w:szCs w:val="20"/>
          <w:color w:val="auto"/>
        </w:rPr>
      </w:pPr>
    </w:p>
    <w:p>
      <w:pPr>
        <w:ind w:right="600"/>
        <w:spacing w:after="0" w:line="339" w:lineRule="auto"/>
        <w:rPr>
          <w:sz w:val="20"/>
          <w:szCs w:val="20"/>
          <w:color w:val="auto"/>
        </w:rPr>
      </w:pPr>
      <w:r>
        <w:rPr>
          <w:rFonts w:ascii="Arial" w:cs="Arial" w:eastAsia="Arial" w:hAnsi="Arial"/>
          <w:sz w:val="16"/>
          <w:szCs w:val="16"/>
          <w:color w:val="auto"/>
        </w:rPr>
        <w:t>Our compensation program focuses on target total direct compensation, which consists of base salary, target performance bonus opportunity (which, together with base salary, we refer to as target total cash compensation), and target long-term incentive opportunity.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431"/>
        </w:trPr>
        <w:tc>
          <w:tcPr>
            <w:tcW w:w="2420" w:type="dxa"/>
            <w:vAlign w:val="bottom"/>
            <w:shd w:val="clear" w:color="auto" w:fill="852166"/>
          </w:tcPr>
          <w:p>
            <w:pPr>
              <w:jc w:val="center"/>
              <w:spacing w:after="0"/>
              <w:rPr>
                <w:sz w:val="20"/>
                <w:szCs w:val="20"/>
                <w:color w:val="auto"/>
              </w:rPr>
            </w:pPr>
            <w:r>
              <w:rPr>
                <w:rFonts w:ascii="Arial" w:cs="Arial" w:eastAsia="Arial" w:hAnsi="Arial"/>
                <w:sz w:val="22"/>
                <w:szCs w:val="22"/>
                <w:b w:val="1"/>
                <w:bCs w:val="1"/>
                <w:color w:val="FFFFFF"/>
                <w:w w:val="98"/>
              </w:rPr>
              <w:t>Base</w:t>
            </w:r>
          </w:p>
        </w:tc>
        <w:tc>
          <w:tcPr>
            <w:tcW w:w="440" w:type="dxa"/>
            <w:vAlign w:val="bottom"/>
            <w:vMerge w:val="restart"/>
          </w:tcPr>
          <w:p>
            <w:pPr>
              <w:jc w:val="right"/>
              <w:spacing w:after="0"/>
              <w:rPr>
                <w:sz w:val="20"/>
                <w:szCs w:val="20"/>
                <w:color w:val="auto"/>
              </w:rPr>
            </w:pPr>
            <w:r>
              <w:rPr>
                <w:rFonts w:ascii="Arial" w:cs="Arial" w:eastAsia="Arial" w:hAnsi="Arial"/>
                <w:sz w:val="43"/>
                <w:szCs w:val="43"/>
                <w:b w:val="1"/>
                <w:bCs w:val="1"/>
                <w:color w:val="001C71"/>
              </w:rPr>
              <w:t>+</w:t>
            </w:r>
          </w:p>
        </w:tc>
        <w:tc>
          <w:tcPr>
            <w:tcW w:w="2500" w:type="dxa"/>
            <w:vAlign w:val="bottom"/>
            <w:shd w:val="clear" w:color="auto" w:fill="852166"/>
          </w:tcPr>
          <w:p>
            <w:pPr>
              <w:jc w:val="center"/>
              <w:spacing w:after="0"/>
              <w:rPr>
                <w:sz w:val="20"/>
                <w:szCs w:val="20"/>
                <w:color w:val="auto"/>
              </w:rPr>
            </w:pPr>
            <w:r>
              <w:rPr>
                <w:rFonts w:ascii="Arial" w:cs="Arial" w:eastAsia="Arial" w:hAnsi="Arial"/>
                <w:sz w:val="22"/>
                <w:szCs w:val="22"/>
                <w:b w:val="1"/>
                <w:bCs w:val="1"/>
                <w:color w:val="FFFFFF"/>
                <w:w w:val="98"/>
              </w:rPr>
              <w:t>Performance</w:t>
            </w:r>
          </w:p>
        </w:tc>
        <w:tc>
          <w:tcPr>
            <w:tcW w:w="460" w:type="dxa"/>
            <w:vAlign w:val="bottom"/>
            <w:vMerge w:val="restart"/>
          </w:tcPr>
          <w:p>
            <w:pPr>
              <w:jc w:val="right"/>
              <w:spacing w:after="0"/>
              <w:rPr>
                <w:sz w:val="20"/>
                <w:szCs w:val="20"/>
                <w:color w:val="auto"/>
              </w:rPr>
            </w:pPr>
            <w:r>
              <w:rPr>
                <w:rFonts w:ascii="Arial" w:cs="Arial" w:eastAsia="Arial" w:hAnsi="Arial"/>
                <w:sz w:val="43"/>
                <w:szCs w:val="43"/>
                <w:b w:val="1"/>
                <w:bCs w:val="1"/>
                <w:color w:val="001C71"/>
              </w:rPr>
              <w:t>+</w:t>
            </w:r>
          </w:p>
        </w:tc>
        <w:tc>
          <w:tcPr>
            <w:tcW w:w="2480" w:type="dxa"/>
            <w:vAlign w:val="bottom"/>
            <w:shd w:val="clear" w:color="auto" w:fill="852166"/>
          </w:tcPr>
          <w:p>
            <w:pPr>
              <w:jc w:val="center"/>
              <w:spacing w:after="0"/>
              <w:rPr>
                <w:sz w:val="20"/>
                <w:szCs w:val="20"/>
                <w:color w:val="auto"/>
              </w:rPr>
            </w:pPr>
            <w:r>
              <w:rPr>
                <w:rFonts w:ascii="Arial" w:cs="Arial" w:eastAsia="Arial" w:hAnsi="Arial"/>
                <w:sz w:val="22"/>
                <w:szCs w:val="22"/>
                <w:b w:val="1"/>
                <w:bCs w:val="1"/>
                <w:color w:val="FFFFFF"/>
                <w:w w:val="97"/>
              </w:rPr>
              <w:t>Long-Term</w:t>
            </w:r>
          </w:p>
        </w:tc>
        <w:tc>
          <w:tcPr>
            <w:tcW w:w="440" w:type="dxa"/>
            <w:vAlign w:val="bottom"/>
            <w:vMerge w:val="restart"/>
          </w:tcPr>
          <w:p>
            <w:pPr>
              <w:jc w:val="right"/>
              <w:spacing w:after="0"/>
              <w:rPr>
                <w:sz w:val="20"/>
                <w:szCs w:val="20"/>
                <w:color w:val="auto"/>
              </w:rPr>
            </w:pPr>
            <w:r>
              <w:rPr>
                <w:rFonts w:ascii="Arial" w:cs="Arial" w:eastAsia="Arial" w:hAnsi="Arial"/>
                <w:sz w:val="43"/>
                <w:szCs w:val="43"/>
                <w:b w:val="1"/>
                <w:bCs w:val="1"/>
                <w:color w:val="001C71"/>
              </w:rPr>
              <w:t>=</w:t>
            </w:r>
          </w:p>
        </w:tc>
        <w:tc>
          <w:tcPr>
            <w:tcW w:w="2500" w:type="dxa"/>
            <w:vAlign w:val="bottom"/>
            <w:shd w:val="clear" w:color="auto" w:fill="FFCF01"/>
          </w:tcPr>
          <w:p>
            <w:pPr>
              <w:jc w:val="center"/>
              <w:spacing w:after="0"/>
              <w:rPr>
                <w:sz w:val="20"/>
                <w:szCs w:val="20"/>
                <w:color w:val="auto"/>
              </w:rPr>
            </w:pPr>
            <w:r>
              <w:rPr>
                <w:rFonts w:ascii="Arial" w:cs="Arial" w:eastAsia="Arial" w:hAnsi="Arial"/>
                <w:sz w:val="22"/>
                <w:szCs w:val="22"/>
                <w:b w:val="1"/>
                <w:bCs w:val="1"/>
                <w:color w:val="852166"/>
                <w:w w:val="97"/>
              </w:rPr>
              <w:t>Total Direct</w:t>
            </w:r>
          </w:p>
        </w:tc>
        <w:tc>
          <w:tcPr>
            <w:tcW w:w="0" w:type="dxa"/>
            <w:vAlign w:val="bottom"/>
          </w:tcPr>
          <w:p>
            <w:pPr>
              <w:spacing w:after="0"/>
              <w:rPr>
                <w:sz w:val="1"/>
                <w:szCs w:val="1"/>
                <w:color w:val="auto"/>
              </w:rPr>
            </w:pPr>
          </w:p>
        </w:tc>
      </w:tr>
      <w:tr>
        <w:trPr>
          <w:trHeight w:val="298"/>
        </w:trPr>
        <w:tc>
          <w:tcPr>
            <w:tcW w:w="2420" w:type="dxa"/>
            <w:vAlign w:val="bottom"/>
            <w:shd w:val="clear" w:color="auto" w:fill="852166"/>
          </w:tcPr>
          <w:p>
            <w:pPr>
              <w:jc w:val="center"/>
              <w:spacing w:after="0"/>
              <w:rPr>
                <w:sz w:val="20"/>
                <w:szCs w:val="20"/>
                <w:color w:val="auto"/>
              </w:rPr>
            </w:pPr>
            <w:r>
              <w:rPr>
                <w:rFonts w:ascii="Arial" w:cs="Arial" w:eastAsia="Arial" w:hAnsi="Arial"/>
                <w:sz w:val="22"/>
                <w:szCs w:val="22"/>
                <w:b w:val="1"/>
                <w:bCs w:val="1"/>
                <w:color w:val="FFFFFF"/>
                <w:w w:val="96"/>
              </w:rPr>
              <w:t>Salary</w:t>
            </w:r>
          </w:p>
        </w:tc>
        <w:tc>
          <w:tcPr>
            <w:tcW w:w="440" w:type="dxa"/>
            <w:vAlign w:val="bottom"/>
            <w:vMerge w:val="continue"/>
          </w:tcPr>
          <w:p>
            <w:pPr>
              <w:spacing w:after="0"/>
              <w:rPr>
                <w:sz w:val="24"/>
                <w:szCs w:val="24"/>
                <w:color w:val="auto"/>
              </w:rPr>
            </w:pPr>
          </w:p>
        </w:tc>
        <w:tc>
          <w:tcPr>
            <w:tcW w:w="2500" w:type="dxa"/>
            <w:vAlign w:val="bottom"/>
            <w:shd w:val="clear" w:color="auto" w:fill="852166"/>
          </w:tcPr>
          <w:p>
            <w:pPr>
              <w:jc w:val="center"/>
              <w:spacing w:after="0"/>
              <w:rPr>
                <w:sz w:val="20"/>
                <w:szCs w:val="20"/>
                <w:color w:val="auto"/>
              </w:rPr>
            </w:pPr>
            <w:r>
              <w:rPr>
                <w:rFonts w:ascii="Arial" w:cs="Arial" w:eastAsia="Arial" w:hAnsi="Arial"/>
                <w:sz w:val="22"/>
                <w:szCs w:val="22"/>
                <w:b w:val="1"/>
                <w:bCs w:val="1"/>
                <w:color w:val="FFFFFF"/>
                <w:w w:val="97"/>
              </w:rPr>
              <w:t>Bonus Opportunity</w:t>
            </w:r>
          </w:p>
        </w:tc>
        <w:tc>
          <w:tcPr>
            <w:tcW w:w="460" w:type="dxa"/>
            <w:vAlign w:val="bottom"/>
            <w:vMerge w:val="continue"/>
          </w:tcPr>
          <w:p>
            <w:pPr>
              <w:spacing w:after="0"/>
              <w:rPr>
                <w:sz w:val="24"/>
                <w:szCs w:val="24"/>
                <w:color w:val="auto"/>
              </w:rPr>
            </w:pPr>
          </w:p>
        </w:tc>
        <w:tc>
          <w:tcPr>
            <w:tcW w:w="2480" w:type="dxa"/>
            <w:vAlign w:val="bottom"/>
            <w:shd w:val="clear" w:color="auto" w:fill="852166"/>
          </w:tcPr>
          <w:p>
            <w:pPr>
              <w:jc w:val="center"/>
              <w:spacing w:after="0"/>
              <w:rPr>
                <w:sz w:val="20"/>
                <w:szCs w:val="20"/>
                <w:color w:val="auto"/>
              </w:rPr>
            </w:pPr>
            <w:r>
              <w:rPr>
                <w:rFonts w:ascii="Arial" w:cs="Arial" w:eastAsia="Arial" w:hAnsi="Arial"/>
                <w:sz w:val="22"/>
                <w:szCs w:val="22"/>
                <w:b w:val="1"/>
                <w:bCs w:val="1"/>
                <w:color w:val="FFFFFF"/>
                <w:w w:val="98"/>
              </w:rPr>
              <w:t>Incentive Awards</w:t>
            </w:r>
          </w:p>
        </w:tc>
        <w:tc>
          <w:tcPr>
            <w:tcW w:w="440" w:type="dxa"/>
            <w:vAlign w:val="bottom"/>
            <w:vMerge w:val="continue"/>
          </w:tcPr>
          <w:p>
            <w:pPr>
              <w:spacing w:after="0"/>
              <w:rPr>
                <w:sz w:val="24"/>
                <w:szCs w:val="24"/>
                <w:color w:val="auto"/>
              </w:rPr>
            </w:pPr>
          </w:p>
        </w:tc>
        <w:tc>
          <w:tcPr>
            <w:tcW w:w="2500" w:type="dxa"/>
            <w:vAlign w:val="bottom"/>
            <w:shd w:val="clear" w:color="auto" w:fill="FFCF01"/>
          </w:tcPr>
          <w:p>
            <w:pPr>
              <w:jc w:val="center"/>
              <w:spacing w:after="0"/>
              <w:rPr>
                <w:sz w:val="20"/>
                <w:szCs w:val="20"/>
                <w:color w:val="auto"/>
              </w:rPr>
            </w:pPr>
            <w:r>
              <w:rPr>
                <w:rFonts w:ascii="Arial" w:cs="Arial" w:eastAsia="Arial" w:hAnsi="Arial"/>
                <w:sz w:val="22"/>
                <w:szCs w:val="22"/>
                <w:b w:val="1"/>
                <w:bCs w:val="1"/>
                <w:color w:val="852166"/>
                <w:w w:val="98"/>
              </w:rPr>
              <w:t>Compensation</w:t>
            </w:r>
          </w:p>
        </w:tc>
        <w:tc>
          <w:tcPr>
            <w:tcW w:w="0" w:type="dxa"/>
            <w:vAlign w:val="bottom"/>
          </w:tcPr>
          <w:p>
            <w:pPr>
              <w:spacing w:after="0"/>
              <w:rPr>
                <w:sz w:val="1"/>
                <w:szCs w:val="1"/>
                <w:color w:val="auto"/>
              </w:rPr>
            </w:pPr>
          </w:p>
        </w:tc>
      </w:tr>
      <w:tr>
        <w:trPr>
          <w:trHeight w:val="162"/>
        </w:trPr>
        <w:tc>
          <w:tcPr>
            <w:tcW w:w="2420" w:type="dxa"/>
            <w:vAlign w:val="bottom"/>
            <w:shd w:val="clear" w:color="auto" w:fill="852166"/>
          </w:tcPr>
          <w:p>
            <w:pPr>
              <w:spacing w:after="0"/>
              <w:rPr>
                <w:sz w:val="14"/>
                <w:szCs w:val="14"/>
                <w:color w:val="auto"/>
              </w:rPr>
            </w:pPr>
          </w:p>
        </w:tc>
        <w:tc>
          <w:tcPr>
            <w:tcW w:w="440" w:type="dxa"/>
            <w:vAlign w:val="bottom"/>
          </w:tcPr>
          <w:p>
            <w:pPr>
              <w:spacing w:after="0"/>
              <w:rPr>
                <w:sz w:val="14"/>
                <w:szCs w:val="14"/>
                <w:color w:val="auto"/>
              </w:rPr>
            </w:pPr>
          </w:p>
        </w:tc>
        <w:tc>
          <w:tcPr>
            <w:tcW w:w="2500" w:type="dxa"/>
            <w:vAlign w:val="bottom"/>
            <w:shd w:val="clear" w:color="auto" w:fill="852166"/>
          </w:tcPr>
          <w:p>
            <w:pPr>
              <w:spacing w:after="0"/>
              <w:rPr>
                <w:sz w:val="14"/>
                <w:szCs w:val="14"/>
                <w:color w:val="auto"/>
              </w:rPr>
            </w:pPr>
          </w:p>
        </w:tc>
        <w:tc>
          <w:tcPr>
            <w:tcW w:w="460" w:type="dxa"/>
            <w:vAlign w:val="bottom"/>
          </w:tcPr>
          <w:p>
            <w:pPr>
              <w:spacing w:after="0"/>
              <w:rPr>
                <w:sz w:val="14"/>
                <w:szCs w:val="14"/>
                <w:color w:val="auto"/>
              </w:rPr>
            </w:pPr>
          </w:p>
        </w:tc>
        <w:tc>
          <w:tcPr>
            <w:tcW w:w="2480" w:type="dxa"/>
            <w:vAlign w:val="bottom"/>
            <w:shd w:val="clear" w:color="auto" w:fill="852166"/>
          </w:tcPr>
          <w:p>
            <w:pPr>
              <w:spacing w:after="0"/>
              <w:rPr>
                <w:sz w:val="14"/>
                <w:szCs w:val="14"/>
                <w:color w:val="auto"/>
              </w:rPr>
            </w:pPr>
          </w:p>
        </w:tc>
        <w:tc>
          <w:tcPr>
            <w:tcW w:w="440" w:type="dxa"/>
            <w:vAlign w:val="bottom"/>
          </w:tcPr>
          <w:p>
            <w:pPr>
              <w:spacing w:after="0"/>
              <w:rPr>
                <w:sz w:val="14"/>
                <w:szCs w:val="14"/>
                <w:color w:val="auto"/>
              </w:rPr>
            </w:pPr>
          </w:p>
        </w:tc>
        <w:tc>
          <w:tcPr>
            <w:tcW w:w="2500" w:type="dxa"/>
            <w:vAlign w:val="bottom"/>
            <w:shd w:val="clear" w:color="auto" w:fill="FFCF01"/>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0" w:name="page51"/>
    <w:bookmarkEnd w:id="50"/>
    <w:p>
      <w:pPr>
        <w:ind w:right="100"/>
        <w:spacing w:after="0" w:line="306" w:lineRule="auto"/>
        <w:rPr>
          <w:sz w:val="20"/>
          <w:szCs w:val="20"/>
          <w:color w:val="auto"/>
        </w:rPr>
      </w:pPr>
      <w:r>
        <w:rPr>
          <w:rFonts w:ascii="Arial" w:cs="Arial" w:eastAsia="Arial" w:hAnsi="Arial"/>
          <w:sz w:val="16"/>
          <w:szCs w:val="16"/>
          <w:color w:val="auto"/>
        </w:rPr>
        <w:t>As illustrated in the charts below, a substantial majority of target total direct compensation (that is base salary, target annual bonus and target annual equity grant) for our CEO and other NEOs is structured in the form of variable or “at-risk” compensation that is dependent upon the performance of our share price and/or the achievement of financial and strategic objectives. This aligns our executives’ interests with those of our shareholders for near- and long-term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13335</wp:posOffset>
            </wp:positionV>
            <wp:extent cx="5795010" cy="24688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9501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7180"/>
        <w:spacing w:after="0"/>
        <w:rPr>
          <w:sz w:val="20"/>
          <w:szCs w:val="20"/>
          <w:color w:val="auto"/>
        </w:rPr>
      </w:pPr>
      <w:r>
        <w:rPr>
          <w:rFonts w:ascii="Arial" w:cs="Arial" w:eastAsia="Arial" w:hAnsi="Arial"/>
          <w:sz w:val="14"/>
          <w:szCs w:val="14"/>
          <w:i w:val="1"/>
          <w:iCs w:val="1"/>
          <w:color w:val="auto"/>
        </w:rPr>
        <w:t>Amounts may not total due to rounding.</w:t>
      </w:r>
    </w:p>
    <w:p>
      <w:pPr>
        <w:spacing w:after="0" w:line="372"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auto"/>
        </w:rPr>
        <w:t xml:space="preserve">The pie charts above show the various recurring components of target total direct compensation for 2023 for our CEO and other NEOs. These components include the following: (i) annual base salary rate for 2023; (ii) annual target performance bonus opportunity for 2023; and (iii) the target value of equity awards granted in 2023. Target value of equity awards granted for purposes of the chart below means the target dollar value approved by our compensation committee or our board for each NEO’s equity awards granted in 2023. This value differs from the value shown in the Summary Compensation Table, as discussed further below under </w:t>
      </w:r>
      <w:r>
        <w:rPr>
          <w:rFonts w:ascii="Arial" w:cs="Arial" w:eastAsia="Arial" w:hAnsi="Arial"/>
          <w:sz w:val="16"/>
          <w:szCs w:val="16"/>
          <w:i w:val="1"/>
          <w:iCs w:val="1"/>
          <w:color w:val="auto"/>
        </w:rPr>
        <w:t>“2023 Compensation Decisions for Our Named Executive Officers—Summary of 2023 Compensation Decisions—Long-Term</w:t>
      </w:r>
      <w:r>
        <w:rPr>
          <w:rFonts w:ascii="Arial" w:cs="Arial" w:eastAsia="Arial" w:hAnsi="Arial"/>
          <w:sz w:val="16"/>
          <w:szCs w:val="16"/>
          <w:color w:val="auto"/>
        </w:rPr>
        <w:t xml:space="preserve"> </w:t>
      </w:r>
      <w:r>
        <w:rPr>
          <w:rFonts w:ascii="Arial" w:cs="Arial" w:eastAsia="Arial" w:hAnsi="Arial"/>
          <w:sz w:val="16"/>
          <w:szCs w:val="16"/>
          <w:i w:val="1"/>
          <w:iCs w:val="1"/>
          <w:color w:val="auto"/>
        </w:rPr>
        <w:t>Incentive Program.”</w:t>
      </w:r>
    </w:p>
    <w:p>
      <w:pPr>
        <w:spacing w:after="0" w:line="64" w:lineRule="exact"/>
        <w:rPr>
          <w:sz w:val="20"/>
          <w:szCs w:val="20"/>
          <w:color w:val="auto"/>
        </w:rPr>
      </w:pPr>
    </w:p>
    <w:p>
      <w:pPr>
        <w:ind w:right="160"/>
        <w:spacing w:after="0" w:line="309" w:lineRule="auto"/>
        <w:rPr>
          <w:sz w:val="20"/>
          <w:szCs w:val="20"/>
          <w:color w:val="auto"/>
        </w:rPr>
      </w:pPr>
      <w:r>
        <w:rPr>
          <w:rFonts w:ascii="Arial" w:cs="Arial" w:eastAsia="Arial" w:hAnsi="Arial"/>
          <w:sz w:val="16"/>
          <w:szCs w:val="16"/>
          <w:color w:val="auto"/>
        </w:rPr>
        <w:t>Because we believe it is important to our success to pursue both short- and long-term objectives that drive sustainable shareholder value creation, to avoid excessive risk-taking, and to preserve our cash resources, the majority of the NEOs’ total direct compensation is comprised of variable, “at-risk” compensation, consisting of performance-based bonus opportunities and long-term incentives, in the form of PSUs and RSUs, which align the executive officers’ incentives with the interests of our shareholders. This allocation between variable, “at-risk” and fixed compensation is consistent with our pay-for-performance philosophy.</w:t>
      </w:r>
    </w:p>
    <w:p>
      <w:pPr>
        <w:spacing w:after="0" w:line="58" w:lineRule="exact"/>
        <w:rPr>
          <w:sz w:val="20"/>
          <w:szCs w:val="20"/>
          <w:color w:val="auto"/>
        </w:rPr>
      </w:pPr>
    </w:p>
    <w:p>
      <w:pPr>
        <w:ind w:right="140"/>
        <w:spacing w:after="0" w:line="319" w:lineRule="auto"/>
        <w:rPr>
          <w:sz w:val="20"/>
          <w:szCs w:val="20"/>
          <w:color w:val="auto"/>
        </w:rPr>
      </w:pPr>
      <w:r>
        <w:rPr>
          <w:rFonts w:ascii="Arial" w:cs="Arial" w:eastAsia="Arial" w:hAnsi="Arial"/>
          <w:sz w:val="16"/>
          <w:szCs w:val="16"/>
          <w:color w:val="auto"/>
        </w:rPr>
        <w:t>Our compensation committee takes a holistic approach to compensation and seeks to ensure that the aggregate level of pay across all of the pay elements is meeting our desired objectives for each executive officer. Our compensation committee does not have any formal policies for allocating compensation among base salary, target performance bonus opportunity and long-term incentive awards.</w:t>
      </w:r>
    </w:p>
    <w:p>
      <w:pPr>
        <w:spacing w:after="0" w:line="63"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color w:val="auto"/>
        </w:rPr>
        <w:t>Instead, our compensation committee uses its experience and business judgment to establish a total compensation program for each NEO that is a mix of current, short-term and long-term incentive compensation, and cash and non-cash compensation, which it believes is appropriate to achieve the goals of our executive compensation program and our corporate goals.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39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1" w:name="page52"/>
    <w:bookmarkEnd w:id="51"/>
    <w:p>
      <w:pPr>
        <w:spacing w:after="0"/>
        <w:rPr>
          <w:sz w:val="20"/>
          <w:szCs w:val="20"/>
          <w:color w:val="auto"/>
        </w:rPr>
      </w:pPr>
      <w:r>
        <w:rPr>
          <w:rFonts w:ascii="Arial" w:cs="Arial" w:eastAsia="Arial" w:hAnsi="Arial"/>
          <w:sz w:val="20"/>
          <w:szCs w:val="20"/>
          <w:b w:val="1"/>
          <w:bCs w:val="1"/>
          <w:color w:val="852166"/>
        </w:rPr>
        <w:t>Components of Total Direct Compensation</w:t>
      </w:r>
    </w:p>
    <w:p>
      <w:pPr>
        <w:spacing w:after="0" w:line="131" w:lineRule="exact"/>
        <w:rPr>
          <w:sz w:val="20"/>
          <w:szCs w:val="20"/>
          <w:color w:val="auto"/>
        </w:rPr>
      </w:pPr>
    </w:p>
    <w:p>
      <w:pPr>
        <w:ind w:right="560"/>
        <w:spacing w:after="0" w:line="339" w:lineRule="auto"/>
        <w:rPr>
          <w:sz w:val="20"/>
          <w:szCs w:val="20"/>
          <w:color w:val="auto"/>
        </w:rPr>
      </w:pPr>
      <w:r>
        <w:rPr>
          <w:rFonts w:ascii="Arial" w:cs="Arial" w:eastAsia="Arial" w:hAnsi="Arial"/>
          <w:sz w:val="16"/>
          <w:szCs w:val="16"/>
          <w:color w:val="auto"/>
        </w:rPr>
        <w:t>The table below describes key features of each primary component of our executive compensation program and explains why we provide a particular compensation component.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shd w:val="clear" w:color="auto" w:fill="852166"/>
          </w:tcPr>
          <w:p>
            <w:pPr>
              <w:spacing w:after="0"/>
              <w:rPr>
                <w:sz w:val="18"/>
                <w:szCs w:val="18"/>
                <w:color w:val="auto"/>
              </w:rPr>
            </w:pPr>
          </w:p>
        </w:tc>
        <w:tc>
          <w:tcPr>
            <w:tcW w:w="1700" w:type="dxa"/>
            <w:vAlign w:val="bottom"/>
            <w:shd w:val="clear" w:color="auto" w:fill="852166"/>
          </w:tcPr>
          <w:p>
            <w:pPr>
              <w:ind w:left="20"/>
              <w:spacing w:after="0"/>
              <w:rPr>
                <w:sz w:val="20"/>
                <w:szCs w:val="20"/>
                <w:color w:val="auto"/>
              </w:rPr>
            </w:pPr>
            <w:r>
              <w:rPr>
                <w:rFonts w:ascii="Arial" w:cs="Arial" w:eastAsia="Arial" w:hAnsi="Arial"/>
                <w:sz w:val="14"/>
                <w:szCs w:val="14"/>
                <w:b w:val="1"/>
                <w:bCs w:val="1"/>
                <w:color w:val="FFFFFF"/>
              </w:rPr>
              <w:t>Component</w:t>
            </w:r>
          </w:p>
        </w:tc>
        <w:tc>
          <w:tcPr>
            <w:tcW w:w="220" w:type="dxa"/>
            <w:vAlign w:val="bottom"/>
            <w:shd w:val="clear" w:color="auto" w:fill="852166"/>
          </w:tcPr>
          <w:p>
            <w:pPr>
              <w:spacing w:after="0"/>
              <w:rPr>
                <w:sz w:val="18"/>
                <w:szCs w:val="18"/>
                <w:color w:val="auto"/>
              </w:rPr>
            </w:pPr>
          </w:p>
        </w:tc>
        <w:tc>
          <w:tcPr>
            <w:tcW w:w="140" w:type="dxa"/>
            <w:vAlign w:val="bottom"/>
            <w:shd w:val="clear" w:color="auto" w:fill="852166"/>
          </w:tcPr>
          <w:p>
            <w:pPr>
              <w:spacing w:after="0"/>
              <w:rPr>
                <w:sz w:val="18"/>
                <w:szCs w:val="18"/>
                <w:color w:val="auto"/>
              </w:rPr>
            </w:pPr>
          </w:p>
        </w:tc>
        <w:tc>
          <w:tcPr>
            <w:tcW w:w="4320" w:type="dxa"/>
            <w:vAlign w:val="bottom"/>
            <w:gridSpan w:val="2"/>
            <w:shd w:val="clear" w:color="auto" w:fill="852166"/>
          </w:tcPr>
          <w:p>
            <w:pPr>
              <w:ind w:left="20"/>
              <w:spacing w:after="0"/>
              <w:rPr>
                <w:sz w:val="20"/>
                <w:szCs w:val="20"/>
                <w:color w:val="auto"/>
              </w:rPr>
            </w:pPr>
            <w:r>
              <w:rPr>
                <w:rFonts w:ascii="Arial" w:cs="Arial" w:eastAsia="Arial" w:hAnsi="Arial"/>
                <w:sz w:val="14"/>
                <w:szCs w:val="14"/>
                <w:b w:val="1"/>
                <w:bCs w:val="1"/>
                <w:color w:val="FFFFFF"/>
              </w:rPr>
              <w:t>Key Features</w:t>
            </w:r>
          </w:p>
        </w:tc>
        <w:tc>
          <w:tcPr>
            <w:tcW w:w="240" w:type="dxa"/>
            <w:vAlign w:val="bottom"/>
            <w:shd w:val="clear" w:color="auto" w:fill="852166"/>
          </w:tcPr>
          <w:p>
            <w:pPr>
              <w:spacing w:after="0"/>
              <w:rPr>
                <w:sz w:val="18"/>
                <w:szCs w:val="18"/>
                <w:color w:val="auto"/>
              </w:rPr>
            </w:pPr>
          </w:p>
        </w:tc>
        <w:tc>
          <w:tcPr>
            <w:tcW w:w="120" w:type="dxa"/>
            <w:vAlign w:val="bottom"/>
            <w:shd w:val="clear" w:color="auto" w:fill="852166"/>
          </w:tcPr>
          <w:p>
            <w:pPr>
              <w:spacing w:after="0"/>
              <w:rPr>
                <w:sz w:val="18"/>
                <w:szCs w:val="18"/>
                <w:color w:val="auto"/>
              </w:rPr>
            </w:pPr>
          </w:p>
        </w:tc>
        <w:tc>
          <w:tcPr>
            <w:tcW w:w="4380" w:type="dxa"/>
            <w:vAlign w:val="bottom"/>
            <w:gridSpan w:val="2"/>
            <w:shd w:val="clear" w:color="auto" w:fill="852166"/>
          </w:tcPr>
          <w:p>
            <w:pPr>
              <w:ind w:left="20"/>
              <w:spacing w:after="0"/>
              <w:rPr>
                <w:sz w:val="20"/>
                <w:szCs w:val="20"/>
                <w:color w:val="auto"/>
              </w:rPr>
            </w:pPr>
            <w:r>
              <w:rPr>
                <w:rFonts w:ascii="Arial" w:cs="Arial" w:eastAsia="Arial" w:hAnsi="Arial"/>
                <w:sz w:val="14"/>
                <w:szCs w:val="14"/>
                <w:b w:val="1"/>
                <w:bCs w:val="1"/>
                <w:color w:val="FFFFFF"/>
              </w:rPr>
              <w:t>Purpose</w:t>
            </w:r>
          </w:p>
        </w:tc>
        <w:tc>
          <w:tcPr>
            <w:tcW w:w="0" w:type="dxa"/>
            <w:vAlign w:val="bottom"/>
          </w:tcPr>
          <w:p>
            <w:pPr>
              <w:spacing w:after="0"/>
              <w:rPr>
                <w:sz w:val="1"/>
                <w:szCs w:val="1"/>
                <w:color w:val="auto"/>
              </w:rPr>
            </w:pPr>
          </w:p>
        </w:tc>
      </w:tr>
      <w:tr>
        <w:trPr>
          <w:trHeight w:val="67"/>
        </w:trPr>
        <w:tc>
          <w:tcPr>
            <w:tcW w:w="120" w:type="dxa"/>
            <w:vAlign w:val="bottom"/>
            <w:shd w:val="clear" w:color="auto" w:fill="852166"/>
          </w:tcPr>
          <w:p>
            <w:pPr>
              <w:spacing w:after="0"/>
              <w:rPr>
                <w:sz w:val="5"/>
                <w:szCs w:val="5"/>
                <w:color w:val="auto"/>
              </w:rPr>
            </w:pPr>
          </w:p>
        </w:tc>
        <w:tc>
          <w:tcPr>
            <w:tcW w:w="1700" w:type="dxa"/>
            <w:vAlign w:val="bottom"/>
            <w:shd w:val="clear" w:color="auto" w:fill="852166"/>
          </w:tcPr>
          <w:p>
            <w:pPr>
              <w:spacing w:after="0"/>
              <w:rPr>
                <w:sz w:val="5"/>
                <w:szCs w:val="5"/>
                <w:color w:val="auto"/>
              </w:rPr>
            </w:pPr>
          </w:p>
        </w:tc>
        <w:tc>
          <w:tcPr>
            <w:tcW w:w="220" w:type="dxa"/>
            <w:vAlign w:val="bottom"/>
            <w:shd w:val="clear" w:color="auto" w:fill="852166"/>
          </w:tcPr>
          <w:p>
            <w:pPr>
              <w:spacing w:after="0"/>
              <w:rPr>
                <w:sz w:val="5"/>
                <w:szCs w:val="5"/>
                <w:color w:val="auto"/>
              </w:rPr>
            </w:pPr>
          </w:p>
        </w:tc>
        <w:tc>
          <w:tcPr>
            <w:tcW w:w="140" w:type="dxa"/>
            <w:vAlign w:val="bottom"/>
            <w:shd w:val="clear" w:color="auto" w:fill="852166"/>
          </w:tcPr>
          <w:p>
            <w:pPr>
              <w:spacing w:after="0"/>
              <w:rPr>
                <w:sz w:val="5"/>
                <w:szCs w:val="5"/>
                <w:color w:val="auto"/>
              </w:rPr>
            </w:pPr>
          </w:p>
        </w:tc>
        <w:tc>
          <w:tcPr>
            <w:tcW w:w="200" w:type="dxa"/>
            <w:vAlign w:val="bottom"/>
            <w:shd w:val="clear" w:color="auto" w:fill="852166"/>
          </w:tcPr>
          <w:p>
            <w:pPr>
              <w:spacing w:after="0"/>
              <w:rPr>
                <w:sz w:val="5"/>
                <w:szCs w:val="5"/>
                <w:color w:val="auto"/>
              </w:rPr>
            </w:pPr>
          </w:p>
        </w:tc>
        <w:tc>
          <w:tcPr>
            <w:tcW w:w="4120" w:type="dxa"/>
            <w:vAlign w:val="bottom"/>
            <w:shd w:val="clear" w:color="auto" w:fill="852166"/>
          </w:tcPr>
          <w:p>
            <w:pPr>
              <w:spacing w:after="0"/>
              <w:rPr>
                <w:sz w:val="5"/>
                <w:szCs w:val="5"/>
                <w:color w:val="auto"/>
              </w:rPr>
            </w:pPr>
          </w:p>
        </w:tc>
        <w:tc>
          <w:tcPr>
            <w:tcW w:w="240" w:type="dxa"/>
            <w:vAlign w:val="bottom"/>
            <w:shd w:val="clear" w:color="auto" w:fill="852166"/>
          </w:tcPr>
          <w:p>
            <w:pPr>
              <w:spacing w:after="0"/>
              <w:rPr>
                <w:sz w:val="5"/>
                <w:szCs w:val="5"/>
                <w:color w:val="auto"/>
              </w:rPr>
            </w:pPr>
          </w:p>
        </w:tc>
        <w:tc>
          <w:tcPr>
            <w:tcW w:w="120" w:type="dxa"/>
            <w:vAlign w:val="bottom"/>
            <w:shd w:val="clear" w:color="auto" w:fill="852166"/>
          </w:tcPr>
          <w:p>
            <w:pPr>
              <w:spacing w:after="0"/>
              <w:rPr>
                <w:sz w:val="5"/>
                <w:szCs w:val="5"/>
                <w:color w:val="auto"/>
              </w:rPr>
            </w:pPr>
          </w:p>
        </w:tc>
        <w:tc>
          <w:tcPr>
            <w:tcW w:w="200" w:type="dxa"/>
            <w:vAlign w:val="bottom"/>
            <w:shd w:val="clear" w:color="auto" w:fill="852166"/>
          </w:tcPr>
          <w:p>
            <w:pPr>
              <w:spacing w:after="0"/>
              <w:rPr>
                <w:sz w:val="5"/>
                <w:szCs w:val="5"/>
                <w:color w:val="auto"/>
              </w:rPr>
            </w:pPr>
          </w:p>
        </w:tc>
        <w:tc>
          <w:tcPr>
            <w:tcW w:w="4180" w:type="dxa"/>
            <w:vAlign w:val="bottom"/>
            <w:shd w:val="clear" w:color="auto" w:fill="852166"/>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120" w:type="dxa"/>
            <w:vAlign w:val="bottom"/>
            <w:shd w:val="clear" w:color="auto" w:fill="FFCF01"/>
          </w:tcPr>
          <w:p>
            <w:pPr>
              <w:spacing w:after="0"/>
              <w:rPr>
                <w:sz w:val="23"/>
                <w:szCs w:val="23"/>
                <w:color w:val="auto"/>
              </w:rPr>
            </w:pPr>
          </w:p>
        </w:tc>
        <w:tc>
          <w:tcPr>
            <w:tcW w:w="1700" w:type="dxa"/>
            <w:vAlign w:val="bottom"/>
            <w:shd w:val="clear" w:color="auto" w:fill="FFCF01"/>
          </w:tcPr>
          <w:p>
            <w:pPr>
              <w:ind w:left="20"/>
              <w:spacing w:after="0"/>
              <w:rPr>
                <w:sz w:val="20"/>
                <w:szCs w:val="20"/>
                <w:color w:val="auto"/>
              </w:rPr>
            </w:pPr>
            <w:r>
              <w:rPr>
                <w:rFonts w:ascii="Arial" w:cs="Arial" w:eastAsia="Arial" w:hAnsi="Arial"/>
                <w:sz w:val="14"/>
                <w:szCs w:val="14"/>
                <w:b w:val="1"/>
                <w:bCs w:val="1"/>
                <w:color w:val="auto"/>
              </w:rPr>
              <w:t>Base Salary</w:t>
            </w:r>
          </w:p>
        </w:tc>
        <w:tc>
          <w:tcPr>
            <w:tcW w:w="220" w:type="dxa"/>
            <w:vAlign w:val="bottom"/>
          </w:tcPr>
          <w:p>
            <w:pPr>
              <w:spacing w:after="0"/>
              <w:rPr>
                <w:sz w:val="23"/>
                <w:szCs w:val="23"/>
                <w:color w:val="auto"/>
              </w:rPr>
            </w:pPr>
          </w:p>
        </w:tc>
        <w:tc>
          <w:tcPr>
            <w:tcW w:w="140" w:type="dxa"/>
            <w:vAlign w:val="bottom"/>
            <w:shd w:val="clear" w:color="auto" w:fill="FFF4D2"/>
          </w:tcPr>
          <w:p>
            <w:pPr>
              <w:spacing w:after="0"/>
              <w:rPr>
                <w:sz w:val="23"/>
                <w:szCs w:val="23"/>
                <w:color w:val="auto"/>
              </w:rPr>
            </w:pPr>
          </w:p>
        </w:tc>
        <w:tc>
          <w:tcPr>
            <w:tcW w:w="200" w:type="dxa"/>
            <w:vAlign w:val="bottom"/>
            <w:shd w:val="clear" w:color="auto" w:fill="FFF4D2"/>
          </w:tcPr>
          <w:p>
            <w:pPr>
              <w:ind w:left="20"/>
              <w:spacing w:after="0"/>
              <w:rPr>
                <w:sz w:val="20"/>
                <w:szCs w:val="20"/>
                <w:color w:val="auto"/>
              </w:rPr>
            </w:pPr>
            <w:r>
              <w:rPr>
                <w:rFonts w:ascii="Arial" w:cs="Arial" w:eastAsia="Arial" w:hAnsi="Arial"/>
                <w:sz w:val="14"/>
                <w:szCs w:val="14"/>
                <w:color w:val="auto"/>
              </w:rPr>
              <w:t>•</w:t>
            </w:r>
          </w:p>
        </w:tc>
        <w:tc>
          <w:tcPr>
            <w:tcW w:w="4120" w:type="dxa"/>
            <w:vAlign w:val="bottom"/>
            <w:shd w:val="clear" w:color="auto" w:fill="FFF4D2"/>
          </w:tcPr>
          <w:p>
            <w:pPr>
              <w:ind w:left="140"/>
              <w:spacing w:after="0"/>
              <w:rPr>
                <w:sz w:val="20"/>
                <w:szCs w:val="20"/>
                <w:color w:val="auto"/>
              </w:rPr>
            </w:pPr>
            <w:r>
              <w:rPr>
                <w:rFonts w:ascii="Arial" w:cs="Arial" w:eastAsia="Arial" w:hAnsi="Arial"/>
                <w:sz w:val="14"/>
                <w:szCs w:val="14"/>
                <w:color w:val="auto"/>
              </w:rPr>
              <w:t>Fixed level of cash compensation</w:t>
            </w:r>
          </w:p>
        </w:tc>
        <w:tc>
          <w:tcPr>
            <w:tcW w:w="240" w:type="dxa"/>
            <w:vAlign w:val="bottom"/>
          </w:tcPr>
          <w:p>
            <w:pPr>
              <w:spacing w:after="0"/>
              <w:rPr>
                <w:sz w:val="23"/>
                <w:szCs w:val="23"/>
                <w:color w:val="auto"/>
              </w:rPr>
            </w:pPr>
          </w:p>
        </w:tc>
        <w:tc>
          <w:tcPr>
            <w:tcW w:w="120" w:type="dxa"/>
            <w:vAlign w:val="bottom"/>
            <w:shd w:val="clear" w:color="auto" w:fill="FFF4D2"/>
          </w:tcPr>
          <w:p>
            <w:pPr>
              <w:spacing w:after="0"/>
              <w:rPr>
                <w:sz w:val="23"/>
                <w:szCs w:val="23"/>
                <w:color w:val="auto"/>
              </w:rPr>
            </w:pPr>
          </w:p>
        </w:tc>
        <w:tc>
          <w:tcPr>
            <w:tcW w:w="200" w:type="dxa"/>
            <w:vAlign w:val="bottom"/>
            <w:shd w:val="clear" w:color="auto" w:fill="FFF4D2"/>
          </w:tcPr>
          <w:p>
            <w:pPr>
              <w:ind w:left="20"/>
              <w:spacing w:after="0"/>
              <w:rPr>
                <w:sz w:val="20"/>
                <w:szCs w:val="20"/>
                <w:color w:val="auto"/>
              </w:rPr>
            </w:pPr>
            <w:r>
              <w:rPr>
                <w:rFonts w:ascii="Arial" w:cs="Arial" w:eastAsia="Arial" w:hAnsi="Arial"/>
                <w:sz w:val="14"/>
                <w:szCs w:val="14"/>
                <w:color w:val="auto"/>
              </w:rPr>
              <w:t>•</w:t>
            </w:r>
          </w:p>
        </w:tc>
        <w:tc>
          <w:tcPr>
            <w:tcW w:w="4180" w:type="dxa"/>
            <w:vAlign w:val="bottom"/>
            <w:shd w:val="clear" w:color="auto" w:fill="FFF4D2"/>
          </w:tcPr>
          <w:p>
            <w:pPr>
              <w:ind w:left="140"/>
              <w:spacing w:after="0"/>
              <w:rPr>
                <w:sz w:val="20"/>
                <w:szCs w:val="20"/>
                <w:color w:val="auto"/>
              </w:rPr>
            </w:pPr>
            <w:r>
              <w:rPr>
                <w:rFonts w:ascii="Arial" w:cs="Arial" w:eastAsia="Arial" w:hAnsi="Arial"/>
                <w:sz w:val="14"/>
                <w:szCs w:val="14"/>
                <w:color w:val="auto"/>
              </w:rPr>
              <w:t>Provides fixed level of compensation that is competitive</w:t>
            </w:r>
          </w:p>
        </w:tc>
        <w:tc>
          <w:tcPr>
            <w:tcW w:w="0" w:type="dxa"/>
            <w:vAlign w:val="bottom"/>
          </w:tcPr>
          <w:p>
            <w:pPr>
              <w:spacing w:after="0"/>
              <w:rPr>
                <w:sz w:val="1"/>
                <w:szCs w:val="1"/>
                <w:color w:val="auto"/>
              </w:rPr>
            </w:pPr>
          </w:p>
        </w:tc>
      </w:tr>
      <w:tr>
        <w:trPr>
          <w:trHeight w:val="176"/>
        </w:trPr>
        <w:tc>
          <w:tcPr>
            <w:tcW w:w="120" w:type="dxa"/>
            <w:vAlign w:val="bottom"/>
            <w:shd w:val="clear" w:color="auto" w:fill="FFCF01"/>
          </w:tcPr>
          <w:p>
            <w:pPr>
              <w:spacing w:after="0"/>
              <w:rPr>
                <w:sz w:val="15"/>
                <w:szCs w:val="15"/>
                <w:color w:val="auto"/>
              </w:rPr>
            </w:pPr>
          </w:p>
        </w:tc>
        <w:tc>
          <w:tcPr>
            <w:tcW w:w="1700" w:type="dxa"/>
            <w:vAlign w:val="bottom"/>
            <w:shd w:val="clear" w:color="auto" w:fill="FFCF01"/>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shd w:val="clear" w:color="auto" w:fill="FFF4D2"/>
          </w:tcPr>
          <w:p>
            <w:pPr>
              <w:spacing w:after="0"/>
              <w:rPr>
                <w:sz w:val="15"/>
                <w:szCs w:val="15"/>
                <w:color w:val="auto"/>
              </w:rPr>
            </w:pPr>
          </w:p>
        </w:tc>
        <w:tc>
          <w:tcPr>
            <w:tcW w:w="200" w:type="dxa"/>
            <w:vAlign w:val="bottom"/>
            <w:vMerge w:val="restart"/>
            <w:shd w:val="clear" w:color="auto" w:fill="FFF4D2"/>
          </w:tcPr>
          <w:p>
            <w:pPr>
              <w:ind w:left="20"/>
              <w:spacing w:after="0"/>
              <w:rPr>
                <w:sz w:val="20"/>
                <w:szCs w:val="20"/>
                <w:color w:val="auto"/>
              </w:rPr>
            </w:pPr>
            <w:r>
              <w:rPr>
                <w:rFonts w:ascii="Arial" w:cs="Arial" w:eastAsia="Arial" w:hAnsi="Arial"/>
                <w:sz w:val="14"/>
                <w:szCs w:val="14"/>
                <w:color w:val="auto"/>
              </w:rPr>
              <w:t>•</w:t>
            </w:r>
          </w:p>
        </w:tc>
        <w:tc>
          <w:tcPr>
            <w:tcW w:w="4120" w:type="dxa"/>
            <w:vAlign w:val="bottom"/>
            <w:vMerge w:val="restart"/>
            <w:shd w:val="clear" w:color="auto" w:fill="FFF4D2"/>
          </w:tcPr>
          <w:p>
            <w:pPr>
              <w:ind w:left="140"/>
              <w:spacing w:after="0"/>
              <w:rPr>
                <w:sz w:val="20"/>
                <w:szCs w:val="20"/>
                <w:color w:val="auto"/>
              </w:rPr>
            </w:pPr>
            <w:r>
              <w:rPr>
                <w:rFonts w:ascii="Arial" w:cs="Arial" w:eastAsia="Arial" w:hAnsi="Arial"/>
                <w:sz w:val="14"/>
                <w:szCs w:val="14"/>
                <w:color w:val="auto"/>
              </w:rPr>
              <w:t>No amount is contractually guaranteed</w:t>
            </w:r>
          </w:p>
        </w:tc>
        <w:tc>
          <w:tcPr>
            <w:tcW w:w="240" w:type="dxa"/>
            <w:vAlign w:val="bottom"/>
          </w:tcPr>
          <w:p>
            <w:pPr>
              <w:spacing w:after="0"/>
              <w:rPr>
                <w:sz w:val="15"/>
                <w:szCs w:val="15"/>
                <w:color w:val="auto"/>
              </w:rPr>
            </w:pPr>
          </w:p>
        </w:tc>
        <w:tc>
          <w:tcPr>
            <w:tcW w:w="120" w:type="dxa"/>
            <w:vAlign w:val="bottom"/>
            <w:shd w:val="clear" w:color="auto" w:fill="FFF4D2"/>
          </w:tcPr>
          <w:p>
            <w:pPr>
              <w:spacing w:after="0"/>
              <w:rPr>
                <w:sz w:val="15"/>
                <w:szCs w:val="15"/>
                <w:color w:val="auto"/>
              </w:rPr>
            </w:pPr>
          </w:p>
        </w:tc>
        <w:tc>
          <w:tcPr>
            <w:tcW w:w="200" w:type="dxa"/>
            <w:vAlign w:val="bottom"/>
            <w:shd w:val="clear" w:color="auto" w:fill="FFF4D2"/>
          </w:tcPr>
          <w:p>
            <w:pPr>
              <w:spacing w:after="0"/>
              <w:rPr>
                <w:sz w:val="15"/>
                <w:szCs w:val="15"/>
                <w:color w:val="auto"/>
              </w:rPr>
            </w:pPr>
          </w:p>
        </w:tc>
        <w:tc>
          <w:tcPr>
            <w:tcW w:w="4180" w:type="dxa"/>
            <w:vAlign w:val="bottom"/>
            <w:shd w:val="clear" w:color="auto" w:fill="FFF4D2"/>
          </w:tcPr>
          <w:p>
            <w:pPr>
              <w:ind w:left="140"/>
              <w:spacing w:after="0"/>
              <w:rPr>
                <w:sz w:val="20"/>
                <w:szCs w:val="20"/>
                <w:color w:val="auto"/>
              </w:rPr>
            </w:pPr>
            <w:r>
              <w:rPr>
                <w:rFonts w:ascii="Arial" w:cs="Arial" w:eastAsia="Arial" w:hAnsi="Arial"/>
                <w:sz w:val="14"/>
                <w:szCs w:val="14"/>
                <w:color w:val="auto"/>
              </w:rPr>
              <w:t>within our industry and reflective of the skills and experience</w:t>
            </w:r>
          </w:p>
        </w:tc>
        <w:tc>
          <w:tcPr>
            <w:tcW w:w="0" w:type="dxa"/>
            <w:vAlign w:val="bottom"/>
          </w:tcPr>
          <w:p>
            <w:pPr>
              <w:spacing w:after="0"/>
              <w:rPr>
                <w:sz w:val="1"/>
                <w:szCs w:val="1"/>
                <w:color w:val="auto"/>
              </w:rPr>
            </w:pPr>
          </w:p>
        </w:tc>
      </w:tr>
      <w:tr>
        <w:trPr>
          <w:trHeight w:val="69"/>
        </w:trPr>
        <w:tc>
          <w:tcPr>
            <w:tcW w:w="120" w:type="dxa"/>
            <w:vAlign w:val="bottom"/>
            <w:shd w:val="clear" w:color="auto" w:fill="FFCF01"/>
          </w:tcPr>
          <w:p>
            <w:pPr>
              <w:spacing w:after="0"/>
              <w:rPr>
                <w:sz w:val="5"/>
                <w:szCs w:val="5"/>
                <w:color w:val="auto"/>
              </w:rPr>
            </w:pPr>
          </w:p>
        </w:tc>
        <w:tc>
          <w:tcPr>
            <w:tcW w:w="1700" w:type="dxa"/>
            <w:vAlign w:val="bottom"/>
            <w:shd w:val="clear" w:color="auto" w:fill="FFCF01"/>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FFF4D2"/>
          </w:tcPr>
          <w:p>
            <w:pPr>
              <w:spacing w:after="0"/>
              <w:rPr>
                <w:sz w:val="5"/>
                <w:szCs w:val="5"/>
                <w:color w:val="auto"/>
              </w:rPr>
            </w:pPr>
          </w:p>
        </w:tc>
        <w:tc>
          <w:tcPr>
            <w:tcW w:w="200" w:type="dxa"/>
            <w:vAlign w:val="bottom"/>
            <w:vMerge w:val="continue"/>
            <w:shd w:val="clear" w:color="auto" w:fill="FFF4D2"/>
          </w:tcPr>
          <w:p>
            <w:pPr>
              <w:spacing w:after="0"/>
              <w:rPr>
                <w:sz w:val="5"/>
                <w:szCs w:val="5"/>
                <w:color w:val="auto"/>
              </w:rPr>
            </w:pPr>
          </w:p>
        </w:tc>
        <w:tc>
          <w:tcPr>
            <w:tcW w:w="4120" w:type="dxa"/>
            <w:vAlign w:val="bottom"/>
            <w:vMerge w:val="continue"/>
            <w:shd w:val="clear" w:color="auto" w:fill="FFF4D2"/>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shd w:val="clear" w:color="auto" w:fill="FFF4D2"/>
          </w:tcPr>
          <w:p>
            <w:pPr>
              <w:spacing w:after="0"/>
              <w:rPr>
                <w:sz w:val="5"/>
                <w:szCs w:val="5"/>
                <w:color w:val="auto"/>
              </w:rPr>
            </w:pPr>
          </w:p>
        </w:tc>
        <w:tc>
          <w:tcPr>
            <w:tcW w:w="200" w:type="dxa"/>
            <w:vAlign w:val="bottom"/>
            <w:shd w:val="clear" w:color="auto" w:fill="FFF4D2"/>
          </w:tcPr>
          <w:p>
            <w:pPr>
              <w:spacing w:after="0"/>
              <w:rPr>
                <w:sz w:val="5"/>
                <w:szCs w:val="5"/>
                <w:color w:val="auto"/>
              </w:rPr>
            </w:pPr>
          </w:p>
        </w:tc>
        <w:tc>
          <w:tcPr>
            <w:tcW w:w="4180" w:type="dxa"/>
            <w:vAlign w:val="bottom"/>
            <w:vMerge w:val="restart"/>
            <w:shd w:val="clear" w:color="auto" w:fill="FFF4D2"/>
          </w:tcPr>
          <w:p>
            <w:pPr>
              <w:ind w:left="140"/>
              <w:spacing w:after="0"/>
              <w:rPr>
                <w:sz w:val="20"/>
                <w:szCs w:val="20"/>
                <w:color w:val="auto"/>
              </w:rPr>
            </w:pPr>
            <w:r>
              <w:rPr>
                <w:rFonts w:ascii="Arial" w:cs="Arial" w:eastAsia="Arial" w:hAnsi="Arial"/>
                <w:sz w:val="14"/>
                <w:szCs w:val="14"/>
                <w:color w:val="auto"/>
              </w:rPr>
              <w:t>required to be successful in fulfilling the role</w:t>
            </w:r>
          </w:p>
        </w:tc>
        <w:tc>
          <w:tcPr>
            <w:tcW w:w="0" w:type="dxa"/>
            <w:vAlign w:val="bottom"/>
          </w:tcPr>
          <w:p>
            <w:pPr>
              <w:spacing w:after="0"/>
              <w:rPr>
                <w:sz w:val="1"/>
                <w:szCs w:val="1"/>
                <w:color w:val="auto"/>
              </w:rPr>
            </w:pPr>
          </w:p>
        </w:tc>
      </w:tr>
      <w:tr>
        <w:trPr>
          <w:trHeight w:val="121"/>
        </w:trPr>
        <w:tc>
          <w:tcPr>
            <w:tcW w:w="120" w:type="dxa"/>
            <w:vAlign w:val="bottom"/>
            <w:shd w:val="clear" w:color="auto" w:fill="FFCF01"/>
          </w:tcPr>
          <w:p>
            <w:pPr>
              <w:spacing w:after="0"/>
              <w:rPr>
                <w:sz w:val="10"/>
                <w:szCs w:val="10"/>
                <w:color w:val="auto"/>
              </w:rPr>
            </w:pPr>
          </w:p>
        </w:tc>
        <w:tc>
          <w:tcPr>
            <w:tcW w:w="1700" w:type="dxa"/>
            <w:vAlign w:val="bottom"/>
            <w:shd w:val="clear" w:color="auto" w:fill="FFCF01"/>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shd w:val="clear" w:color="auto" w:fill="FFF4D2"/>
          </w:tcPr>
          <w:p>
            <w:pPr>
              <w:spacing w:after="0"/>
              <w:rPr>
                <w:sz w:val="10"/>
                <w:szCs w:val="10"/>
                <w:color w:val="auto"/>
              </w:rPr>
            </w:pPr>
          </w:p>
        </w:tc>
        <w:tc>
          <w:tcPr>
            <w:tcW w:w="200" w:type="dxa"/>
            <w:vAlign w:val="bottom"/>
            <w:vMerge w:val="restart"/>
            <w:shd w:val="clear" w:color="auto" w:fill="FFF4D2"/>
          </w:tcPr>
          <w:p>
            <w:pPr>
              <w:ind w:left="20"/>
              <w:spacing w:after="0"/>
              <w:rPr>
                <w:sz w:val="20"/>
                <w:szCs w:val="20"/>
                <w:color w:val="auto"/>
              </w:rPr>
            </w:pPr>
            <w:r>
              <w:rPr>
                <w:rFonts w:ascii="Arial" w:cs="Arial" w:eastAsia="Arial" w:hAnsi="Arial"/>
                <w:sz w:val="14"/>
                <w:szCs w:val="14"/>
                <w:color w:val="auto"/>
              </w:rPr>
              <w:t>•</w:t>
            </w:r>
          </w:p>
        </w:tc>
        <w:tc>
          <w:tcPr>
            <w:tcW w:w="4120" w:type="dxa"/>
            <w:vAlign w:val="bottom"/>
            <w:vMerge w:val="restart"/>
            <w:shd w:val="clear" w:color="auto" w:fill="FFF4D2"/>
          </w:tcPr>
          <w:p>
            <w:pPr>
              <w:ind w:left="140"/>
              <w:spacing w:after="0"/>
              <w:rPr>
                <w:sz w:val="20"/>
                <w:szCs w:val="20"/>
                <w:color w:val="auto"/>
              </w:rPr>
            </w:pPr>
            <w:r>
              <w:rPr>
                <w:rFonts w:ascii="Arial" w:cs="Arial" w:eastAsia="Arial" w:hAnsi="Arial"/>
                <w:sz w:val="14"/>
                <w:szCs w:val="14"/>
                <w:color w:val="auto"/>
              </w:rPr>
              <w:t>Amounts reviewed and determined annually, and are</w:t>
            </w:r>
          </w:p>
        </w:tc>
        <w:tc>
          <w:tcPr>
            <w:tcW w:w="240" w:type="dxa"/>
            <w:vAlign w:val="bottom"/>
          </w:tcPr>
          <w:p>
            <w:pPr>
              <w:spacing w:after="0"/>
              <w:rPr>
                <w:sz w:val="10"/>
                <w:szCs w:val="10"/>
                <w:color w:val="auto"/>
              </w:rPr>
            </w:pPr>
          </w:p>
        </w:tc>
        <w:tc>
          <w:tcPr>
            <w:tcW w:w="120" w:type="dxa"/>
            <w:vAlign w:val="bottom"/>
            <w:shd w:val="clear" w:color="auto" w:fill="FFF4D2"/>
          </w:tcPr>
          <w:p>
            <w:pPr>
              <w:spacing w:after="0"/>
              <w:rPr>
                <w:sz w:val="10"/>
                <w:szCs w:val="10"/>
                <w:color w:val="auto"/>
              </w:rPr>
            </w:pPr>
          </w:p>
        </w:tc>
        <w:tc>
          <w:tcPr>
            <w:tcW w:w="200" w:type="dxa"/>
            <w:vAlign w:val="bottom"/>
            <w:shd w:val="clear" w:color="auto" w:fill="FFF4D2"/>
          </w:tcPr>
          <w:p>
            <w:pPr>
              <w:spacing w:after="0"/>
              <w:rPr>
                <w:sz w:val="10"/>
                <w:szCs w:val="10"/>
                <w:color w:val="auto"/>
              </w:rPr>
            </w:pPr>
          </w:p>
        </w:tc>
        <w:tc>
          <w:tcPr>
            <w:tcW w:w="4180" w:type="dxa"/>
            <w:vAlign w:val="bottom"/>
            <w:vMerge w:val="continue"/>
            <w:shd w:val="clear" w:color="auto" w:fill="FFF4D2"/>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20" w:type="dxa"/>
            <w:vAlign w:val="bottom"/>
            <w:shd w:val="clear" w:color="auto" w:fill="FFCF01"/>
          </w:tcPr>
          <w:p>
            <w:pPr>
              <w:spacing w:after="0"/>
              <w:rPr>
                <w:sz w:val="8"/>
                <w:szCs w:val="8"/>
                <w:color w:val="auto"/>
              </w:rPr>
            </w:pPr>
          </w:p>
        </w:tc>
        <w:tc>
          <w:tcPr>
            <w:tcW w:w="1700" w:type="dxa"/>
            <w:vAlign w:val="bottom"/>
            <w:shd w:val="clear" w:color="auto" w:fill="FFCF01"/>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shd w:val="clear" w:color="auto" w:fill="FFF4D2"/>
          </w:tcPr>
          <w:p>
            <w:pPr>
              <w:spacing w:after="0"/>
              <w:rPr>
                <w:sz w:val="8"/>
                <w:szCs w:val="8"/>
                <w:color w:val="auto"/>
              </w:rPr>
            </w:pPr>
          </w:p>
        </w:tc>
        <w:tc>
          <w:tcPr>
            <w:tcW w:w="200" w:type="dxa"/>
            <w:vAlign w:val="bottom"/>
            <w:vMerge w:val="continue"/>
            <w:shd w:val="clear" w:color="auto" w:fill="FFF4D2"/>
          </w:tcPr>
          <w:p>
            <w:pPr>
              <w:spacing w:after="0"/>
              <w:rPr>
                <w:sz w:val="8"/>
                <w:szCs w:val="8"/>
                <w:color w:val="auto"/>
              </w:rPr>
            </w:pPr>
          </w:p>
        </w:tc>
        <w:tc>
          <w:tcPr>
            <w:tcW w:w="4120" w:type="dxa"/>
            <w:vAlign w:val="bottom"/>
            <w:vMerge w:val="continue"/>
            <w:shd w:val="clear" w:color="auto" w:fill="FFF4D2"/>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shd w:val="clear" w:color="auto" w:fill="FFF4D2"/>
          </w:tcPr>
          <w:p>
            <w:pPr>
              <w:spacing w:after="0"/>
              <w:rPr>
                <w:sz w:val="8"/>
                <w:szCs w:val="8"/>
                <w:color w:val="auto"/>
              </w:rPr>
            </w:pPr>
          </w:p>
        </w:tc>
        <w:tc>
          <w:tcPr>
            <w:tcW w:w="200" w:type="dxa"/>
            <w:vAlign w:val="bottom"/>
            <w:shd w:val="clear" w:color="auto" w:fill="FFF4D2"/>
          </w:tcPr>
          <w:p>
            <w:pPr>
              <w:spacing w:after="0"/>
              <w:rPr>
                <w:sz w:val="8"/>
                <w:szCs w:val="8"/>
                <w:color w:val="auto"/>
              </w:rPr>
            </w:pPr>
          </w:p>
        </w:tc>
        <w:tc>
          <w:tcPr>
            <w:tcW w:w="4180" w:type="dxa"/>
            <w:vAlign w:val="bottom"/>
            <w:shd w:val="clear" w:color="auto" w:fill="FFF4D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20" w:type="dxa"/>
            <w:vAlign w:val="bottom"/>
            <w:shd w:val="clear" w:color="auto" w:fill="FFCF01"/>
          </w:tcPr>
          <w:p>
            <w:pPr>
              <w:spacing w:after="0"/>
              <w:rPr>
                <w:sz w:val="16"/>
                <w:szCs w:val="16"/>
                <w:color w:val="auto"/>
              </w:rPr>
            </w:pPr>
          </w:p>
        </w:tc>
        <w:tc>
          <w:tcPr>
            <w:tcW w:w="1700" w:type="dxa"/>
            <w:vAlign w:val="bottom"/>
            <w:shd w:val="clear" w:color="auto" w:fill="FFCF01"/>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shd w:val="clear" w:color="auto" w:fill="FFF4D2"/>
          </w:tcPr>
          <w:p>
            <w:pPr>
              <w:spacing w:after="0"/>
              <w:rPr>
                <w:sz w:val="16"/>
                <w:szCs w:val="16"/>
                <w:color w:val="auto"/>
              </w:rPr>
            </w:pPr>
          </w:p>
        </w:tc>
        <w:tc>
          <w:tcPr>
            <w:tcW w:w="200" w:type="dxa"/>
            <w:vAlign w:val="bottom"/>
            <w:shd w:val="clear" w:color="auto" w:fill="FFF4D2"/>
          </w:tcPr>
          <w:p>
            <w:pPr>
              <w:spacing w:after="0"/>
              <w:rPr>
                <w:sz w:val="16"/>
                <w:szCs w:val="16"/>
                <w:color w:val="auto"/>
              </w:rPr>
            </w:pPr>
          </w:p>
        </w:tc>
        <w:tc>
          <w:tcPr>
            <w:tcW w:w="4120" w:type="dxa"/>
            <w:vAlign w:val="bottom"/>
            <w:shd w:val="clear" w:color="auto" w:fill="FFF4D2"/>
          </w:tcPr>
          <w:p>
            <w:pPr>
              <w:ind w:left="140"/>
              <w:spacing w:after="0"/>
              <w:rPr>
                <w:sz w:val="20"/>
                <w:szCs w:val="20"/>
                <w:color w:val="auto"/>
              </w:rPr>
            </w:pPr>
            <w:r>
              <w:rPr>
                <w:rFonts w:ascii="Arial" w:cs="Arial" w:eastAsia="Arial" w:hAnsi="Arial"/>
                <w:sz w:val="14"/>
                <w:szCs w:val="14"/>
                <w:color w:val="auto"/>
              </w:rPr>
              <w:t>generally effective on or around March 1 each year</w:t>
            </w:r>
          </w:p>
        </w:tc>
        <w:tc>
          <w:tcPr>
            <w:tcW w:w="240" w:type="dxa"/>
            <w:vAlign w:val="bottom"/>
          </w:tcPr>
          <w:p>
            <w:pPr>
              <w:spacing w:after="0"/>
              <w:rPr>
                <w:sz w:val="16"/>
                <w:szCs w:val="16"/>
                <w:color w:val="auto"/>
              </w:rPr>
            </w:pPr>
          </w:p>
        </w:tc>
        <w:tc>
          <w:tcPr>
            <w:tcW w:w="120" w:type="dxa"/>
            <w:vAlign w:val="bottom"/>
            <w:shd w:val="clear" w:color="auto" w:fill="FFF4D2"/>
          </w:tcPr>
          <w:p>
            <w:pPr>
              <w:spacing w:after="0"/>
              <w:rPr>
                <w:sz w:val="16"/>
                <w:szCs w:val="16"/>
                <w:color w:val="auto"/>
              </w:rPr>
            </w:pPr>
          </w:p>
        </w:tc>
        <w:tc>
          <w:tcPr>
            <w:tcW w:w="200" w:type="dxa"/>
            <w:vAlign w:val="bottom"/>
            <w:shd w:val="clear" w:color="auto" w:fill="FFF4D2"/>
          </w:tcPr>
          <w:p>
            <w:pPr>
              <w:spacing w:after="0"/>
              <w:rPr>
                <w:sz w:val="16"/>
                <w:szCs w:val="16"/>
                <w:color w:val="auto"/>
              </w:rPr>
            </w:pPr>
          </w:p>
        </w:tc>
        <w:tc>
          <w:tcPr>
            <w:tcW w:w="4180" w:type="dxa"/>
            <w:vAlign w:val="bottom"/>
            <w:shd w:val="clear" w:color="auto" w:fill="FFF4D2"/>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120" w:type="dxa"/>
            <w:vAlign w:val="bottom"/>
            <w:shd w:val="clear" w:color="auto" w:fill="FFCF01"/>
          </w:tcPr>
          <w:p>
            <w:pPr>
              <w:spacing w:after="0"/>
              <w:rPr>
                <w:sz w:val="6"/>
                <w:szCs w:val="6"/>
                <w:color w:val="auto"/>
              </w:rPr>
            </w:pPr>
          </w:p>
        </w:tc>
        <w:tc>
          <w:tcPr>
            <w:tcW w:w="1700" w:type="dxa"/>
            <w:vAlign w:val="bottom"/>
            <w:shd w:val="clear" w:color="auto" w:fill="FFCF01"/>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shd w:val="clear" w:color="auto" w:fill="FFF4D2"/>
          </w:tcPr>
          <w:p>
            <w:pPr>
              <w:spacing w:after="0"/>
              <w:rPr>
                <w:sz w:val="6"/>
                <w:szCs w:val="6"/>
                <w:color w:val="auto"/>
              </w:rPr>
            </w:pPr>
          </w:p>
        </w:tc>
        <w:tc>
          <w:tcPr>
            <w:tcW w:w="200" w:type="dxa"/>
            <w:vAlign w:val="bottom"/>
            <w:shd w:val="clear" w:color="auto" w:fill="FFF4D2"/>
          </w:tcPr>
          <w:p>
            <w:pPr>
              <w:spacing w:after="0"/>
              <w:rPr>
                <w:sz w:val="6"/>
                <w:szCs w:val="6"/>
                <w:color w:val="auto"/>
              </w:rPr>
            </w:pPr>
          </w:p>
        </w:tc>
        <w:tc>
          <w:tcPr>
            <w:tcW w:w="4120" w:type="dxa"/>
            <w:vAlign w:val="bottom"/>
            <w:shd w:val="clear" w:color="auto" w:fill="FFF4D2"/>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shd w:val="clear" w:color="auto" w:fill="FFF4D2"/>
          </w:tcPr>
          <w:p>
            <w:pPr>
              <w:spacing w:after="0"/>
              <w:rPr>
                <w:sz w:val="6"/>
                <w:szCs w:val="6"/>
                <w:color w:val="auto"/>
              </w:rPr>
            </w:pPr>
          </w:p>
        </w:tc>
        <w:tc>
          <w:tcPr>
            <w:tcW w:w="200" w:type="dxa"/>
            <w:vAlign w:val="bottom"/>
            <w:shd w:val="clear" w:color="auto" w:fill="FFF4D2"/>
          </w:tcPr>
          <w:p>
            <w:pPr>
              <w:spacing w:after="0"/>
              <w:rPr>
                <w:sz w:val="6"/>
                <w:szCs w:val="6"/>
                <w:color w:val="auto"/>
              </w:rPr>
            </w:pPr>
          </w:p>
        </w:tc>
        <w:tc>
          <w:tcPr>
            <w:tcW w:w="4180" w:type="dxa"/>
            <w:vAlign w:val="bottom"/>
            <w:shd w:val="clear" w:color="auto" w:fill="FFF4D2"/>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120" w:type="dxa"/>
            <w:vAlign w:val="bottom"/>
            <w:shd w:val="clear" w:color="auto" w:fill="852166"/>
          </w:tcPr>
          <w:p>
            <w:pPr>
              <w:spacing w:after="0"/>
              <w:rPr>
                <w:sz w:val="23"/>
                <w:szCs w:val="23"/>
                <w:color w:val="auto"/>
              </w:rPr>
            </w:pPr>
          </w:p>
        </w:tc>
        <w:tc>
          <w:tcPr>
            <w:tcW w:w="1700" w:type="dxa"/>
            <w:vAlign w:val="bottom"/>
            <w:shd w:val="clear" w:color="auto" w:fill="852166"/>
          </w:tcPr>
          <w:p>
            <w:pPr>
              <w:ind w:left="20"/>
              <w:spacing w:after="0"/>
              <w:rPr>
                <w:sz w:val="20"/>
                <w:szCs w:val="20"/>
                <w:color w:val="auto"/>
              </w:rPr>
            </w:pPr>
            <w:r>
              <w:rPr>
                <w:rFonts w:ascii="Arial" w:cs="Arial" w:eastAsia="Arial" w:hAnsi="Arial"/>
                <w:sz w:val="14"/>
                <w:szCs w:val="14"/>
                <w:b w:val="1"/>
                <w:bCs w:val="1"/>
                <w:color w:val="FFFFFF"/>
              </w:rPr>
              <w:t>Performance Bonus</w:t>
            </w:r>
          </w:p>
        </w:tc>
        <w:tc>
          <w:tcPr>
            <w:tcW w:w="220" w:type="dxa"/>
            <w:vAlign w:val="bottom"/>
          </w:tcPr>
          <w:p>
            <w:pPr>
              <w:spacing w:after="0"/>
              <w:rPr>
                <w:sz w:val="23"/>
                <w:szCs w:val="23"/>
                <w:color w:val="auto"/>
              </w:rPr>
            </w:pPr>
          </w:p>
        </w:tc>
        <w:tc>
          <w:tcPr>
            <w:tcW w:w="140" w:type="dxa"/>
            <w:vAlign w:val="bottom"/>
            <w:shd w:val="clear" w:color="auto" w:fill="DBB2D0"/>
          </w:tcPr>
          <w:p>
            <w:pPr>
              <w:spacing w:after="0"/>
              <w:rPr>
                <w:sz w:val="23"/>
                <w:szCs w:val="23"/>
                <w:color w:val="auto"/>
              </w:rPr>
            </w:pPr>
          </w:p>
        </w:tc>
        <w:tc>
          <w:tcPr>
            <w:tcW w:w="200" w:type="dxa"/>
            <w:vAlign w:val="bottom"/>
            <w:shd w:val="clear" w:color="auto" w:fill="DBB2D0"/>
          </w:tcPr>
          <w:p>
            <w:pPr>
              <w:ind w:left="20"/>
              <w:spacing w:after="0"/>
              <w:rPr>
                <w:sz w:val="20"/>
                <w:szCs w:val="20"/>
                <w:color w:val="auto"/>
              </w:rPr>
            </w:pPr>
            <w:r>
              <w:rPr>
                <w:rFonts w:ascii="Arial" w:cs="Arial" w:eastAsia="Arial" w:hAnsi="Arial"/>
                <w:sz w:val="14"/>
                <w:szCs w:val="14"/>
                <w:color w:val="auto"/>
              </w:rPr>
              <w:t>•</w:t>
            </w:r>
          </w:p>
        </w:tc>
        <w:tc>
          <w:tcPr>
            <w:tcW w:w="4120" w:type="dxa"/>
            <w:vAlign w:val="bottom"/>
            <w:shd w:val="clear" w:color="auto" w:fill="DBB2D0"/>
          </w:tcPr>
          <w:p>
            <w:pPr>
              <w:ind w:left="140"/>
              <w:spacing w:after="0"/>
              <w:rPr>
                <w:sz w:val="20"/>
                <w:szCs w:val="20"/>
                <w:color w:val="auto"/>
              </w:rPr>
            </w:pPr>
            <w:r>
              <w:rPr>
                <w:rFonts w:ascii="Arial" w:cs="Arial" w:eastAsia="Arial" w:hAnsi="Arial"/>
                <w:sz w:val="14"/>
                <w:szCs w:val="14"/>
                <w:color w:val="auto"/>
              </w:rPr>
              <w:t>Cash compensation under the performance bonus plan,</w:t>
            </w:r>
          </w:p>
        </w:tc>
        <w:tc>
          <w:tcPr>
            <w:tcW w:w="240" w:type="dxa"/>
            <w:vAlign w:val="bottom"/>
          </w:tcPr>
          <w:p>
            <w:pPr>
              <w:spacing w:after="0"/>
              <w:rPr>
                <w:sz w:val="23"/>
                <w:szCs w:val="23"/>
                <w:color w:val="auto"/>
              </w:rPr>
            </w:pPr>
          </w:p>
        </w:tc>
        <w:tc>
          <w:tcPr>
            <w:tcW w:w="120" w:type="dxa"/>
            <w:vAlign w:val="bottom"/>
            <w:shd w:val="clear" w:color="auto" w:fill="DBB2D0"/>
          </w:tcPr>
          <w:p>
            <w:pPr>
              <w:spacing w:after="0"/>
              <w:rPr>
                <w:sz w:val="23"/>
                <w:szCs w:val="23"/>
                <w:color w:val="auto"/>
              </w:rPr>
            </w:pPr>
          </w:p>
        </w:tc>
        <w:tc>
          <w:tcPr>
            <w:tcW w:w="200" w:type="dxa"/>
            <w:vAlign w:val="bottom"/>
            <w:shd w:val="clear" w:color="auto" w:fill="DBB2D0"/>
          </w:tcPr>
          <w:p>
            <w:pPr>
              <w:ind w:left="20"/>
              <w:spacing w:after="0"/>
              <w:rPr>
                <w:sz w:val="20"/>
                <w:szCs w:val="20"/>
                <w:color w:val="auto"/>
              </w:rPr>
            </w:pPr>
            <w:r>
              <w:rPr>
                <w:rFonts w:ascii="Arial" w:cs="Arial" w:eastAsia="Arial" w:hAnsi="Arial"/>
                <w:sz w:val="14"/>
                <w:szCs w:val="14"/>
                <w:color w:val="auto"/>
              </w:rPr>
              <w:t>•</w:t>
            </w:r>
          </w:p>
        </w:tc>
        <w:tc>
          <w:tcPr>
            <w:tcW w:w="4180" w:type="dxa"/>
            <w:vAlign w:val="bottom"/>
            <w:shd w:val="clear" w:color="auto" w:fill="DBB2D0"/>
          </w:tcPr>
          <w:p>
            <w:pPr>
              <w:ind w:left="140"/>
              <w:spacing w:after="0"/>
              <w:rPr>
                <w:sz w:val="20"/>
                <w:szCs w:val="20"/>
                <w:color w:val="auto"/>
              </w:rPr>
            </w:pPr>
            <w:r>
              <w:rPr>
                <w:rFonts w:ascii="Arial" w:cs="Arial" w:eastAsia="Arial" w:hAnsi="Arial"/>
                <w:sz w:val="14"/>
                <w:szCs w:val="14"/>
                <w:color w:val="auto"/>
              </w:rPr>
              <w:t>Provides financial incentives to achieve key corporate</w:t>
            </w:r>
          </w:p>
        </w:tc>
        <w:tc>
          <w:tcPr>
            <w:tcW w:w="0" w:type="dxa"/>
            <w:vAlign w:val="bottom"/>
          </w:tcPr>
          <w:p>
            <w:pPr>
              <w:spacing w:after="0"/>
              <w:rPr>
                <w:sz w:val="1"/>
                <w:szCs w:val="1"/>
                <w:color w:val="auto"/>
              </w:rPr>
            </w:pPr>
          </w:p>
        </w:tc>
      </w:tr>
      <w:tr>
        <w:trPr>
          <w:trHeight w:val="175"/>
        </w:trPr>
        <w:tc>
          <w:tcPr>
            <w:tcW w:w="120" w:type="dxa"/>
            <w:vAlign w:val="bottom"/>
            <w:shd w:val="clear" w:color="auto" w:fill="852166"/>
          </w:tcPr>
          <w:p>
            <w:pPr>
              <w:spacing w:after="0"/>
              <w:rPr>
                <w:sz w:val="15"/>
                <w:szCs w:val="15"/>
                <w:color w:val="auto"/>
              </w:rPr>
            </w:pPr>
          </w:p>
        </w:tc>
        <w:tc>
          <w:tcPr>
            <w:tcW w:w="1700" w:type="dxa"/>
            <w:vAlign w:val="bottom"/>
            <w:shd w:val="clear" w:color="auto" w:fill="852166"/>
          </w:tcPr>
          <w:p>
            <w:pPr>
              <w:ind w:left="20"/>
              <w:spacing w:after="0"/>
              <w:rPr>
                <w:sz w:val="20"/>
                <w:szCs w:val="20"/>
                <w:color w:val="auto"/>
              </w:rPr>
            </w:pPr>
            <w:r>
              <w:rPr>
                <w:rFonts w:ascii="Arial" w:cs="Arial" w:eastAsia="Arial" w:hAnsi="Arial"/>
                <w:sz w:val="14"/>
                <w:szCs w:val="14"/>
                <w:b w:val="1"/>
                <w:bCs w:val="1"/>
                <w:color w:val="FFFFFF"/>
              </w:rPr>
              <w:t>Award</w:t>
            </w:r>
          </w:p>
        </w:tc>
        <w:tc>
          <w:tcPr>
            <w:tcW w:w="220" w:type="dxa"/>
            <w:vAlign w:val="bottom"/>
          </w:tcPr>
          <w:p>
            <w:pPr>
              <w:spacing w:after="0"/>
              <w:rPr>
                <w:sz w:val="15"/>
                <w:szCs w:val="15"/>
                <w:color w:val="auto"/>
              </w:rPr>
            </w:pPr>
          </w:p>
        </w:tc>
        <w:tc>
          <w:tcPr>
            <w:tcW w:w="140" w:type="dxa"/>
            <w:vAlign w:val="bottom"/>
            <w:shd w:val="clear" w:color="auto" w:fill="DBB2D0"/>
          </w:tcPr>
          <w:p>
            <w:pPr>
              <w:spacing w:after="0"/>
              <w:rPr>
                <w:sz w:val="15"/>
                <w:szCs w:val="15"/>
                <w:color w:val="auto"/>
              </w:rPr>
            </w:pPr>
          </w:p>
        </w:tc>
        <w:tc>
          <w:tcPr>
            <w:tcW w:w="200" w:type="dxa"/>
            <w:vAlign w:val="bottom"/>
            <w:shd w:val="clear" w:color="auto" w:fill="DBB2D0"/>
          </w:tcPr>
          <w:p>
            <w:pPr>
              <w:spacing w:after="0"/>
              <w:rPr>
                <w:sz w:val="15"/>
                <w:szCs w:val="15"/>
                <w:color w:val="auto"/>
              </w:rPr>
            </w:pPr>
          </w:p>
        </w:tc>
        <w:tc>
          <w:tcPr>
            <w:tcW w:w="4120" w:type="dxa"/>
            <w:vAlign w:val="bottom"/>
            <w:shd w:val="clear" w:color="auto" w:fill="DBB2D0"/>
          </w:tcPr>
          <w:p>
            <w:pPr>
              <w:ind w:left="140"/>
              <w:spacing w:after="0"/>
              <w:rPr>
                <w:sz w:val="20"/>
                <w:szCs w:val="20"/>
                <w:color w:val="auto"/>
              </w:rPr>
            </w:pPr>
            <w:r>
              <w:rPr>
                <w:rFonts w:ascii="Arial" w:cs="Arial" w:eastAsia="Arial" w:hAnsi="Arial"/>
                <w:sz w:val="14"/>
                <w:szCs w:val="14"/>
                <w:color w:val="auto"/>
              </w:rPr>
              <w:t>which is variable and “at-risk” because it is dependent upon</w:t>
            </w:r>
          </w:p>
        </w:tc>
        <w:tc>
          <w:tcPr>
            <w:tcW w:w="240" w:type="dxa"/>
            <w:vAlign w:val="bottom"/>
          </w:tcPr>
          <w:p>
            <w:pPr>
              <w:spacing w:after="0"/>
              <w:rPr>
                <w:sz w:val="15"/>
                <w:szCs w:val="15"/>
                <w:color w:val="auto"/>
              </w:rPr>
            </w:pPr>
          </w:p>
        </w:tc>
        <w:tc>
          <w:tcPr>
            <w:tcW w:w="120" w:type="dxa"/>
            <w:vAlign w:val="bottom"/>
            <w:shd w:val="clear" w:color="auto" w:fill="DBB2D0"/>
          </w:tcPr>
          <w:p>
            <w:pPr>
              <w:spacing w:after="0"/>
              <w:rPr>
                <w:sz w:val="15"/>
                <w:szCs w:val="15"/>
                <w:color w:val="auto"/>
              </w:rPr>
            </w:pPr>
          </w:p>
        </w:tc>
        <w:tc>
          <w:tcPr>
            <w:tcW w:w="200" w:type="dxa"/>
            <w:vAlign w:val="bottom"/>
            <w:shd w:val="clear" w:color="auto" w:fill="DBB2D0"/>
          </w:tcPr>
          <w:p>
            <w:pPr>
              <w:spacing w:after="0"/>
              <w:rPr>
                <w:sz w:val="15"/>
                <w:szCs w:val="15"/>
                <w:color w:val="auto"/>
              </w:rPr>
            </w:pPr>
          </w:p>
        </w:tc>
        <w:tc>
          <w:tcPr>
            <w:tcW w:w="4180" w:type="dxa"/>
            <w:vAlign w:val="bottom"/>
            <w:shd w:val="clear" w:color="auto" w:fill="DBB2D0"/>
          </w:tcPr>
          <w:p>
            <w:pPr>
              <w:ind w:left="140"/>
              <w:spacing w:after="0"/>
              <w:rPr>
                <w:sz w:val="20"/>
                <w:szCs w:val="20"/>
                <w:color w:val="auto"/>
              </w:rPr>
            </w:pPr>
            <w:r>
              <w:rPr>
                <w:rFonts w:ascii="Arial" w:cs="Arial" w:eastAsia="Arial" w:hAnsi="Arial"/>
                <w:sz w:val="14"/>
                <w:szCs w:val="14"/>
                <w:color w:val="auto"/>
              </w:rPr>
              <w:t>objectives that are aligned with our business strategy</w:t>
            </w:r>
          </w:p>
        </w:tc>
        <w:tc>
          <w:tcPr>
            <w:tcW w:w="0" w:type="dxa"/>
            <w:vAlign w:val="bottom"/>
          </w:tcPr>
          <w:p>
            <w:pPr>
              <w:spacing w:after="0"/>
              <w:rPr>
                <w:sz w:val="1"/>
                <w:szCs w:val="1"/>
                <w:color w:val="auto"/>
              </w:rPr>
            </w:pPr>
          </w:p>
        </w:tc>
      </w:tr>
      <w:tr>
        <w:trPr>
          <w:trHeight w:val="176"/>
        </w:trPr>
        <w:tc>
          <w:tcPr>
            <w:tcW w:w="120" w:type="dxa"/>
            <w:vAlign w:val="bottom"/>
            <w:shd w:val="clear" w:color="auto" w:fill="852166"/>
          </w:tcPr>
          <w:p>
            <w:pPr>
              <w:spacing w:after="0"/>
              <w:rPr>
                <w:sz w:val="15"/>
                <w:szCs w:val="15"/>
                <w:color w:val="auto"/>
              </w:rPr>
            </w:pPr>
          </w:p>
        </w:tc>
        <w:tc>
          <w:tcPr>
            <w:tcW w:w="1700" w:type="dxa"/>
            <w:vAlign w:val="bottom"/>
            <w:shd w:val="clear" w:color="auto" w:fill="852166"/>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shd w:val="clear" w:color="auto" w:fill="DBB2D0"/>
          </w:tcPr>
          <w:p>
            <w:pPr>
              <w:spacing w:after="0"/>
              <w:rPr>
                <w:sz w:val="15"/>
                <w:szCs w:val="15"/>
                <w:color w:val="auto"/>
              </w:rPr>
            </w:pPr>
          </w:p>
        </w:tc>
        <w:tc>
          <w:tcPr>
            <w:tcW w:w="200" w:type="dxa"/>
            <w:vAlign w:val="bottom"/>
            <w:shd w:val="clear" w:color="auto" w:fill="DBB2D0"/>
          </w:tcPr>
          <w:p>
            <w:pPr>
              <w:spacing w:after="0"/>
              <w:rPr>
                <w:sz w:val="15"/>
                <w:szCs w:val="15"/>
                <w:color w:val="auto"/>
              </w:rPr>
            </w:pPr>
          </w:p>
        </w:tc>
        <w:tc>
          <w:tcPr>
            <w:tcW w:w="4120" w:type="dxa"/>
            <w:vAlign w:val="bottom"/>
            <w:shd w:val="clear" w:color="auto" w:fill="DBB2D0"/>
          </w:tcPr>
          <w:p>
            <w:pPr>
              <w:ind w:left="140"/>
              <w:spacing w:after="0"/>
              <w:rPr>
                <w:sz w:val="20"/>
                <w:szCs w:val="20"/>
                <w:color w:val="auto"/>
              </w:rPr>
            </w:pPr>
            <w:r>
              <w:rPr>
                <w:rFonts w:ascii="Arial" w:cs="Arial" w:eastAsia="Arial" w:hAnsi="Arial"/>
                <w:sz w:val="14"/>
                <w:szCs w:val="14"/>
                <w:color w:val="auto"/>
              </w:rPr>
              <w:t>achievement of pre-established financial and strategic</w:t>
            </w:r>
          </w:p>
        </w:tc>
        <w:tc>
          <w:tcPr>
            <w:tcW w:w="240" w:type="dxa"/>
            <w:vAlign w:val="bottom"/>
          </w:tcPr>
          <w:p>
            <w:pPr>
              <w:spacing w:after="0"/>
              <w:rPr>
                <w:sz w:val="15"/>
                <w:szCs w:val="15"/>
                <w:color w:val="auto"/>
              </w:rPr>
            </w:pPr>
          </w:p>
        </w:tc>
        <w:tc>
          <w:tcPr>
            <w:tcW w:w="120" w:type="dxa"/>
            <w:vAlign w:val="bottom"/>
            <w:shd w:val="clear" w:color="auto" w:fill="DBB2D0"/>
          </w:tcPr>
          <w:p>
            <w:pPr>
              <w:spacing w:after="0"/>
              <w:rPr>
                <w:sz w:val="15"/>
                <w:szCs w:val="15"/>
                <w:color w:val="auto"/>
              </w:rPr>
            </w:pPr>
          </w:p>
        </w:tc>
        <w:tc>
          <w:tcPr>
            <w:tcW w:w="200" w:type="dxa"/>
            <w:vAlign w:val="bottom"/>
            <w:shd w:val="clear" w:color="auto" w:fill="DBB2D0"/>
          </w:tcPr>
          <w:p>
            <w:pPr>
              <w:spacing w:after="0"/>
              <w:rPr>
                <w:sz w:val="15"/>
                <w:szCs w:val="15"/>
                <w:color w:val="auto"/>
              </w:rPr>
            </w:pPr>
          </w:p>
        </w:tc>
        <w:tc>
          <w:tcPr>
            <w:tcW w:w="4180" w:type="dxa"/>
            <w:vAlign w:val="bottom"/>
            <w:shd w:val="clear" w:color="auto" w:fill="DBB2D0"/>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0" w:type="dxa"/>
            <w:vAlign w:val="bottom"/>
            <w:shd w:val="clear" w:color="auto" w:fill="852166"/>
          </w:tcPr>
          <w:p>
            <w:pPr>
              <w:spacing w:after="0"/>
              <w:rPr>
                <w:sz w:val="16"/>
                <w:szCs w:val="16"/>
                <w:color w:val="auto"/>
              </w:rPr>
            </w:pPr>
          </w:p>
        </w:tc>
        <w:tc>
          <w:tcPr>
            <w:tcW w:w="1700" w:type="dxa"/>
            <w:vAlign w:val="bottom"/>
            <w:shd w:val="clear" w:color="auto" w:fill="852166"/>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shd w:val="clear" w:color="auto" w:fill="DBB2D0"/>
          </w:tcPr>
          <w:p>
            <w:pPr>
              <w:spacing w:after="0"/>
              <w:rPr>
                <w:sz w:val="16"/>
                <w:szCs w:val="16"/>
                <w:color w:val="auto"/>
              </w:rPr>
            </w:pPr>
          </w:p>
        </w:tc>
        <w:tc>
          <w:tcPr>
            <w:tcW w:w="200" w:type="dxa"/>
            <w:vAlign w:val="bottom"/>
            <w:shd w:val="clear" w:color="auto" w:fill="DBB2D0"/>
          </w:tcPr>
          <w:p>
            <w:pPr>
              <w:spacing w:after="0"/>
              <w:rPr>
                <w:sz w:val="16"/>
                <w:szCs w:val="16"/>
                <w:color w:val="auto"/>
              </w:rPr>
            </w:pPr>
          </w:p>
        </w:tc>
        <w:tc>
          <w:tcPr>
            <w:tcW w:w="4120" w:type="dxa"/>
            <w:vAlign w:val="bottom"/>
            <w:shd w:val="clear" w:color="auto" w:fill="DBB2D0"/>
          </w:tcPr>
          <w:p>
            <w:pPr>
              <w:ind w:left="140"/>
              <w:spacing w:after="0"/>
              <w:rPr>
                <w:sz w:val="20"/>
                <w:szCs w:val="20"/>
                <w:color w:val="auto"/>
              </w:rPr>
            </w:pPr>
            <w:r>
              <w:rPr>
                <w:rFonts w:ascii="Arial" w:cs="Arial" w:eastAsia="Arial" w:hAnsi="Arial"/>
                <w:sz w:val="14"/>
                <w:szCs w:val="14"/>
                <w:color w:val="auto"/>
              </w:rPr>
              <w:t>objectives</w:t>
            </w:r>
          </w:p>
        </w:tc>
        <w:tc>
          <w:tcPr>
            <w:tcW w:w="240" w:type="dxa"/>
            <w:vAlign w:val="bottom"/>
          </w:tcPr>
          <w:p>
            <w:pPr>
              <w:spacing w:after="0"/>
              <w:rPr>
                <w:sz w:val="16"/>
                <w:szCs w:val="16"/>
                <w:color w:val="auto"/>
              </w:rPr>
            </w:pPr>
          </w:p>
        </w:tc>
        <w:tc>
          <w:tcPr>
            <w:tcW w:w="120" w:type="dxa"/>
            <w:vAlign w:val="bottom"/>
            <w:shd w:val="clear" w:color="auto" w:fill="DBB2D0"/>
          </w:tcPr>
          <w:p>
            <w:pPr>
              <w:spacing w:after="0"/>
              <w:rPr>
                <w:sz w:val="16"/>
                <w:szCs w:val="16"/>
                <w:color w:val="auto"/>
              </w:rPr>
            </w:pPr>
          </w:p>
        </w:tc>
        <w:tc>
          <w:tcPr>
            <w:tcW w:w="200" w:type="dxa"/>
            <w:vAlign w:val="bottom"/>
            <w:shd w:val="clear" w:color="auto" w:fill="DBB2D0"/>
          </w:tcPr>
          <w:p>
            <w:pPr>
              <w:spacing w:after="0"/>
              <w:rPr>
                <w:sz w:val="16"/>
                <w:szCs w:val="16"/>
                <w:color w:val="auto"/>
              </w:rPr>
            </w:pPr>
          </w:p>
        </w:tc>
        <w:tc>
          <w:tcPr>
            <w:tcW w:w="4180" w:type="dxa"/>
            <w:vAlign w:val="bottom"/>
            <w:shd w:val="clear" w:color="auto" w:fill="DBB2D0"/>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 w:type="dxa"/>
            <w:vAlign w:val="bottom"/>
            <w:shd w:val="clear" w:color="auto" w:fill="852166"/>
          </w:tcPr>
          <w:p>
            <w:pPr>
              <w:spacing w:after="0"/>
              <w:rPr>
                <w:sz w:val="19"/>
                <w:szCs w:val="19"/>
                <w:color w:val="auto"/>
              </w:rPr>
            </w:pPr>
          </w:p>
        </w:tc>
        <w:tc>
          <w:tcPr>
            <w:tcW w:w="1700" w:type="dxa"/>
            <w:vAlign w:val="bottom"/>
            <w:shd w:val="clear" w:color="auto" w:fill="852166"/>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shd w:val="clear" w:color="auto" w:fill="DBB2D0"/>
          </w:tcPr>
          <w:p>
            <w:pPr>
              <w:spacing w:after="0"/>
              <w:rPr>
                <w:sz w:val="19"/>
                <w:szCs w:val="19"/>
                <w:color w:val="auto"/>
              </w:rPr>
            </w:pPr>
          </w:p>
        </w:tc>
        <w:tc>
          <w:tcPr>
            <w:tcW w:w="200" w:type="dxa"/>
            <w:vAlign w:val="bottom"/>
            <w:shd w:val="clear" w:color="auto" w:fill="DBB2D0"/>
          </w:tcPr>
          <w:p>
            <w:pPr>
              <w:ind w:left="20"/>
              <w:spacing w:after="0"/>
              <w:rPr>
                <w:sz w:val="20"/>
                <w:szCs w:val="20"/>
                <w:color w:val="auto"/>
              </w:rPr>
            </w:pPr>
            <w:r>
              <w:rPr>
                <w:rFonts w:ascii="Arial" w:cs="Arial" w:eastAsia="Arial" w:hAnsi="Arial"/>
                <w:sz w:val="14"/>
                <w:szCs w:val="14"/>
                <w:color w:val="auto"/>
              </w:rPr>
              <w:t>•</w:t>
            </w:r>
          </w:p>
        </w:tc>
        <w:tc>
          <w:tcPr>
            <w:tcW w:w="4120" w:type="dxa"/>
            <w:vAlign w:val="bottom"/>
            <w:shd w:val="clear" w:color="auto" w:fill="DBB2D0"/>
          </w:tcPr>
          <w:p>
            <w:pPr>
              <w:ind w:left="140"/>
              <w:spacing w:after="0"/>
              <w:rPr>
                <w:sz w:val="20"/>
                <w:szCs w:val="20"/>
                <w:color w:val="auto"/>
              </w:rPr>
            </w:pPr>
            <w:r>
              <w:rPr>
                <w:rFonts w:ascii="Arial" w:cs="Arial" w:eastAsia="Arial" w:hAnsi="Arial"/>
                <w:sz w:val="14"/>
                <w:szCs w:val="14"/>
                <w:color w:val="auto"/>
              </w:rPr>
              <w:t>Target bonus opportunities reviewed and determined annually</w:t>
            </w:r>
          </w:p>
        </w:tc>
        <w:tc>
          <w:tcPr>
            <w:tcW w:w="240" w:type="dxa"/>
            <w:vAlign w:val="bottom"/>
          </w:tcPr>
          <w:p>
            <w:pPr>
              <w:spacing w:after="0"/>
              <w:rPr>
                <w:sz w:val="19"/>
                <w:szCs w:val="19"/>
                <w:color w:val="auto"/>
              </w:rPr>
            </w:pPr>
          </w:p>
        </w:tc>
        <w:tc>
          <w:tcPr>
            <w:tcW w:w="120" w:type="dxa"/>
            <w:vAlign w:val="bottom"/>
            <w:shd w:val="clear" w:color="auto" w:fill="DBB2D0"/>
          </w:tcPr>
          <w:p>
            <w:pPr>
              <w:spacing w:after="0"/>
              <w:rPr>
                <w:sz w:val="19"/>
                <w:szCs w:val="19"/>
                <w:color w:val="auto"/>
              </w:rPr>
            </w:pPr>
          </w:p>
        </w:tc>
        <w:tc>
          <w:tcPr>
            <w:tcW w:w="200" w:type="dxa"/>
            <w:vAlign w:val="bottom"/>
            <w:shd w:val="clear" w:color="auto" w:fill="DBB2D0"/>
          </w:tcPr>
          <w:p>
            <w:pPr>
              <w:spacing w:after="0"/>
              <w:rPr>
                <w:sz w:val="19"/>
                <w:szCs w:val="19"/>
                <w:color w:val="auto"/>
              </w:rPr>
            </w:pPr>
          </w:p>
        </w:tc>
        <w:tc>
          <w:tcPr>
            <w:tcW w:w="4180" w:type="dxa"/>
            <w:vAlign w:val="bottom"/>
            <w:shd w:val="clear" w:color="auto" w:fill="DBB2D0"/>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20" w:type="dxa"/>
            <w:vAlign w:val="bottom"/>
            <w:shd w:val="clear" w:color="auto" w:fill="852166"/>
          </w:tcPr>
          <w:p>
            <w:pPr>
              <w:spacing w:after="0"/>
              <w:rPr>
                <w:sz w:val="17"/>
                <w:szCs w:val="17"/>
                <w:color w:val="auto"/>
              </w:rPr>
            </w:pPr>
          </w:p>
        </w:tc>
        <w:tc>
          <w:tcPr>
            <w:tcW w:w="1700" w:type="dxa"/>
            <w:vAlign w:val="bottom"/>
            <w:shd w:val="clear" w:color="auto" w:fill="852166"/>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shd w:val="clear" w:color="auto" w:fill="DBB2D0"/>
          </w:tcPr>
          <w:p>
            <w:pPr>
              <w:spacing w:after="0"/>
              <w:rPr>
                <w:sz w:val="17"/>
                <w:szCs w:val="17"/>
                <w:color w:val="auto"/>
              </w:rPr>
            </w:pPr>
          </w:p>
        </w:tc>
        <w:tc>
          <w:tcPr>
            <w:tcW w:w="200" w:type="dxa"/>
            <w:vAlign w:val="bottom"/>
            <w:shd w:val="clear" w:color="auto" w:fill="DBB2D0"/>
          </w:tcPr>
          <w:p>
            <w:pPr>
              <w:ind w:left="20"/>
              <w:spacing w:after="0"/>
              <w:rPr>
                <w:sz w:val="20"/>
                <w:szCs w:val="20"/>
                <w:color w:val="auto"/>
              </w:rPr>
            </w:pPr>
            <w:r>
              <w:rPr>
                <w:rFonts w:ascii="Arial" w:cs="Arial" w:eastAsia="Arial" w:hAnsi="Arial"/>
                <w:sz w:val="14"/>
                <w:szCs w:val="14"/>
                <w:color w:val="auto"/>
              </w:rPr>
              <w:t>•</w:t>
            </w:r>
          </w:p>
        </w:tc>
        <w:tc>
          <w:tcPr>
            <w:tcW w:w="4120" w:type="dxa"/>
            <w:vAlign w:val="bottom"/>
            <w:shd w:val="clear" w:color="auto" w:fill="DBB2D0"/>
          </w:tcPr>
          <w:p>
            <w:pPr>
              <w:ind w:left="140"/>
              <w:spacing w:after="0"/>
              <w:rPr>
                <w:sz w:val="20"/>
                <w:szCs w:val="20"/>
                <w:color w:val="auto"/>
              </w:rPr>
            </w:pPr>
            <w:r>
              <w:rPr>
                <w:rFonts w:ascii="Arial" w:cs="Arial" w:eastAsia="Arial" w:hAnsi="Arial"/>
                <w:sz w:val="14"/>
                <w:szCs w:val="14"/>
                <w:color w:val="auto"/>
              </w:rPr>
              <w:t>Actual bonuses paid shortly after the end of each year are</w:t>
            </w:r>
          </w:p>
        </w:tc>
        <w:tc>
          <w:tcPr>
            <w:tcW w:w="240" w:type="dxa"/>
            <w:vAlign w:val="bottom"/>
          </w:tcPr>
          <w:p>
            <w:pPr>
              <w:spacing w:after="0"/>
              <w:rPr>
                <w:sz w:val="17"/>
                <w:szCs w:val="17"/>
                <w:color w:val="auto"/>
              </w:rPr>
            </w:pPr>
          </w:p>
        </w:tc>
        <w:tc>
          <w:tcPr>
            <w:tcW w:w="120" w:type="dxa"/>
            <w:vAlign w:val="bottom"/>
            <w:shd w:val="clear" w:color="auto" w:fill="DBB2D0"/>
          </w:tcPr>
          <w:p>
            <w:pPr>
              <w:spacing w:after="0"/>
              <w:rPr>
                <w:sz w:val="17"/>
                <w:szCs w:val="17"/>
                <w:color w:val="auto"/>
              </w:rPr>
            </w:pPr>
          </w:p>
        </w:tc>
        <w:tc>
          <w:tcPr>
            <w:tcW w:w="200" w:type="dxa"/>
            <w:vAlign w:val="bottom"/>
            <w:shd w:val="clear" w:color="auto" w:fill="DBB2D0"/>
          </w:tcPr>
          <w:p>
            <w:pPr>
              <w:spacing w:after="0"/>
              <w:rPr>
                <w:sz w:val="17"/>
                <w:szCs w:val="17"/>
                <w:color w:val="auto"/>
              </w:rPr>
            </w:pPr>
          </w:p>
        </w:tc>
        <w:tc>
          <w:tcPr>
            <w:tcW w:w="4180" w:type="dxa"/>
            <w:vAlign w:val="bottom"/>
            <w:shd w:val="clear" w:color="auto" w:fill="DBB2D0"/>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 w:type="dxa"/>
            <w:vAlign w:val="bottom"/>
            <w:shd w:val="clear" w:color="auto" w:fill="852166"/>
          </w:tcPr>
          <w:p>
            <w:pPr>
              <w:spacing w:after="0"/>
              <w:rPr>
                <w:sz w:val="15"/>
                <w:szCs w:val="15"/>
                <w:color w:val="auto"/>
              </w:rPr>
            </w:pPr>
          </w:p>
        </w:tc>
        <w:tc>
          <w:tcPr>
            <w:tcW w:w="1700" w:type="dxa"/>
            <w:vAlign w:val="bottom"/>
            <w:shd w:val="clear" w:color="auto" w:fill="852166"/>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shd w:val="clear" w:color="auto" w:fill="DBB2D0"/>
          </w:tcPr>
          <w:p>
            <w:pPr>
              <w:spacing w:after="0"/>
              <w:rPr>
                <w:sz w:val="15"/>
                <w:szCs w:val="15"/>
                <w:color w:val="auto"/>
              </w:rPr>
            </w:pPr>
          </w:p>
        </w:tc>
        <w:tc>
          <w:tcPr>
            <w:tcW w:w="200" w:type="dxa"/>
            <w:vAlign w:val="bottom"/>
            <w:shd w:val="clear" w:color="auto" w:fill="DBB2D0"/>
          </w:tcPr>
          <w:p>
            <w:pPr>
              <w:spacing w:after="0"/>
              <w:rPr>
                <w:sz w:val="15"/>
                <w:szCs w:val="15"/>
                <w:color w:val="auto"/>
              </w:rPr>
            </w:pPr>
          </w:p>
        </w:tc>
        <w:tc>
          <w:tcPr>
            <w:tcW w:w="4120" w:type="dxa"/>
            <w:vAlign w:val="bottom"/>
            <w:shd w:val="clear" w:color="auto" w:fill="DBB2D0"/>
          </w:tcPr>
          <w:p>
            <w:pPr>
              <w:ind w:left="140"/>
              <w:spacing w:after="0"/>
              <w:rPr>
                <w:sz w:val="20"/>
                <w:szCs w:val="20"/>
                <w:color w:val="auto"/>
              </w:rPr>
            </w:pPr>
            <w:r>
              <w:rPr>
                <w:rFonts w:ascii="Arial" w:cs="Arial" w:eastAsia="Arial" w:hAnsi="Arial"/>
                <w:sz w:val="14"/>
                <w:szCs w:val="14"/>
                <w:color w:val="auto"/>
              </w:rPr>
              <w:t>based on the extent corporate goals are attained as</w:t>
            </w:r>
          </w:p>
        </w:tc>
        <w:tc>
          <w:tcPr>
            <w:tcW w:w="240" w:type="dxa"/>
            <w:vAlign w:val="bottom"/>
          </w:tcPr>
          <w:p>
            <w:pPr>
              <w:spacing w:after="0"/>
              <w:rPr>
                <w:sz w:val="15"/>
                <w:szCs w:val="15"/>
                <w:color w:val="auto"/>
              </w:rPr>
            </w:pPr>
          </w:p>
        </w:tc>
        <w:tc>
          <w:tcPr>
            <w:tcW w:w="120" w:type="dxa"/>
            <w:vAlign w:val="bottom"/>
            <w:shd w:val="clear" w:color="auto" w:fill="DBB2D0"/>
          </w:tcPr>
          <w:p>
            <w:pPr>
              <w:spacing w:after="0"/>
              <w:rPr>
                <w:sz w:val="15"/>
                <w:szCs w:val="15"/>
                <w:color w:val="auto"/>
              </w:rPr>
            </w:pPr>
          </w:p>
        </w:tc>
        <w:tc>
          <w:tcPr>
            <w:tcW w:w="200" w:type="dxa"/>
            <w:vAlign w:val="bottom"/>
            <w:shd w:val="clear" w:color="auto" w:fill="DBB2D0"/>
          </w:tcPr>
          <w:p>
            <w:pPr>
              <w:spacing w:after="0"/>
              <w:rPr>
                <w:sz w:val="15"/>
                <w:szCs w:val="15"/>
                <w:color w:val="auto"/>
              </w:rPr>
            </w:pPr>
          </w:p>
        </w:tc>
        <w:tc>
          <w:tcPr>
            <w:tcW w:w="4180" w:type="dxa"/>
            <w:vAlign w:val="bottom"/>
            <w:shd w:val="clear" w:color="auto" w:fill="DBB2D0"/>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0" w:type="dxa"/>
            <w:vAlign w:val="bottom"/>
            <w:shd w:val="clear" w:color="auto" w:fill="852166"/>
          </w:tcPr>
          <w:p>
            <w:pPr>
              <w:spacing w:after="0"/>
              <w:rPr>
                <w:sz w:val="15"/>
                <w:szCs w:val="15"/>
                <w:color w:val="auto"/>
              </w:rPr>
            </w:pPr>
          </w:p>
        </w:tc>
        <w:tc>
          <w:tcPr>
            <w:tcW w:w="1700" w:type="dxa"/>
            <w:vAlign w:val="bottom"/>
            <w:shd w:val="clear" w:color="auto" w:fill="852166"/>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shd w:val="clear" w:color="auto" w:fill="DBB2D0"/>
          </w:tcPr>
          <w:p>
            <w:pPr>
              <w:spacing w:after="0"/>
              <w:rPr>
                <w:sz w:val="15"/>
                <w:szCs w:val="15"/>
                <w:color w:val="auto"/>
              </w:rPr>
            </w:pPr>
          </w:p>
        </w:tc>
        <w:tc>
          <w:tcPr>
            <w:tcW w:w="200" w:type="dxa"/>
            <w:vAlign w:val="bottom"/>
            <w:shd w:val="clear" w:color="auto" w:fill="DBB2D0"/>
          </w:tcPr>
          <w:p>
            <w:pPr>
              <w:spacing w:after="0"/>
              <w:rPr>
                <w:sz w:val="15"/>
                <w:szCs w:val="15"/>
                <w:color w:val="auto"/>
              </w:rPr>
            </w:pPr>
          </w:p>
        </w:tc>
        <w:tc>
          <w:tcPr>
            <w:tcW w:w="4120" w:type="dxa"/>
            <w:vAlign w:val="bottom"/>
            <w:shd w:val="clear" w:color="auto" w:fill="DBB2D0"/>
          </w:tcPr>
          <w:p>
            <w:pPr>
              <w:ind w:left="140"/>
              <w:spacing w:after="0"/>
              <w:rPr>
                <w:sz w:val="20"/>
                <w:szCs w:val="20"/>
                <w:color w:val="auto"/>
              </w:rPr>
            </w:pPr>
            <w:r>
              <w:rPr>
                <w:rFonts w:ascii="Arial" w:cs="Arial" w:eastAsia="Arial" w:hAnsi="Arial"/>
                <w:sz w:val="14"/>
                <w:szCs w:val="14"/>
                <w:color w:val="auto"/>
              </w:rPr>
              <w:t>determined by our compensation committee, and for</w:t>
            </w:r>
          </w:p>
        </w:tc>
        <w:tc>
          <w:tcPr>
            <w:tcW w:w="240" w:type="dxa"/>
            <w:vAlign w:val="bottom"/>
          </w:tcPr>
          <w:p>
            <w:pPr>
              <w:spacing w:after="0"/>
              <w:rPr>
                <w:sz w:val="15"/>
                <w:szCs w:val="15"/>
                <w:color w:val="auto"/>
              </w:rPr>
            </w:pPr>
          </w:p>
        </w:tc>
        <w:tc>
          <w:tcPr>
            <w:tcW w:w="120" w:type="dxa"/>
            <w:vAlign w:val="bottom"/>
            <w:shd w:val="clear" w:color="auto" w:fill="DBB2D0"/>
          </w:tcPr>
          <w:p>
            <w:pPr>
              <w:spacing w:after="0"/>
              <w:rPr>
                <w:sz w:val="15"/>
                <w:szCs w:val="15"/>
                <w:color w:val="auto"/>
              </w:rPr>
            </w:pPr>
          </w:p>
        </w:tc>
        <w:tc>
          <w:tcPr>
            <w:tcW w:w="200" w:type="dxa"/>
            <w:vAlign w:val="bottom"/>
            <w:shd w:val="clear" w:color="auto" w:fill="DBB2D0"/>
          </w:tcPr>
          <w:p>
            <w:pPr>
              <w:spacing w:after="0"/>
              <w:rPr>
                <w:sz w:val="15"/>
                <w:szCs w:val="15"/>
                <w:color w:val="auto"/>
              </w:rPr>
            </w:pPr>
          </w:p>
        </w:tc>
        <w:tc>
          <w:tcPr>
            <w:tcW w:w="4180" w:type="dxa"/>
            <w:vAlign w:val="bottom"/>
            <w:shd w:val="clear" w:color="auto" w:fill="DBB2D0"/>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0" w:type="dxa"/>
            <w:vAlign w:val="bottom"/>
            <w:shd w:val="clear" w:color="auto" w:fill="852166"/>
          </w:tcPr>
          <w:p>
            <w:pPr>
              <w:spacing w:after="0"/>
              <w:rPr>
                <w:sz w:val="15"/>
                <w:szCs w:val="15"/>
                <w:color w:val="auto"/>
              </w:rPr>
            </w:pPr>
          </w:p>
        </w:tc>
        <w:tc>
          <w:tcPr>
            <w:tcW w:w="1700" w:type="dxa"/>
            <w:vAlign w:val="bottom"/>
            <w:shd w:val="clear" w:color="auto" w:fill="852166"/>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shd w:val="clear" w:color="auto" w:fill="DBB2D0"/>
          </w:tcPr>
          <w:p>
            <w:pPr>
              <w:spacing w:after="0"/>
              <w:rPr>
                <w:sz w:val="15"/>
                <w:szCs w:val="15"/>
                <w:color w:val="auto"/>
              </w:rPr>
            </w:pPr>
          </w:p>
        </w:tc>
        <w:tc>
          <w:tcPr>
            <w:tcW w:w="200" w:type="dxa"/>
            <w:vAlign w:val="bottom"/>
            <w:shd w:val="clear" w:color="auto" w:fill="DBB2D0"/>
          </w:tcPr>
          <w:p>
            <w:pPr>
              <w:spacing w:after="0"/>
              <w:rPr>
                <w:sz w:val="15"/>
                <w:szCs w:val="15"/>
                <w:color w:val="auto"/>
              </w:rPr>
            </w:pPr>
          </w:p>
        </w:tc>
        <w:tc>
          <w:tcPr>
            <w:tcW w:w="4120" w:type="dxa"/>
            <w:vAlign w:val="bottom"/>
            <w:shd w:val="clear" w:color="auto" w:fill="DBB2D0"/>
          </w:tcPr>
          <w:p>
            <w:pPr>
              <w:ind w:left="140"/>
              <w:spacing w:after="0"/>
              <w:rPr>
                <w:sz w:val="20"/>
                <w:szCs w:val="20"/>
                <w:color w:val="auto"/>
              </w:rPr>
            </w:pPr>
            <w:r>
              <w:rPr>
                <w:rFonts w:ascii="Arial" w:cs="Arial" w:eastAsia="Arial" w:hAnsi="Arial"/>
                <w:sz w:val="14"/>
                <w:szCs w:val="14"/>
                <w:color w:val="auto"/>
              </w:rPr>
              <w:t>executive officers other than our CEO, may reflect their</w:t>
            </w:r>
          </w:p>
        </w:tc>
        <w:tc>
          <w:tcPr>
            <w:tcW w:w="240" w:type="dxa"/>
            <w:vAlign w:val="bottom"/>
          </w:tcPr>
          <w:p>
            <w:pPr>
              <w:spacing w:after="0"/>
              <w:rPr>
                <w:sz w:val="15"/>
                <w:szCs w:val="15"/>
                <w:color w:val="auto"/>
              </w:rPr>
            </w:pPr>
          </w:p>
        </w:tc>
        <w:tc>
          <w:tcPr>
            <w:tcW w:w="120" w:type="dxa"/>
            <w:vAlign w:val="bottom"/>
            <w:shd w:val="clear" w:color="auto" w:fill="DBB2D0"/>
          </w:tcPr>
          <w:p>
            <w:pPr>
              <w:spacing w:after="0"/>
              <w:rPr>
                <w:sz w:val="15"/>
                <w:szCs w:val="15"/>
                <w:color w:val="auto"/>
              </w:rPr>
            </w:pPr>
          </w:p>
        </w:tc>
        <w:tc>
          <w:tcPr>
            <w:tcW w:w="200" w:type="dxa"/>
            <w:vAlign w:val="bottom"/>
            <w:shd w:val="clear" w:color="auto" w:fill="DBB2D0"/>
          </w:tcPr>
          <w:p>
            <w:pPr>
              <w:spacing w:after="0"/>
              <w:rPr>
                <w:sz w:val="15"/>
                <w:szCs w:val="15"/>
                <w:color w:val="auto"/>
              </w:rPr>
            </w:pPr>
          </w:p>
        </w:tc>
        <w:tc>
          <w:tcPr>
            <w:tcW w:w="4180" w:type="dxa"/>
            <w:vAlign w:val="bottom"/>
            <w:shd w:val="clear" w:color="auto" w:fill="DBB2D0"/>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0" w:type="dxa"/>
            <w:vAlign w:val="bottom"/>
            <w:shd w:val="clear" w:color="auto" w:fill="852166"/>
          </w:tcPr>
          <w:p>
            <w:pPr>
              <w:spacing w:after="0"/>
              <w:rPr>
                <w:sz w:val="16"/>
                <w:szCs w:val="16"/>
                <w:color w:val="auto"/>
              </w:rPr>
            </w:pPr>
          </w:p>
        </w:tc>
        <w:tc>
          <w:tcPr>
            <w:tcW w:w="1700" w:type="dxa"/>
            <w:vAlign w:val="bottom"/>
            <w:shd w:val="clear" w:color="auto" w:fill="852166"/>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shd w:val="clear" w:color="auto" w:fill="DBB2D0"/>
          </w:tcPr>
          <w:p>
            <w:pPr>
              <w:spacing w:after="0"/>
              <w:rPr>
                <w:sz w:val="16"/>
                <w:szCs w:val="16"/>
                <w:color w:val="auto"/>
              </w:rPr>
            </w:pPr>
          </w:p>
        </w:tc>
        <w:tc>
          <w:tcPr>
            <w:tcW w:w="200" w:type="dxa"/>
            <w:vAlign w:val="bottom"/>
            <w:shd w:val="clear" w:color="auto" w:fill="DBB2D0"/>
          </w:tcPr>
          <w:p>
            <w:pPr>
              <w:spacing w:after="0"/>
              <w:rPr>
                <w:sz w:val="16"/>
                <w:szCs w:val="16"/>
                <w:color w:val="auto"/>
              </w:rPr>
            </w:pPr>
          </w:p>
        </w:tc>
        <w:tc>
          <w:tcPr>
            <w:tcW w:w="4120" w:type="dxa"/>
            <w:vAlign w:val="bottom"/>
            <w:shd w:val="clear" w:color="auto" w:fill="DBB2D0"/>
          </w:tcPr>
          <w:p>
            <w:pPr>
              <w:ind w:left="140"/>
              <w:spacing w:after="0"/>
              <w:rPr>
                <w:sz w:val="20"/>
                <w:szCs w:val="20"/>
                <w:color w:val="auto"/>
              </w:rPr>
            </w:pPr>
            <w:r>
              <w:rPr>
                <w:rFonts w:ascii="Arial" w:cs="Arial" w:eastAsia="Arial" w:hAnsi="Arial"/>
                <w:sz w:val="14"/>
                <w:szCs w:val="14"/>
                <w:color w:val="auto"/>
              </w:rPr>
              <w:t>individual contributions toward such achievements</w:t>
            </w:r>
          </w:p>
        </w:tc>
        <w:tc>
          <w:tcPr>
            <w:tcW w:w="240" w:type="dxa"/>
            <w:vAlign w:val="bottom"/>
          </w:tcPr>
          <w:p>
            <w:pPr>
              <w:spacing w:after="0"/>
              <w:rPr>
                <w:sz w:val="16"/>
                <w:szCs w:val="16"/>
                <w:color w:val="auto"/>
              </w:rPr>
            </w:pPr>
          </w:p>
        </w:tc>
        <w:tc>
          <w:tcPr>
            <w:tcW w:w="120" w:type="dxa"/>
            <w:vAlign w:val="bottom"/>
            <w:shd w:val="clear" w:color="auto" w:fill="DBB2D0"/>
          </w:tcPr>
          <w:p>
            <w:pPr>
              <w:spacing w:after="0"/>
              <w:rPr>
                <w:sz w:val="16"/>
                <w:szCs w:val="16"/>
                <w:color w:val="auto"/>
              </w:rPr>
            </w:pPr>
          </w:p>
        </w:tc>
        <w:tc>
          <w:tcPr>
            <w:tcW w:w="200" w:type="dxa"/>
            <w:vAlign w:val="bottom"/>
            <w:shd w:val="clear" w:color="auto" w:fill="DBB2D0"/>
          </w:tcPr>
          <w:p>
            <w:pPr>
              <w:spacing w:after="0"/>
              <w:rPr>
                <w:sz w:val="16"/>
                <w:szCs w:val="16"/>
                <w:color w:val="auto"/>
              </w:rPr>
            </w:pPr>
          </w:p>
        </w:tc>
        <w:tc>
          <w:tcPr>
            <w:tcW w:w="4180" w:type="dxa"/>
            <w:vAlign w:val="bottom"/>
            <w:shd w:val="clear" w:color="auto" w:fill="DBB2D0"/>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20" w:type="dxa"/>
            <w:vAlign w:val="bottom"/>
            <w:shd w:val="clear" w:color="auto" w:fill="852166"/>
          </w:tcPr>
          <w:p>
            <w:pPr>
              <w:spacing w:after="0"/>
              <w:rPr>
                <w:sz w:val="17"/>
                <w:szCs w:val="17"/>
                <w:color w:val="auto"/>
              </w:rPr>
            </w:pPr>
          </w:p>
        </w:tc>
        <w:tc>
          <w:tcPr>
            <w:tcW w:w="1700" w:type="dxa"/>
            <w:vAlign w:val="bottom"/>
            <w:shd w:val="clear" w:color="auto" w:fill="852166"/>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shd w:val="clear" w:color="auto" w:fill="DBB2D0"/>
          </w:tcPr>
          <w:p>
            <w:pPr>
              <w:spacing w:after="0"/>
              <w:rPr>
                <w:sz w:val="17"/>
                <w:szCs w:val="17"/>
                <w:color w:val="auto"/>
              </w:rPr>
            </w:pPr>
          </w:p>
        </w:tc>
        <w:tc>
          <w:tcPr>
            <w:tcW w:w="200" w:type="dxa"/>
            <w:vAlign w:val="bottom"/>
            <w:shd w:val="clear" w:color="auto" w:fill="DBB2D0"/>
          </w:tcPr>
          <w:p>
            <w:pPr>
              <w:ind w:left="20"/>
              <w:spacing w:after="0"/>
              <w:rPr>
                <w:sz w:val="20"/>
                <w:szCs w:val="20"/>
                <w:color w:val="auto"/>
              </w:rPr>
            </w:pPr>
            <w:r>
              <w:rPr>
                <w:rFonts w:ascii="Arial" w:cs="Arial" w:eastAsia="Arial" w:hAnsi="Arial"/>
                <w:sz w:val="14"/>
                <w:szCs w:val="14"/>
                <w:color w:val="auto"/>
              </w:rPr>
              <w:t>•</w:t>
            </w:r>
          </w:p>
        </w:tc>
        <w:tc>
          <w:tcPr>
            <w:tcW w:w="4120" w:type="dxa"/>
            <w:vAlign w:val="bottom"/>
            <w:shd w:val="clear" w:color="auto" w:fill="DBB2D0"/>
          </w:tcPr>
          <w:p>
            <w:pPr>
              <w:ind w:left="140"/>
              <w:spacing w:after="0"/>
              <w:rPr>
                <w:sz w:val="20"/>
                <w:szCs w:val="20"/>
                <w:color w:val="auto"/>
              </w:rPr>
            </w:pPr>
            <w:r>
              <w:rPr>
                <w:rFonts w:ascii="Arial" w:cs="Arial" w:eastAsia="Arial" w:hAnsi="Arial"/>
                <w:sz w:val="14"/>
                <w:szCs w:val="14"/>
                <w:color w:val="auto"/>
              </w:rPr>
              <w:t>Actual bonuses capped at 300% of executive officer’s target</w:t>
            </w:r>
          </w:p>
        </w:tc>
        <w:tc>
          <w:tcPr>
            <w:tcW w:w="240" w:type="dxa"/>
            <w:vAlign w:val="bottom"/>
          </w:tcPr>
          <w:p>
            <w:pPr>
              <w:spacing w:after="0"/>
              <w:rPr>
                <w:sz w:val="17"/>
                <w:szCs w:val="17"/>
                <w:color w:val="auto"/>
              </w:rPr>
            </w:pPr>
          </w:p>
        </w:tc>
        <w:tc>
          <w:tcPr>
            <w:tcW w:w="120" w:type="dxa"/>
            <w:vAlign w:val="bottom"/>
            <w:shd w:val="clear" w:color="auto" w:fill="DBB2D0"/>
          </w:tcPr>
          <w:p>
            <w:pPr>
              <w:spacing w:after="0"/>
              <w:rPr>
                <w:sz w:val="17"/>
                <w:szCs w:val="17"/>
                <w:color w:val="auto"/>
              </w:rPr>
            </w:pPr>
          </w:p>
        </w:tc>
        <w:tc>
          <w:tcPr>
            <w:tcW w:w="200" w:type="dxa"/>
            <w:vAlign w:val="bottom"/>
            <w:shd w:val="clear" w:color="auto" w:fill="DBB2D0"/>
          </w:tcPr>
          <w:p>
            <w:pPr>
              <w:spacing w:after="0"/>
              <w:rPr>
                <w:sz w:val="17"/>
                <w:szCs w:val="17"/>
                <w:color w:val="auto"/>
              </w:rPr>
            </w:pPr>
          </w:p>
        </w:tc>
        <w:tc>
          <w:tcPr>
            <w:tcW w:w="4180" w:type="dxa"/>
            <w:vAlign w:val="bottom"/>
            <w:shd w:val="clear" w:color="auto" w:fill="DBB2D0"/>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20" w:type="dxa"/>
            <w:vAlign w:val="bottom"/>
            <w:shd w:val="clear" w:color="auto" w:fill="852166"/>
          </w:tcPr>
          <w:p>
            <w:pPr>
              <w:spacing w:after="0"/>
              <w:rPr>
                <w:sz w:val="15"/>
                <w:szCs w:val="15"/>
                <w:color w:val="auto"/>
              </w:rPr>
            </w:pPr>
          </w:p>
        </w:tc>
        <w:tc>
          <w:tcPr>
            <w:tcW w:w="1700" w:type="dxa"/>
            <w:vAlign w:val="bottom"/>
            <w:shd w:val="clear" w:color="auto" w:fill="852166"/>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shd w:val="clear" w:color="auto" w:fill="DBB2D0"/>
          </w:tcPr>
          <w:p>
            <w:pPr>
              <w:spacing w:after="0"/>
              <w:rPr>
                <w:sz w:val="15"/>
                <w:szCs w:val="15"/>
                <w:color w:val="auto"/>
              </w:rPr>
            </w:pPr>
          </w:p>
        </w:tc>
        <w:tc>
          <w:tcPr>
            <w:tcW w:w="200" w:type="dxa"/>
            <w:vAlign w:val="bottom"/>
            <w:shd w:val="clear" w:color="auto" w:fill="DBB2D0"/>
          </w:tcPr>
          <w:p>
            <w:pPr>
              <w:spacing w:after="0"/>
              <w:rPr>
                <w:sz w:val="15"/>
                <w:szCs w:val="15"/>
                <w:color w:val="auto"/>
              </w:rPr>
            </w:pPr>
          </w:p>
        </w:tc>
        <w:tc>
          <w:tcPr>
            <w:tcW w:w="4120" w:type="dxa"/>
            <w:vAlign w:val="bottom"/>
            <w:shd w:val="clear" w:color="auto" w:fill="DBB2D0"/>
          </w:tcPr>
          <w:p>
            <w:pPr>
              <w:ind w:left="140"/>
              <w:spacing w:after="0"/>
              <w:rPr>
                <w:sz w:val="20"/>
                <w:szCs w:val="20"/>
                <w:color w:val="auto"/>
              </w:rPr>
            </w:pPr>
            <w:r>
              <w:rPr>
                <w:rFonts w:ascii="Arial" w:cs="Arial" w:eastAsia="Arial" w:hAnsi="Arial"/>
                <w:sz w:val="14"/>
                <w:szCs w:val="14"/>
                <w:color w:val="auto"/>
              </w:rPr>
              <w:t>award (other than for our CEO, whose actual bonus is</w:t>
            </w:r>
          </w:p>
        </w:tc>
        <w:tc>
          <w:tcPr>
            <w:tcW w:w="240" w:type="dxa"/>
            <w:vAlign w:val="bottom"/>
          </w:tcPr>
          <w:p>
            <w:pPr>
              <w:spacing w:after="0"/>
              <w:rPr>
                <w:sz w:val="15"/>
                <w:szCs w:val="15"/>
                <w:color w:val="auto"/>
              </w:rPr>
            </w:pPr>
          </w:p>
        </w:tc>
        <w:tc>
          <w:tcPr>
            <w:tcW w:w="120" w:type="dxa"/>
            <w:vAlign w:val="bottom"/>
            <w:shd w:val="clear" w:color="auto" w:fill="DBB2D0"/>
          </w:tcPr>
          <w:p>
            <w:pPr>
              <w:spacing w:after="0"/>
              <w:rPr>
                <w:sz w:val="15"/>
                <w:szCs w:val="15"/>
                <w:color w:val="auto"/>
              </w:rPr>
            </w:pPr>
          </w:p>
        </w:tc>
        <w:tc>
          <w:tcPr>
            <w:tcW w:w="200" w:type="dxa"/>
            <w:vAlign w:val="bottom"/>
            <w:shd w:val="clear" w:color="auto" w:fill="DBB2D0"/>
          </w:tcPr>
          <w:p>
            <w:pPr>
              <w:spacing w:after="0"/>
              <w:rPr>
                <w:sz w:val="15"/>
                <w:szCs w:val="15"/>
                <w:color w:val="auto"/>
              </w:rPr>
            </w:pPr>
          </w:p>
        </w:tc>
        <w:tc>
          <w:tcPr>
            <w:tcW w:w="4180" w:type="dxa"/>
            <w:vAlign w:val="bottom"/>
            <w:shd w:val="clear" w:color="auto" w:fill="DBB2D0"/>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0" w:type="dxa"/>
            <w:vAlign w:val="bottom"/>
            <w:shd w:val="clear" w:color="auto" w:fill="852166"/>
          </w:tcPr>
          <w:p>
            <w:pPr>
              <w:spacing w:after="0"/>
              <w:rPr>
                <w:sz w:val="15"/>
                <w:szCs w:val="15"/>
                <w:color w:val="auto"/>
              </w:rPr>
            </w:pPr>
          </w:p>
        </w:tc>
        <w:tc>
          <w:tcPr>
            <w:tcW w:w="1700" w:type="dxa"/>
            <w:vAlign w:val="bottom"/>
            <w:shd w:val="clear" w:color="auto" w:fill="852166"/>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shd w:val="clear" w:color="auto" w:fill="DBB2D0"/>
          </w:tcPr>
          <w:p>
            <w:pPr>
              <w:spacing w:after="0"/>
              <w:rPr>
                <w:sz w:val="15"/>
                <w:szCs w:val="15"/>
                <w:color w:val="auto"/>
              </w:rPr>
            </w:pPr>
          </w:p>
        </w:tc>
        <w:tc>
          <w:tcPr>
            <w:tcW w:w="200" w:type="dxa"/>
            <w:vAlign w:val="bottom"/>
            <w:shd w:val="clear" w:color="auto" w:fill="DBB2D0"/>
          </w:tcPr>
          <w:p>
            <w:pPr>
              <w:spacing w:after="0"/>
              <w:rPr>
                <w:sz w:val="15"/>
                <w:szCs w:val="15"/>
                <w:color w:val="auto"/>
              </w:rPr>
            </w:pPr>
          </w:p>
        </w:tc>
        <w:tc>
          <w:tcPr>
            <w:tcW w:w="4120" w:type="dxa"/>
            <w:vAlign w:val="bottom"/>
            <w:shd w:val="clear" w:color="auto" w:fill="DBB2D0"/>
          </w:tcPr>
          <w:p>
            <w:pPr>
              <w:ind w:left="140"/>
              <w:spacing w:after="0"/>
              <w:rPr>
                <w:sz w:val="20"/>
                <w:szCs w:val="20"/>
                <w:color w:val="auto"/>
              </w:rPr>
            </w:pPr>
            <w:r>
              <w:rPr>
                <w:rFonts w:ascii="Arial" w:cs="Arial" w:eastAsia="Arial" w:hAnsi="Arial"/>
                <w:sz w:val="14"/>
                <w:szCs w:val="14"/>
                <w:color w:val="auto"/>
              </w:rPr>
              <w:t>determined based solely on the achievement of corporate</w:t>
            </w:r>
          </w:p>
        </w:tc>
        <w:tc>
          <w:tcPr>
            <w:tcW w:w="240" w:type="dxa"/>
            <w:vAlign w:val="bottom"/>
          </w:tcPr>
          <w:p>
            <w:pPr>
              <w:spacing w:after="0"/>
              <w:rPr>
                <w:sz w:val="15"/>
                <w:szCs w:val="15"/>
                <w:color w:val="auto"/>
              </w:rPr>
            </w:pPr>
          </w:p>
        </w:tc>
        <w:tc>
          <w:tcPr>
            <w:tcW w:w="120" w:type="dxa"/>
            <w:vAlign w:val="bottom"/>
            <w:shd w:val="clear" w:color="auto" w:fill="DBB2D0"/>
          </w:tcPr>
          <w:p>
            <w:pPr>
              <w:spacing w:after="0"/>
              <w:rPr>
                <w:sz w:val="15"/>
                <w:szCs w:val="15"/>
                <w:color w:val="auto"/>
              </w:rPr>
            </w:pPr>
          </w:p>
        </w:tc>
        <w:tc>
          <w:tcPr>
            <w:tcW w:w="200" w:type="dxa"/>
            <w:vAlign w:val="bottom"/>
            <w:shd w:val="clear" w:color="auto" w:fill="DBB2D0"/>
          </w:tcPr>
          <w:p>
            <w:pPr>
              <w:spacing w:after="0"/>
              <w:rPr>
                <w:sz w:val="15"/>
                <w:szCs w:val="15"/>
                <w:color w:val="auto"/>
              </w:rPr>
            </w:pPr>
          </w:p>
        </w:tc>
        <w:tc>
          <w:tcPr>
            <w:tcW w:w="4180" w:type="dxa"/>
            <w:vAlign w:val="bottom"/>
            <w:shd w:val="clear" w:color="auto" w:fill="DBB2D0"/>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0" w:type="dxa"/>
            <w:vAlign w:val="bottom"/>
            <w:shd w:val="clear" w:color="auto" w:fill="852166"/>
          </w:tcPr>
          <w:p>
            <w:pPr>
              <w:spacing w:after="0"/>
              <w:rPr>
                <w:sz w:val="16"/>
                <w:szCs w:val="16"/>
                <w:color w:val="auto"/>
              </w:rPr>
            </w:pPr>
          </w:p>
        </w:tc>
        <w:tc>
          <w:tcPr>
            <w:tcW w:w="1700" w:type="dxa"/>
            <w:vAlign w:val="bottom"/>
            <w:shd w:val="clear" w:color="auto" w:fill="852166"/>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shd w:val="clear" w:color="auto" w:fill="DBB2D0"/>
          </w:tcPr>
          <w:p>
            <w:pPr>
              <w:spacing w:after="0"/>
              <w:rPr>
                <w:sz w:val="16"/>
                <w:szCs w:val="16"/>
                <w:color w:val="auto"/>
              </w:rPr>
            </w:pPr>
          </w:p>
        </w:tc>
        <w:tc>
          <w:tcPr>
            <w:tcW w:w="200" w:type="dxa"/>
            <w:vAlign w:val="bottom"/>
            <w:shd w:val="clear" w:color="auto" w:fill="DBB2D0"/>
          </w:tcPr>
          <w:p>
            <w:pPr>
              <w:spacing w:after="0"/>
              <w:rPr>
                <w:sz w:val="16"/>
                <w:szCs w:val="16"/>
                <w:color w:val="auto"/>
              </w:rPr>
            </w:pPr>
          </w:p>
        </w:tc>
        <w:tc>
          <w:tcPr>
            <w:tcW w:w="4120" w:type="dxa"/>
            <w:vAlign w:val="bottom"/>
            <w:shd w:val="clear" w:color="auto" w:fill="DBB2D0"/>
          </w:tcPr>
          <w:p>
            <w:pPr>
              <w:ind w:left="140"/>
              <w:spacing w:after="0"/>
              <w:rPr>
                <w:sz w:val="20"/>
                <w:szCs w:val="20"/>
                <w:color w:val="auto"/>
              </w:rPr>
            </w:pPr>
            <w:r>
              <w:rPr>
                <w:rFonts w:ascii="Arial" w:cs="Arial" w:eastAsia="Arial" w:hAnsi="Arial"/>
                <w:sz w:val="14"/>
                <w:szCs w:val="14"/>
                <w:color w:val="auto"/>
              </w:rPr>
              <w:t>objectives and thus capped at 200% of target)</w:t>
            </w:r>
          </w:p>
        </w:tc>
        <w:tc>
          <w:tcPr>
            <w:tcW w:w="240" w:type="dxa"/>
            <w:vAlign w:val="bottom"/>
          </w:tcPr>
          <w:p>
            <w:pPr>
              <w:spacing w:after="0"/>
              <w:rPr>
                <w:sz w:val="16"/>
                <w:szCs w:val="16"/>
                <w:color w:val="auto"/>
              </w:rPr>
            </w:pPr>
          </w:p>
        </w:tc>
        <w:tc>
          <w:tcPr>
            <w:tcW w:w="120" w:type="dxa"/>
            <w:vAlign w:val="bottom"/>
            <w:shd w:val="clear" w:color="auto" w:fill="DBB2D0"/>
          </w:tcPr>
          <w:p>
            <w:pPr>
              <w:spacing w:after="0"/>
              <w:rPr>
                <w:sz w:val="16"/>
                <w:szCs w:val="16"/>
                <w:color w:val="auto"/>
              </w:rPr>
            </w:pPr>
          </w:p>
        </w:tc>
        <w:tc>
          <w:tcPr>
            <w:tcW w:w="200" w:type="dxa"/>
            <w:vAlign w:val="bottom"/>
            <w:shd w:val="clear" w:color="auto" w:fill="DBB2D0"/>
          </w:tcPr>
          <w:p>
            <w:pPr>
              <w:spacing w:after="0"/>
              <w:rPr>
                <w:sz w:val="16"/>
                <w:szCs w:val="16"/>
                <w:color w:val="auto"/>
              </w:rPr>
            </w:pPr>
          </w:p>
        </w:tc>
        <w:tc>
          <w:tcPr>
            <w:tcW w:w="4180" w:type="dxa"/>
            <w:vAlign w:val="bottom"/>
            <w:shd w:val="clear" w:color="auto" w:fill="DBB2D0"/>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20" w:type="dxa"/>
            <w:vAlign w:val="bottom"/>
            <w:shd w:val="clear" w:color="auto" w:fill="852166"/>
          </w:tcPr>
          <w:p>
            <w:pPr>
              <w:spacing w:after="0"/>
              <w:rPr>
                <w:sz w:val="6"/>
                <w:szCs w:val="6"/>
                <w:color w:val="auto"/>
              </w:rPr>
            </w:pPr>
          </w:p>
        </w:tc>
        <w:tc>
          <w:tcPr>
            <w:tcW w:w="1700" w:type="dxa"/>
            <w:vAlign w:val="bottom"/>
            <w:shd w:val="clear" w:color="auto" w:fill="852166"/>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shd w:val="clear" w:color="auto" w:fill="DBB2D0"/>
          </w:tcPr>
          <w:p>
            <w:pPr>
              <w:spacing w:after="0"/>
              <w:rPr>
                <w:sz w:val="6"/>
                <w:szCs w:val="6"/>
                <w:color w:val="auto"/>
              </w:rPr>
            </w:pPr>
          </w:p>
        </w:tc>
        <w:tc>
          <w:tcPr>
            <w:tcW w:w="200" w:type="dxa"/>
            <w:vAlign w:val="bottom"/>
            <w:shd w:val="clear" w:color="auto" w:fill="DBB2D0"/>
          </w:tcPr>
          <w:p>
            <w:pPr>
              <w:spacing w:after="0"/>
              <w:rPr>
                <w:sz w:val="6"/>
                <w:szCs w:val="6"/>
                <w:color w:val="auto"/>
              </w:rPr>
            </w:pPr>
          </w:p>
        </w:tc>
        <w:tc>
          <w:tcPr>
            <w:tcW w:w="4120" w:type="dxa"/>
            <w:vAlign w:val="bottom"/>
            <w:shd w:val="clear" w:color="auto" w:fill="DBB2D0"/>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shd w:val="clear" w:color="auto" w:fill="DBB2D0"/>
          </w:tcPr>
          <w:p>
            <w:pPr>
              <w:spacing w:after="0"/>
              <w:rPr>
                <w:sz w:val="6"/>
                <w:szCs w:val="6"/>
                <w:color w:val="auto"/>
              </w:rPr>
            </w:pPr>
          </w:p>
        </w:tc>
        <w:tc>
          <w:tcPr>
            <w:tcW w:w="200" w:type="dxa"/>
            <w:vAlign w:val="bottom"/>
            <w:shd w:val="clear" w:color="auto" w:fill="DBB2D0"/>
          </w:tcPr>
          <w:p>
            <w:pPr>
              <w:spacing w:after="0"/>
              <w:rPr>
                <w:sz w:val="6"/>
                <w:szCs w:val="6"/>
                <w:color w:val="auto"/>
              </w:rPr>
            </w:pPr>
          </w:p>
        </w:tc>
        <w:tc>
          <w:tcPr>
            <w:tcW w:w="4180" w:type="dxa"/>
            <w:vAlign w:val="bottom"/>
            <w:shd w:val="clear" w:color="auto" w:fill="DBB2D0"/>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1700" w:type="dxa"/>
            <w:vAlign w:val="bottom"/>
            <w:shd w:val="clear" w:color="auto" w:fill="8D9093"/>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shd w:val="clear" w:color="auto" w:fill="EAEAEA"/>
          </w:tcPr>
          <w:p>
            <w:pPr>
              <w:spacing w:after="0"/>
              <w:rPr>
                <w:sz w:val="8"/>
                <w:szCs w:val="8"/>
                <w:color w:val="auto"/>
              </w:rPr>
            </w:pPr>
          </w:p>
        </w:tc>
        <w:tc>
          <w:tcPr>
            <w:tcW w:w="4120" w:type="dxa"/>
            <w:vAlign w:val="bottom"/>
            <w:shd w:val="clear" w:color="auto" w:fill="EAEAEA"/>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shd w:val="clear" w:color="auto" w:fill="EAEAEA"/>
          </w:tcPr>
          <w:p>
            <w:pPr>
              <w:spacing w:after="0"/>
              <w:rPr>
                <w:sz w:val="8"/>
                <w:szCs w:val="8"/>
                <w:color w:val="auto"/>
              </w:rPr>
            </w:pPr>
          </w:p>
        </w:tc>
        <w:tc>
          <w:tcPr>
            <w:tcW w:w="4180" w:type="dxa"/>
            <w:vAlign w:val="bottom"/>
            <w:shd w:val="clear" w:color="auto" w:fill="EAEAEA"/>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7470" cy="14744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147447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-59690</wp:posOffset>
            </wp:positionV>
            <wp:extent cx="85725" cy="14744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147447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-59690</wp:posOffset>
            </wp:positionV>
            <wp:extent cx="2863215" cy="14744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863215" cy="1474470"/>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p>
      <w:pPr>
        <w:spacing w:after="0" w:line="1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00" w:type="dxa"/>
            <w:vAlign w:val="bottom"/>
            <w:shd w:val="clear" w:color="auto" w:fill="8D9093"/>
          </w:tcPr>
          <w:p>
            <w:pPr>
              <w:ind w:left="20"/>
              <w:spacing w:after="0"/>
              <w:rPr>
                <w:sz w:val="20"/>
                <w:szCs w:val="20"/>
                <w:color w:val="auto"/>
              </w:rPr>
            </w:pPr>
            <w:r>
              <w:rPr>
                <w:rFonts w:ascii="Arial" w:cs="Arial" w:eastAsia="Arial" w:hAnsi="Arial"/>
                <w:sz w:val="14"/>
                <w:szCs w:val="14"/>
                <w:b w:val="1"/>
                <w:bCs w:val="1"/>
                <w:color w:val="FFFFFF"/>
              </w:rPr>
              <w:t>Long-Term Incentive</w:t>
            </w:r>
          </w:p>
        </w:tc>
        <w:tc>
          <w:tcPr>
            <w:tcW w:w="360" w:type="dxa"/>
            <w:vAlign w:val="bottom"/>
          </w:tcPr>
          <w:p>
            <w:pPr>
              <w:spacing w:after="0"/>
              <w:rPr>
                <w:sz w:val="14"/>
                <w:szCs w:val="14"/>
                <w:color w:val="auto"/>
              </w:rPr>
            </w:pPr>
          </w:p>
        </w:tc>
        <w:tc>
          <w:tcPr>
            <w:tcW w:w="200" w:type="dxa"/>
            <w:vAlign w:val="bottom"/>
            <w:shd w:val="clear" w:color="auto" w:fill="EAEAEA"/>
          </w:tcPr>
          <w:p>
            <w:pPr>
              <w:ind w:left="20"/>
              <w:spacing w:after="0"/>
              <w:rPr>
                <w:sz w:val="20"/>
                <w:szCs w:val="20"/>
                <w:color w:val="auto"/>
              </w:rPr>
            </w:pPr>
            <w:r>
              <w:rPr>
                <w:rFonts w:ascii="Arial" w:cs="Arial" w:eastAsia="Arial" w:hAnsi="Arial"/>
                <w:sz w:val="14"/>
                <w:szCs w:val="14"/>
                <w:color w:val="auto"/>
              </w:rPr>
              <w:t>•</w:t>
            </w:r>
          </w:p>
        </w:tc>
        <w:tc>
          <w:tcPr>
            <w:tcW w:w="4120" w:type="dxa"/>
            <w:vAlign w:val="bottom"/>
            <w:shd w:val="clear" w:color="auto" w:fill="EAEAEA"/>
          </w:tcPr>
          <w:p>
            <w:pPr>
              <w:ind w:left="140"/>
              <w:spacing w:after="0"/>
              <w:rPr>
                <w:sz w:val="20"/>
                <w:szCs w:val="20"/>
                <w:color w:val="auto"/>
              </w:rPr>
            </w:pPr>
            <w:r>
              <w:rPr>
                <w:rFonts w:ascii="Arial" w:cs="Arial" w:eastAsia="Arial" w:hAnsi="Arial"/>
                <w:sz w:val="14"/>
                <w:szCs w:val="14"/>
                <w:color w:val="auto"/>
              </w:rPr>
              <w:t>PSUs vest, if at all, at the end of a multi-year performance</w:t>
            </w:r>
          </w:p>
        </w:tc>
      </w:tr>
      <w:tr>
        <w:trPr>
          <w:trHeight w:val="175"/>
        </w:trPr>
        <w:tc>
          <w:tcPr>
            <w:tcW w:w="1700" w:type="dxa"/>
            <w:vAlign w:val="bottom"/>
            <w:shd w:val="clear" w:color="auto" w:fill="8D9093"/>
          </w:tcPr>
          <w:p>
            <w:pPr>
              <w:ind w:left="20"/>
              <w:spacing w:after="0"/>
              <w:rPr>
                <w:sz w:val="20"/>
                <w:szCs w:val="20"/>
                <w:color w:val="auto"/>
              </w:rPr>
            </w:pPr>
            <w:r>
              <w:rPr>
                <w:rFonts w:ascii="Arial" w:cs="Arial" w:eastAsia="Arial" w:hAnsi="Arial"/>
                <w:sz w:val="14"/>
                <w:szCs w:val="14"/>
                <w:b w:val="1"/>
                <w:bCs w:val="1"/>
                <w:color w:val="FFFFFF"/>
              </w:rPr>
              <w:t>Compensation</w:t>
            </w:r>
          </w:p>
        </w:tc>
        <w:tc>
          <w:tcPr>
            <w:tcW w:w="360" w:type="dxa"/>
            <w:vAlign w:val="bottom"/>
          </w:tcPr>
          <w:p>
            <w:pPr>
              <w:spacing w:after="0"/>
              <w:rPr>
                <w:sz w:val="15"/>
                <w:szCs w:val="15"/>
                <w:color w:val="auto"/>
              </w:rPr>
            </w:pPr>
          </w:p>
        </w:tc>
        <w:tc>
          <w:tcPr>
            <w:tcW w:w="200" w:type="dxa"/>
            <w:vAlign w:val="bottom"/>
            <w:shd w:val="clear" w:color="auto" w:fill="EAEAEA"/>
          </w:tcPr>
          <w:p>
            <w:pPr>
              <w:spacing w:after="0"/>
              <w:rPr>
                <w:sz w:val="15"/>
                <w:szCs w:val="15"/>
                <w:color w:val="auto"/>
              </w:rPr>
            </w:pPr>
          </w:p>
        </w:tc>
        <w:tc>
          <w:tcPr>
            <w:tcW w:w="4120" w:type="dxa"/>
            <w:vAlign w:val="bottom"/>
            <w:shd w:val="clear" w:color="auto" w:fill="EAEAEA"/>
          </w:tcPr>
          <w:p>
            <w:pPr>
              <w:ind w:left="140"/>
              <w:spacing w:after="0"/>
              <w:rPr>
                <w:sz w:val="20"/>
                <w:szCs w:val="20"/>
                <w:color w:val="auto"/>
              </w:rPr>
            </w:pPr>
            <w:r>
              <w:rPr>
                <w:rFonts w:ascii="Arial" w:cs="Arial" w:eastAsia="Arial" w:hAnsi="Arial"/>
                <w:sz w:val="14"/>
                <w:szCs w:val="14"/>
                <w:color w:val="auto"/>
              </w:rPr>
              <w:t>period and represent 50% of the NEO target annual equity</w:t>
            </w:r>
          </w:p>
        </w:tc>
      </w:tr>
      <w:tr>
        <w:trPr>
          <w:trHeight w:val="190"/>
        </w:trPr>
        <w:tc>
          <w:tcPr>
            <w:tcW w:w="1700" w:type="dxa"/>
            <w:vAlign w:val="bottom"/>
            <w:shd w:val="clear" w:color="auto" w:fill="8D9093"/>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shd w:val="clear" w:color="auto" w:fill="EAEAEA"/>
          </w:tcPr>
          <w:p>
            <w:pPr>
              <w:spacing w:after="0"/>
              <w:rPr>
                <w:sz w:val="16"/>
                <w:szCs w:val="16"/>
                <w:color w:val="auto"/>
              </w:rPr>
            </w:pPr>
          </w:p>
        </w:tc>
        <w:tc>
          <w:tcPr>
            <w:tcW w:w="4120" w:type="dxa"/>
            <w:vAlign w:val="bottom"/>
            <w:shd w:val="clear" w:color="auto" w:fill="EAEAEA"/>
          </w:tcPr>
          <w:p>
            <w:pPr>
              <w:ind w:left="140"/>
              <w:spacing w:after="0"/>
              <w:rPr>
                <w:sz w:val="20"/>
                <w:szCs w:val="20"/>
                <w:color w:val="auto"/>
              </w:rPr>
            </w:pPr>
            <w:r>
              <w:rPr>
                <w:rFonts w:ascii="Arial" w:cs="Arial" w:eastAsia="Arial" w:hAnsi="Arial"/>
                <w:sz w:val="14"/>
                <w:szCs w:val="14"/>
                <w:color w:val="auto"/>
              </w:rPr>
              <w:t>grant</w:t>
            </w:r>
          </w:p>
        </w:tc>
      </w:tr>
      <w:tr>
        <w:trPr>
          <w:trHeight w:val="215"/>
        </w:trPr>
        <w:tc>
          <w:tcPr>
            <w:tcW w:w="1700" w:type="dxa"/>
            <w:vAlign w:val="bottom"/>
            <w:shd w:val="clear" w:color="auto" w:fill="8D9093"/>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shd w:val="clear" w:color="auto" w:fill="EAEAEA"/>
          </w:tcPr>
          <w:p>
            <w:pPr>
              <w:ind w:left="20"/>
              <w:spacing w:after="0"/>
              <w:rPr>
                <w:sz w:val="20"/>
                <w:szCs w:val="20"/>
                <w:color w:val="auto"/>
              </w:rPr>
            </w:pPr>
            <w:r>
              <w:rPr>
                <w:rFonts w:ascii="Arial" w:cs="Arial" w:eastAsia="Arial" w:hAnsi="Arial"/>
                <w:sz w:val="14"/>
                <w:szCs w:val="14"/>
                <w:color w:val="auto"/>
              </w:rPr>
              <w:t>•</w:t>
            </w:r>
          </w:p>
        </w:tc>
        <w:tc>
          <w:tcPr>
            <w:tcW w:w="4120" w:type="dxa"/>
            <w:vAlign w:val="bottom"/>
            <w:shd w:val="clear" w:color="auto" w:fill="EAEAEA"/>
          </w:tcPr>
          <w:p>
            <w:pPr>
              <w:ind w:left="140"/>
              <w:spacing w:after="0"/>
              <w:rPr>
                <w:sz w:val="20"/>
                <w:szCs w:val="20"/>
                <w:color w:val="auto"/>
              </w:rPr>
            </w:pPr>
            <w:r>
              <w:rPr>
                <w:rFonts w:ascii="Arial" w:cs="Arial" w:eastAsia="Arial" w:hAnsi="Arial"/>
                <w:sz w:val="14"/>
                <w:szCs w:val="14"/>
                <w:color w:val="auto"/>
              </w:rPr>
              <w:t>RSUs generally vest over a 4-year period subject to executive</w:t>
            </w:r>
          </w:p>
        </w:tc>
      </w:tr>
      <w:tr>
        <w:trPr>
          <w:trHeight w:val="190"/>
        </w:trPr>
        <w:tc>
          <w:tcPr>
            <w:tcW w:w="1700" w:type="dxa"/>
            <w:vAlign w:val="bottom"/>
            <w:shd w:val="clear" w:color="auto" w:fill="8D9093"/>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shd w:val="clear" w:color="auto" w:fill="EAEAEA"/>
          </w:tcPr>
          <w:p>
            <w:pPr>
              <w:spacing w:after="0"/>
              <w:rPr>
                <w:sz w:val="16"/>
                <w:szCs w:val="16"/>
                <w:color w:val="auto"/>
              </w:rPr>
            </w:pPr>
          </w:p>
        </w:tc>
        <w:tc>
          <w:tcPr>
            <w:tcW w:w="4120" w:type="dxa"/>
            <w:vAlign w:val="bottom"/>
            <w:shd w:val="clear" w:color="auto" w:fill="EAEAEA"/>
          </w:tcPr>
          <w:p>
            <w:pPr>
              <w:ind w:left="140"/>
              <w:spacing w:after="0"/>
              <w:rPr>
                <w:sz w:val="20"/>
                <w:szCs w:val="20"/>
                <w:color w:val="auto"/>
              </w:rPr>
            </w:pPr>
            <w:r>
              <w:rPr>
                <w:rFonts w:ascii="Arial" w:cs="Arial" w:eastAsia="Arial" w:hAnsi="Arial"/>
                <w:sz w:val="14"/>
                <w:szCs w:val="14"/>
                <w:color w:val="auto"/>
              </w:rPr>
              <w:t>officer’s continued service</w:t>
            </w:r>
          </w:p>
        </w:tc>
      </w:tr>
      <w:tr>
        <w:trPr>
          <w:trHeight w:val="201"/>
        </w:trPr>
        <w:tc>
          <w:tcPr>
            <w:tcW w:w="1700" w:type="dxa"/>
            <w:vAlign w:val="bottom"/>
            <w:shd w:val="clear" w:color="auto" w:fill="8D9093"/>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shd w:val="clear" w:color="auto" w:fill="EAEAEA"/>
          </w:tcPr>
          <w:p>
            <w:pPr>
              <w:ind w:left="20"/>
              <w:spacing w:after="0"/>
              <w:rPr>
                <w:sz w:val="20"/>
                <w:szCs w:val="20"/>
                <w:color w:val="auto"/>
              </w:rPr>
            </w:pPr>
            <w:r>
              <w:rPr>
                <w:rFonts w:ascii="Arial" w:cs="Arial" w:eastAsia="Arial" w:hAnsi="Arial"/>
                <w:sz w:val="14"/>
                <w:szCs w:val="14"/>
                <w:color w:val="auto"/>
              </w:rPr>
              <w:t>•</w:t>
            </w:r>
          </w:p>
        </w:tc>
        <w:tc>
          <w:tcPr>
            <w:tcW w:w="4120" w:type="dxa"/>
            <w:vAlign w:val="bottom"/>
            <w:shd w:val="clear" w:color="auto" w:fill="EAEAEA"/>
          </w:tcPr>
          <w:p>
            <w:pPr>
              <w:ind w:left="140"/>
              <w:spacing w:after="0"/>
              <w:rPr>
                <w:sz w:val="20"/>
                <w:szCs w:val="20"/>
                <w:color w:val="auto"/>
              </w:rPr>
            </w:pPr>
            <w:r>
              <w:rPr>
                <w:rFonts w:ascii="Arial" w:cs="Arial" w:eastAsia="Arial" w:hAnsi="Arial"/>
                <w:sz w:val="14"/>
                <w:szCs w:val="14"/>
                <w:color w:val="auto"/>
              </w:rPr>
              <w:t>Awards reviewed and generally granted annually, in the first</w:t>
            </w:r>
          </w:p>
        </w:tc>
      </w:tr>
      <w:tr>
        <w:trPr>
          <w:trHeight w:val="190"/>
        </w:trPr>
        <w:tc>
          <w:tcPr>
            <w:tcW w:w="1700" w:type="dxa"/>
            <w:vAlign w:val="bottom"/>
            <w:shd w:val="clear" w:color="auto" w:fill="8D9093"/>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shd w:val="clear" w:color="auto" w:fill="EAEAEA"/>
          </w:tcPr>
          <w:p>
            <w:pPr>
              <w:spacing w:after="0"/>
              <w:rPr>
                <w:sz w:val="16"/>
                <w:szCs w:val="16"/>
                <w:color w:val="auto"/>
              </w:rPr>
            </w:pPr>
          </w:p>
        </w:tc>
        <w:tc>
          <w:tcPr>
            <w:tcW w:w="4120" w:type="dxa"/>
            <w:vAlign w:val="bottom"/>
            <w:shd w:val="clear" w:color="auto" w:fill="EAEAEA"/>
          </w:tcPr>
          <w:p>
            <w:pPr>
              <w:ind w:left="140"/>
              <w:spacing w:after="0"/>
              <w:rPr>
                <w:sz w:val="20"/>
                <w:szCs w:val="20"/>
                <w:color w:val="auto"/>
              </w:rPr>
            </w:pPr>
            <w:r>
              <w:rPr>
                <w:rFonts w:ascii="Arial" w:cs="Arial" w:eastAsia="Arial" w:hAnsi="Arial"/>
                <w:sz w:val="14"/>
                <w:szCs w:val="14"/>
                <w:color w:val="auto"/>
              </w:rPr>
              <w:t>quarter, or at the time of hire or promotion</w:t>
            </w:r>
          </w:p>
        </w:tc>
      </w:tr>
      <w:tr>
        <w:trPr>
          <w:trHeight w:val="886"/>
        </w:trPr>
        <w:tc>
          <w:tcPr>
            <w:tcW w:w="1700" w:type="dxa"/>
            <w:vAlign w:val="bottom"/>
            <w:shd w:val="clear" w:color="auto" w:fill="8D9093"/>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shd w:val="clear" w:color="auto" w:fill="EAEAEA"/>
          </w:tcPr>
          <w:p>
            <w:pPr>
              <w:spacing w:after="0"/>
              <w:rPr>
                <w:sz w:val="24"/>
                <w:szCs w:val="24"/>
                <w:color w:val="auto"/>
              </w:rPr>
            </w:pPr>
          </w:p>
        </w:tc>
        <w:tc>
          <w:tcPr>
            <w:tcW w:w="4120" w:type="dxa"/>
            <w:vAlign w:val="bottom"/>
            <w:shd w:val="clear" w:color="auto" w:fill="EAEAEA"/>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ind w:left="316" w:hanging="316"/>
        <w:spacing w:after="0"/>
        <w:tabs>
          <w:tab w:leader="none" w:pos="316" w:val="left"/>
        </w:tabs>
        <w:numPr>
          <w:ilvl w:val="0"/>
          <w:numId w:val="54"/>
        </w:numPr>
        <w:rPr>
          <w:rFonts w:ascii="Arial" w:cs="Arial" w:eastAsia="Arial" w:hAnsi="Arial"/>
          <w:sz w:val="14"/>
          <w:szCs w:val="14"/>
          <w:color w:val="auto"/>
        </w:rPr>
      </w:pPr>
      <w:r>
        <w:rPr>
          <w:rFonts w:ascii="Arial" w:cs="Arial" w:eastAsia="Arial" w:hAnsi="Arial"/>
          <w:sz w:val="14"/>
          <w:szCs w:val="14"/>
          <w:color w:val="auto"/>
        </w:rPr>
        <w:t>Fosters ownership culture</w:t>
      </w:r>
    </w:p>
    <w:p>
      <w:pPr>
        <w:spacing w:after="0" w:line="55" w:lineRule="exact"/>
        <w:rPr>
          <w:rFonts w:ascii="Arial" w:cs="Arial" w:eastAsia="Arial" w:hAnsi="Arial"/>
          <w:sz w:val="14"/>
          <w:szCs w:val="14"/>
          <w:color w:val="auto"/>
        </w:rPr>
      </w:pPr>
    </w:p>
    <w:p>
      <w:pPr>
        <w:ind w:left="316" w:hanging="316"/>
        <w:spacing w:after="0"/>
        <w:tabs>
          <w:tab w:leader="none" w:pos="316" w:val="left"/>
        </w:tabs>
        <w:numPr>
          <w:ilvl w:val="0"/>
          <w:numId w:val="54"/>
        </w:numPr>
        <w:rPr>
          <w:rFonts w:ascii="Arial" w:cs="Arial" w:eastAsia="Arial" w:hAnsi="Arial"/>
          <w:sz w:val="14"/>
          <w:szCs w:val="14"/>
          <w:color w:val="auto"/>
        </w:rPr>
      </w:pPr>
      <w:r>
        <w:rPr>
          <w:rFonts w:ascii="Arial" w:cs="Arial" w:eastAsia="Arial" w:hAnsi="Arial"/>
          <w:sz w:val="14"/>
          <w:szCs w:val="14"/>
          <w:color w:val="auto"/>
        </w:rPr>
        <w:t>Links compensation to long-term success</w:t>
      </w:r>
    </w:p>
    <w:p>
      <w:pPr>
        <w:spacing w:after="0" w:line="68" w:lineRule="exact"/>
        <w:rPr>
          <w:rFonts w:ascii="Arial" w:cs="Arial" w:eastAsia="Arial" w:hAnsi="Arial"/>
          <w:sz w:val="14"/>
          <w:szCs w:val="14"/>
          <w:color w:val="auto"/>
        </w:rPr>
      </w:pPr>
    </w:p>
    <w:p>
      <w:pPr>
        <w:ind w:left="316" w:right="260" w:hanging="316"/>
        <w:spacing w:after="0" w:line="283" w:lineRule="auto"/>
        <w:tabs>
          <w:tab w:leader="none" w:pos="312" w:val="left"/>
        </w:tabs>
        <w:numPr>
          <w:ilvl w:val="0"/>
          <w:numId w:val="54"/>
        </w:numPr>
        <w:rPr>
          <w:rFonts w:ascii="Arial" w:cs="Arial" w:eastAsia="Arial" w:hAnsi="Arial"/>
          <w:sz w:val="14"/>
          <w:szCs w:val="14"/>
          <w:color w:val="auto"/>
        </w:rPr>
      </w:pPr>
      <w:r>
        <w:rPr>
          <w:rFonts w:ascii="Arial" w:cs="Arial" w:eastAsia="Arial" w:hAnsi="Arial"/>
          <w:sz w:val="14"/>
          <w:szCs w:val="14"/>
          <w:color w:val="auto"/>
        </w:rPr>
        <w:t>PSUs align compensation earned to the achievement of multi-year strategic objectives and share price performance versus peer companies</w:t>
      </w:r>
    </w:p>
    <w:p>
      <w:pPr>
        <w:spacing w:after="0" w:line="10" w:lineRule="exact"/>
        <w:rPr>
          <w:rFonts w:ascii="Arial" w:cs="Arial" w:eastAsia="Arial" w:hAnsi="Arial"/>
          <w:sz w:val="14"/>
          <w:szCs w:val="14"/>
          <w:color w:val="auto"/>
        </w:rPr>
      </w:pPr>
    </w:p>
    <w:p>
      <w:pPr>
        <w:ind w:left="316" w:right="420" w:hanging="316"/>
        <w:spacing w:after="0" w:line="273" w:lineRule="auto"/>
        <w:tabs>
          <w:tab w:leader="none" w:pos="312" w:val="left"/>
        </w:tabs>
        <w:numPr>
          <w:ilvl w:val="0"/>
          <w:numId w:val="54"/>
        </w:numPr>
        <w:rPr>
          <w:rFonts w:ascii="Arial" w:cs="Arial" w:eastAsia="Arial" w:hAnsi="Arial"/>
          <w:sz w:val="14"/>
          <w:szCs w:val="14"/>
          <w:color w:val="auto"/>
        </w:rPr>
      </w:pPr>
      <w:r>
        <w:rPr>
          <w:rFonts w:ascii="Arial" w:cs="Arial" w:eastAsia="Arial" w:hAnsi="Arial"/>
          <w:sz w:val="14"/>
          <w:szCs w:val="14"/>
          <w:color w:val="auto"/>
        </w:rPr>
        <w:t>RSUs assist with managing dilution for our shareholders, while reinforcing the importance of shareholder value creation over time</w:t>
      </w:r>
    </w:p>
    <w:p>
      <w:pPr>
        <w:spacing w:after="0" w:line="17" w:lineRule="exact"/>
        <w:rPr>
          <w:rFonts w:ascii="Arial" w:cs="Arial" w:eastAsia="Arial" w:hAnsi="Arial"/>
          <w:sz w:val="14"/>
          <w:szCs w:val="14"/>
          <w:color w:val="auto"/>
        </w:rPr>
      </w:pPr>
    </w:p>
    <w:p>
      <w:pPr>
        <w:ind w:left="316" w:right="140" w:hanging="316"/>
        <w:spacing w:after="0" w:line="283" w:lineRule="auto"/>
        <w:tabs>
          <w:tab w:leader="none" w:pos="312" w:val="left"/>
        </w:tabs>
        <w:numPr>
          <w:ilvl w:val="0"/>
          <w:numId w:val="54"/>
        </w:numPr>
        <w:rPr>
          <w:rFonts w:ascii="Arial" w:cs="Arial" w:eastAsia="Arial" w:hAnsi="Arial"/>
          <w:sz w:val="14"/>
          <w:szCs w:val="14"/>
          <w:color w:val="auto"/>
        </w:rPr>
      </w:pPr>
      <w:r>
        <w:rPr>
          <w:rFonts w:ascii="Arial" w:cs="Arial" w:eastAsia="Arial" w:hAnsi="Arial"/>
          <w:sz w:val="14"/>
          <w:szCs w:val="14"/>
          <w:color w:val="auto"/>
        </w:rPr>
        <w:t>Executive share ownership guidelines to further support our ownership culture and align the interests of executive officers and shareholders</w:t>
      </w:r>
    </w:p>
    <w:p>
      <w:pPr>
        <w:spacing w:after="0" w:line="247" w:lineRule="exact"/>
        <w:rPr>
          <w:sz w:val="20"/>
          <w:szCs w:val="20"/>
          <w:color w:val="auto"/>
        </w:rPr>
      </w:pPr>
    </w:p>
    <w:p>
      <w:pPr>
        <w:sectPr>
          <w:pgSz w:w="11900" w:h="16838" w:orient="portrait"/>
          <w:cols w:equalWidth="0" w:num="2">
            <w:col w:w="6500" w:space="384"/>
            <w:col w:w="4356"/>
          </w:cols>
          <w:pgMar w:left="320" w:top="1155" w:right="3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Other Benefits. </w:t>
      </w:r>
      <w:r>
        <w:rPr>
          <w:rFonts w:ascii="Arial" w:cs="Arial" w:eastAsia="Arial" w:hAnsi="Arial"/>
          <w:sz w:val="16"/>
          <w:szCs w:val="16"/>
          <w:color w:val="auto"/>
        </w:rPr>
        <w:t>We also offer our executive officers severance benefits upon certain types of involuntary terminations in connection with a change in control.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officers based in the United States are eligible to participate in all our benefit plans, such as the 401(k) Plan (see the section below titled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Description of Compensation Arrangements–401(k) Plan</w:t>
      </w:r>
      <w:r>
        <w:rPr>
          <w:rFonts w:ascii="Arial" w:cs="Arial" w:eastAsia="Arial" w:hAnsi="Arial"/>
          <w:sz w:val="16"/>
          <w:szCs w:val="16"/>
          <w:color w:val="auto"/>
        </w:rPr>
        <w:t>”), our medical, dental, vision, short-term disability, long-term disability, group life insurance plans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other tax qualified reimbursement plans, in each case on the same basis as other employees. Executive officers are eligible to participate in our 2007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 Stock Purchase Plan, or ESPP, on the same basis as other employees. We do not currently offer defined benefit pension or other retirement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benefits in the United States; for executive officers based outside the U.S. we offer pension or other retirement benefits that are consistent with local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regulations and on the same basis as other employees in such jurisdictions.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type w:val="continuous"/>
        </w:sectPr>
      </w:pPr>
    </w:p>
    <w:bookmarkStart w:id="52" w:name="page53"/>
    <w:bookmarkEnd w:id="52"/>
    <w:p>
      <w:pPr>
        <w:ind w:right="60"/>
        <w:spacing w:after="0" w:line="304" w:lineRule="auto"/>
        <w:rPr>
          <w:sz w:val="20"/>
          <w:szCs w:val="20"/>
          <w:color w:val="auto"/>
        </w:rPr>
      </w:pPr>
      <w:r>
        <w:rPr>
          <w:rFonts w:ascii="Arial" w:cs="Arial" w:eastAsia="Arial" w:hAnsi="Arial"/>
          <w:sz w:val="16"/>
          <w:szCs w:val="16"/>
          <w:b w:val="1"/>
          <w:bCs w:val="1"/>
          <w:i w:val="1"/>
          <w:iCs w:val="1"/>
          <w:color w:val="auto"/>
        </w:rPr>
        <w:t xml:space="preserve">Severance Benefits upon Change in Control. </w:t>
      </w:r>
      <w:r>
        <w:rPr>
          <w:rFonts w:ascii="Arial" w:cs="Arial" w:eastAsia="Arial" w:hAnsi="Arial"/>
          <w:sz w:val="16"/>
          <w:szCs w:val="16"/>
          <w:color w:val="auto"/>
        </w:rPr>
        <w:t>Executive officers are also eligible to participate in our Amended and Restated Executive Change in Control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and Severance Benefit Plan, or the change in control plan, which is described below under the headings </w:t>
      </w:r>
      <w:r>
        <w:rPr>
          <w:rFonts w:ascii="Arial" w:cs="Arial" w:eastAsia="Arial" w:hAnsi="Arial"/>
          <w:sz w:val="16"/>
          <w:szCs w:val="16"/>
          <w:i w:val="1"/>
          <w:iCs w:val="1"/>
          <w:color w:val="auto"/>
        </w:rPr>
        <w:t>“Additional Compensation Information—Change 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Plan” and “Potential Payments upon Termination or Change in Control—Amended and Restated Executive Change in Control and Severance Benefit Plan.” </w:t>
      </w:r>
      <w:r>
        <w:rPr>
          <w:rFonts w:ascii="Arial" w:cs="Arial" w:eastAsia="Arial" w:hAnsi="Arial"/>
          <w:sz w:val="16"/>
          <w:szCs w:val="16"/>
          <w:color w:val="auto"/>
        </w:rPr>
        <w:t>The change in control plan provides certain severance benefits to participants, in connection with specified involuntary termination events,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termination without cause and constructive termination, following a change in control.</w:t>
      </w:r>
    </w:p>
    <w:p>
      <w:pPr>
        <w:spacing w:after="0" w:line="77"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Given the frequency of consolidation in the biopharmaceutical industry, our compensation committee believes these severance benefits are important from a retention perspective to provide some level of protection to our executives who might be terminated following a change in control and that the amounts are reasonable and maintain the competitiveness of our executive compensation and retention program. Our compensation committee believes this structure serves to mitigate the distraction and loss of key executive officers that may occur in connection with rumored or actual fundamental corporate changes. Such payments protect the interests of our shareholders by enhancing executive focus during rumored or actual change in control activity, retaining executives despite the uncertainty that generally exists while a transaction is under consideration and encouraging the executives responsible for negotiating potential transactions to do so with independence and objectivity. We do not provide any tax gross up payments on severance benefits.</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Goals for and Achievement of 2023 Performance-Based Compensation</w:t>
      </w:r>
    </w:p>
    <w:p>
      <w:pPr>
        <w:spacing w:after="0" w:line="144" w:lineRule="exact"/>
        <w:rPr>
          <w:sz w:val="20"/>
          <w:szCs w:val="20"/>
          <w:color w:val="auto"/>
        </w:rPr>
      </w:pPr>
    </w:p>
    <w:p>
      <w:pPr>
        <w:ind w:right="100"/>
        <w:spacing w:after="0" w:line="319" w:lineRule="auto"/>
        <w:rPr>
          <w:sz w:val="20"/>
          <w:szCs w:val="20"/>
          <w:color w:val="auto"/>
        </w:rPr>
      </w:pPr>
      <w:r>
        <w:rPr>
          <w:rFonts w:ascii="Arial" w:cs="Arial" w:eastAsia="Arial" w:hAnsi="Arial"/>
          <w:sz w:val="16"/>
          <w:szCs w:val="16"/>
          <w:color w:val="auto"/>
        </w:rPr>
        <w:t>For 2023, our annual performance bonus opportunity and the PSU awards were aligned with the annual and long-term performance objectives and methodology established by our board, upon recommendation of our compensation committee. The following section describes the performance objectives, discrete goals, payout ranges, and, with respect to the annual performance bonus program, our actual performance achievement.</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2023 Performance Bonus Program</w:t>
      </w:r>
    </w:p>
    <w:p>
      <w:pPr>
        <w:spacing w:after="0" w:line="144"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The corporate objectives and relative weightings established by our board, upon recommendation of our compensation committee, for the 2023 performance bonus program communicated to the NEOs in early 2023 consisted of four corporate objectives with multiple discrete goals, as described in the table below. Overall achievement could range from 0% to 200%, in aggregate, for the corporate objectives. Total payout under the 2023 performance bonus program was capped at 300% of the NEO’s target award (with the exception of our CEO, whose actual bonus is determined based solely on the achievement of the corporate objectives and thus capped at 200% of target).</w:t>
      </w:r>
    </w:p>
    <w:p>
      <w:pPr>
        <w:spacing w:after="0" w:line="7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Our compensation committee did not set specific individual performance objectives for executive officers based on the philosophy that each executive officer is responsible for contributing to the corporate objectives, individually and as part of the leadership team, to collectively achieve the corporate goals. In approving individual bonus awards, our compensation committee considered the individual contribution towards our achievement of the corporate objectives by each executive officer (other than our CEO).</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Individual bonus awards are determined in accordance with the following methodology:</w:t>
      </w:r>
    </w:p>
    <w:p>
      <w:pPr>
        <w:spacing w:after="0" w:line="235" w:lineRule="exact"/>
        <w:rPr>
          <w:sz w:val="20"/>
          <w:szCs w:val="20"/>
          <w:color w:val="auto"/>
        </w:rPr>
      </w:pPr>
    </w:p>
    <w:tbl>
      <w:tblPr>
        <w:tblLayout w:type="fixed"/>
        <w:tblInd w:w="540" w:type="dxa"/>
        <w:tblCellMar>
          <w:top w:w="0" w:type="dxa"/>
          <w:left w:w="0" w:type="dxa"/>
          <w:bottom w:w="0" w:type="dxa"/>
          <w:right w:w="0" w:type="dxa"/>
        </w:tblCellMar>
      </w:tblPr>
      <w:tr>
        <w:trPr>
          <w:trHeight w:val="355"/>
        </w:trPr>
        <w:tc>
          <w:tcPr>
            <w:tcW w:w="1720" w:type="dxa"/>
            <w:vAlign w:val="bottom"/>
            <w:vMerge w:val="restart"/>
            <w:shd w:val="clear" w:color="auto" w:fill="852166"/>
          </w:tcPr>
          <w:p>
            <w:pPr>
              <w:jc w:val="center"/>
              <w:spacing w:after="0"/>
              <w:rPr>
                <w:sz w:val="20"/>
                <w:szCs w:val="20"/>
                <w:color w:val="auto"/>
              </w:rPr>
            </w:pPr>
            <w:r>
              <w:rPr>
                <w:rFonts w:ascii="Arial" w:cs="Arial" w:eastAsia="Arial" w:hAnsi="Arial"/>
                <w:sz w:val="14"/>
                <w:szCs w:val="14"/>
                <w:b w:val="1"/>
                <w:bCs w:val="1"/>
                <w:color w:val="FFFFFF"/>
              </w:rPr>
              <w:t>Annual</w:t>
            </w:r>
          </w:p>
        </w:tc>
        <w:tc>
          <w:tcPr>
            <w:tcW w:w="440" w:type="dxa"/>
            <w:vAlign w:val="bottom"/>
            <w:vMerge w:val="restart"/>
          </w:tcPr>
          <w:p>
            <w:pPr>
              <w:ind w:left="100"/>
              <w:spacing w:after="0"/>
              <w:rPr>
                <w:sz w:val="20"/>
                <w:szCs w:val="20"/>
                <w:color w:val="auto"/>
              </w:rPr>
            </w:pPr>
            <w:r>
              <w:rPr>
                <w:rFonts w:ascii="Arial" w:cs="Arial" w:eastAsia="Arial" w:hAnsi="Arial"/>
                <w:sz w:val="43"/>
                <w:szCs w:val="43"/>
                <w:b w:val="1"/>
                <w:bCs w:val="1"/>
                <w:color w:val="001C71"/>
              </w:rPr>
              <w:t>x</w:t>
            </w:r>
          </w:p>
        </w:tc>
        <w:tc>
          <w:tcPr>
            <w:tcW w:w="1540" w:type="dxa"/>
            <w:vAlign w:val="bottom"/>
            <w:vMerge w:val="restart"/>
            <w:shd w:val="clear" w:color="auto" w:fill="852166"/>
          </w:tcPr>
          <w:p>
            <w:pPr>
              <w:jc w:val="center"/>
              <w:spacing w:after="0"/>
              <w:rPr>
                <w:sz w:val="20"/>
                <w:szCs w:val="20"/>
                <w:color w:val="auto"/>
              </w:rPr>
            </w:pPr>
            <w:r>
              <w:rPr>
                <w:rFonts w:ascii="Arial" w:cs="Arial" w:eastAsia="Arial" w:hAnsi="Arial"/>
                <w:sz w:val="14"/>
                <w:szCs w:val="14"/>
                <w:b w:val="1"/>
                <w:bCs w:val="1"/>
                <w:color w:val="FFFFFF"/>
              </w:rPr>
              <w:t>Target</w:t>
            </w:r>
          </w:p>
        </w:tc>
        <w:tc>
          <w:tcPr>
            <w:tcW w:w="420" w:type="dxa"/>
            <w:vAlign w:val="bottom"/>
            <w:vMerge w:val="restart"/>
          </w:tcPr>
          <w:p>
            <w:pPr>
              <w:ind w:left="80"/>
              <w:spacing w:after="0"/>
              <w:rPr>
                <w:sz w:val="20"/>
                <w:szCs w:val="20"/>
                <w:color w:val="auto"/>
              </w:rPr>
            </w:pPr>
            <w:r>
              <w:rPr>
                <w:rFonts w:ascii="Arial" w:cs="Arial" w:eastAsia="Arial" w:hAnsi="Arial"/>
                <w:sz w:val="43"/>
                <w:szCs w:val="43"/>
                <w:b w:val="1"/>
                <w:bCs w:val="1"/>
                <w:color w:val="001C71"/>
              </w:rPr>
              <w:t>x</w:t>
            </w:r>
          </w:p>
        </w:tc>
        <w:tc>
          <w:tcPr>
            <w:tcW w:w="1740" w:type="dxa"/>
            <w:vAlign w:val="bottom"/>
            <w:shd w:val="clear" w:color="auto" w:fill="852166"/>
          </w:tcPr>
          <w:p>
            <w:pPr>
              <w:jc w:val="center"/>
              <w:spacing w:after="0"/>
              <w:rPr>
                <w:sz w:val="20"/>
                <w:szCs w:val="20"/>
                <w:color w:val="auto"/>
              </w:rPr>
            </w:pPr>
            <w:r>
              <w:rPr>
                <w:rFonts w:ascii="Arial" w:cs="Arial" w:eastAsia="Arial" w:hAnsi="Arial"/>
                <w:sz w:val="14"/>
                <w:szCs w:val="14"/>
                <w:b w:val="1"/>
                <w:bCs w:val="1"/>
                <w:color w:val="FFFFFF"/>
              </w:rPr>
              <w:t>Company</w:t>
            </w:r>
          </w:p>
        </w:tc>
        <w:tc>
          <w:tcPr>
            <w:tcW w:w="420" w:type="dxa"/>
            <w:vAlign w:val="bottom"/>
            <w:vMerge w:val="restart"/>
          </w:tcPr>
          <w:p>
            <w:pPr>
              <w:ind w:left="80"/>
              <w:spacing w:after="0"/>
              <w:rPr>
                <w:sz w:val="20"/>
                <w:szCs w:val="20"/>
                <w:color w:val="auto"/>
              </w:rPr>
            </w:pPr>
            <w:r>
              <w:rPr>
                <w:rFonts w:ascii="Arial" w:cs="Arial" w:eastAsia="Arial" w:hAnsi="Arial"/>
                <w:sz w:val="43"/>
                <w:szCs w:val="43"/>
                <w:b w:val="1"/>
                <w:bCs w:val="1"/>
                <w:color w:val="001C71"/>
              </w:rPr>
              <w:t>x</w:t>
            </w:r>
          </w:p>
        </w:tc>
        <w:tc>
          <w:tcPr>
            <w:tcW w:w="1740" w:type="dxa"/>
            <w:vAlign w:val="bottom"/>
            <w:shd w:val="clear" w:color="auto" w:fill="852166"/>
          </w:tcPr>
          <w:p>
            <w:pPr>
              <w:jc w:val="center"/>
              <w:spacing w:after="0"/>
              <w:rPr>
                <w:sz w:val="20"/>
                <w:szCs w:val="20"/>
                <w:color w:val="auto"/>
              </w:rPr>
            </w:pPr>
            <w:r>
              <w:rPr>
                <w:rFonts w:ascii="Arial" w:cs="Arial" w:eastAsia="Arial" w:hAnsi="Arial"/>
                <w:sz w:val="14"/>
                <w:szCs w:val="14"/>
                <w:b w:val="1"/>
                <w:bCs w:val="1"/>
                <w:color w:val="FFFFFF"/>
              </w:rPr>
              <w:t>Individual</w:t>
            </w:r>
          </w:p>
        </w:tc>
        <w:tc>
          <w:tcPr>
            <w:tcW w:w="420" w:type="dxa"/>
            <w:vAlign w:val="bottom"/>
            <w:vMerge w:val="restart"/>
          </w:tcPr>
          <w:p>
            <w:pPr>
              <w:jc w:val="right"/>
              <w:spacing w:after="0"/>
              <w:rPr>
                <w:sz w:val="20"/>
                <w:szCs w:val="20"/>
                <w:color w:val="auto"/>
              </w:rPr>
            </w:pPr>
            <w:r>
              <w:rPr>
                <w:rFonts w:ascii="Arial" w:cs="Arial" w:eastAsia="Arial" w:hAnsi="Arial"/>
                <w:sz w:val="43"/>
                <w:szCs w:val="43"/>
                <w:b w:val="1"/>
                <w:bCs w:val="1"/>
                <w:color w:val="001C71"/>
              </w:rPr>
              <w:t>=</w:t>
            </w:r>
          </w:p>
        </w:tc>
        <w:tc>
          <w:tcPr>
            <w:tcW w:w="1740" w:type="dxa"/>
            <w:vAlign w:val="bottom"/>
            <w:vMerge w:val="restart"/>
            <w:shd w:val="clear" w:color="auto" w:fill="FFCF01"/>
          </w:tcPr>
          <w:p>
            <w:pPr>
              <w:jc w:val="center"/>
              <w:spacing w:after="0"/>
              <w:rPr>
                <w:sz w:val="20"/>
                <w:szCs w:val="20"/>
                <w:color w:val="auto"/>
              </w:rPr>
            </w:pPr>
            <w:r>
              <w:rPr>
                <w:rFonts w:ascii="Arial" w:cs="Arial" w:eastAsia="Arial" w:hAnsi="Arial"/>
                <w:sz w:val="14"/>
                <w:szCs w:val="14"/>
                <w:b w:val="1"/>
                <w:bCs w:val="1"/>
                <w:color w:val="852166"/>
              </w:rPr>
              <w:t>Final</w:t>
            </w:r>
          </w:p>
        </w:tc>
        <w:tc>
          <w:tcPr>
            <w:tcW w:w="0" w:type="dxa"/>
            <w:vAlign w:val="bottom"/>
          </w:tcPr>
          <w:p>
            <w:pPr>
              <w:spacing w:after="0"/>
              <w:rPr>
                <w:sz w:val="1"/>
                <w:szCs w:val="1"/>
                <w:color w:val="auto"/>
              </w:rPr>
            </w:pPr>
          </w:p>
        </w:tc>
      </w:tr>
      <w:tr>
        <w:trPr>
          <w:trHeight w:val="81"/>
        </w:trPr>
        <w:tc>
          <w:tcPr>
            <w:tcW w:w="1720" w:type="dxa"/>
            <w:vAlign w:val="bottom"/>
            <w:vMerge w:val="continue"/>
            <w:shd w:val="clear" w:color="auto" w:fill="852166"/>
          </w:tcPr>
          <w:p>
            <w:pPr>
              <w:spacing w:after="0"/>
              <w:rPr>
                <w:sz w:val="7"/>
                <w:szCs w:val="7"/>
                <w:color w:val="auto"/>
              </w:rPr>
            </w:pPr>
          </w:p>
        </w:tc>
        <w:tc>
          <w:tcPr>
            <w:tcW w:w="440" w:type="dxa"/>
            <w:vAlign w:val="bottom"/>
            <w:vMerge w:val="continue"/>
          </w:tcPr>
          <w:p>
            <w:pPr>
              <w:spacing w:after="0"/>
              <w:rPr>
                <w:sz w:val="7"/>
                <w:szCs w:val="7"/>
                <w:color w:val="auto"/>
              </w:rPr>
            </w:pPr>
          </w:p>
        </w:tc>
        <w:tc>
          <w:tcPr>
            <w:tcW w:w="1540" w:type="dxa"/>
            <w:vAlign w:val="bottom"/>
            <w:vMerge w:val="continue"/>
            <w:shd w:val="clear" w:color="auto" w:fill="852166"/>
          </w:tcPr>
          <w:p>
            <w:pPr>
              <w:spacing w:after="0"/>
              <w:rPr>
                <w:sz w:val="7"/>
                <w:szCs w:val="7"/>
                <w:color w:val="auto"/>
              </w:rPr>
            </w:pPr>
          </w:p>
        </w:tc>
        <w:tc>
          <w:tcPr>
            <w:tcW w:w="420" w:type="dxa"/>
            <w:vAlign w:val="bottom"/>
            <w:vMerge w:val="continue"/>
          </w:tcPr>
          <w:p>
            <w:pPr>
              <w:spacing w:after="0"/>
              <w:rPr>
                <w:sz w:val="7"/>
                <w:szCs w:val="7"/>
                <w:color w:val="auto"/>
              </w:rPr>
            </w:pPr>
          </w:p>
        </w:tc>
        <w:tc>
          <w:tcPr>
            <w:tcW w:w="1740" w:type="dxa"/>
            <w:vAlign w:val="bottom"/>
            <w:vMerge w:val="restart"/>
            <w:shd w:val="clear" w:color="auto" w:fill="852166"/>
          </w:tcPr>
          <w:p>
            <w:pPr>
              <w:jc w:val="center"/>
              <w:spacing w:after="0"/>
              <w:rPr>
                <w:sz w:val="20"/>
                <w:szCs w:val="20"/>
                <w:color w:val="auto"/>
              </w:rPr>
            </w:pPr>
            <w:r>
              <w:rPr>
                <w:rFonts w:ascii="Arial" w:cs="Arial" w:eastAsia="Arial" w:hAnsi="Arial"/>
                <w:sz w:val="14"/>
                <w:szCs w:val="14"/>
                <w:b w:val="1"/>
                <w:bCs w:val="1"/>
                <w:color w:val="FFFFFF"/>
              </w:rPr>
              <w:t>Performance %</w:t>
            </w:r>
          </w:p>
        </w:tc>
        <w:tc>
          <w:tcPr>
            <w:tcW w:w="420" w:type="dxa"/>
            <w:vAlign w:val="bottom"/>
            <w:vMerge w:val="continue"/>
          </w:tcPr>
          <w:p>
            <w:pPr>
              <w:spacing w:after="0"/>
              <w:rPr>
                <w:sz w:val="7"/>
                <w:szCs w:val="7"/>
                <w:color w:val="auto"/>
              </w:rPr>
            </w:pPr>
          </w:p>
        </w:tc>
        <w:tc>
          <w:tcPr>
            <w:tcW w:w="1740" w:type="dxa"/>
            <w:vAlign w:val="bottom"/>
            <w:vMerge w:val="restart"/>
            <w:shd w:val="clear" w:color="auto" w:fill="852166"/>
          </w:tcPr>
          <w:p>
            <w:pPr>
              <w:jc w:val="center"/>
              <w:spacing w:after="0"/>
              <w:rPr>
                <w:sz w:val="20"/>
                <w:szCs w:val="20"/>
                <w:color w:val="auto"/>
              </w:rPr>
            </w:pPr>
            <w:r>
              <w:rPr>
                <w:rFonts w:ascii="Arial" w:cs="Arial" w:eastAsia="Arial" w:hAnsi="Arial"/>
                <w:sz w:val="14"/>
                <w:szCs w:val="14"/>
                <w:b w:val="1"/>
                <w:bCs w:val="1"/>
                <w:color w:val="FFFFFF"/>
              </w:rPr>
              <w:t>Performance %</w:t>
            </w:r>
          </w:p>
        </w:tc>
        <w:tc>
          <w:tcPr>
            <w:tcW w:w="420" w:type="dxa"/>
            <w:vAlign w:val="bottom"/>
            <w:vMerge w:val="continue"/>
          </w:tcPr>
          <w:p>
            <w:pPr>
              <w:spacing w:after="0"/>
              <w:rPr>
                <w:sz w:val="7"/>
                <w:szCs w:val="7"/>
                <w:color w:val="auto"/>
              </w:rPr>
            </w:pPr>
          </w:p>
        </w:tc>
        <w:tc>
          <w:tcPr>
            <w:tcW w:w="1740" w:type="dxa"/>
            <w:vAlign w:val="bottom"/>
            <w:vMerge w:val="continue"/>
            <w:shd w:val="clear" w:color="auto" w:fill="FFCF01"/>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720" w:type="dxa"/>
            <w:vAlign w:val="bottom"/>
            <w:vMerge w:val="restart"/>
            <w:shd w:val="clear" w:color="auto" w:fill="852166"/>
          </w:tcPr>
          <w:p>
            <w:pPr>
              <w:jc w:val="center"/>
              <w:spacing w:after="0"/>
              <w:rPr>
                <w:sz w:val="20"/>
                <w:szCs w:val="20"/>
                <w:color w:val="auto"/>
              </w:rPr>
            </w:pPr>
            <w:r>
              <w:rPr>
                <w:rFonts w:ascii="Arial" w:cs="Arial" w:eastAsia="Arial" w:hAnsi="Arial"/>
                <w:sz w:val="14"/>
                <w:szCs w:val="14"/>
                <w:b w:val="1"/>
                <w:bCs w:val="1"/>
                <w:color w:val="FFFFFF"/>
              </w:rPr>
              <w:t>Base Salary</w:t>
            </w:r>
          </w:p>
        </w:tc>
        <w:tc>
          <w:tcPr>
            <w:tcW w:w="440" w:type="dxa"/>
            <w:vAlign w:val="bottom"/>
            <w:vMerge w:val="continue"/>
          </w:tcPr>
          <w:p>
            <w:pPr>
              <w:spacing w:after="0"/>
              <w:rPr>
                <w:sz w:val="8"/>
                <w:szCs w:val="8"/>
                <w:color w:val="auto"/>
              </w:rPr>
            </w:pPr>
          </w:p>
        </w:tc>
        <w:tc>
          <w:tcPr>
            <w:tcW w:w="1540" w:type="dxa"/>
            <w:vAlign w:val="bottom"/>
            <w:vMerge w:val="restart"/>
            <w:shd w:val="clear" w:color="auto" w:fill="852166"/>
          </w:tcPr>
          <w:p>
            <w:pPr>
              <w:jc w:val="center"/>
              <w:spacing w:after="0"/>
              <w:rPr>
                <w:sz w:val="20"/>
                <w:szCs w:val="20"/>
                <w:color w:val="auto"/>
              </w:rPr>
            </w:pPr>
            <w:r>
              <w:rPr>
                <w:rFonts w:ascii="Arial" w:cs="Arial" w:eastAsia="Arial" w:hAnsi="Arial"/>
                <w:sz w:val="14"/>
                <w:szCs w:val="14"/>
                <w:b w:val="1"/>
                <w:bCs w:val="1"/>
                <w:color w:val="FFFFFF"/>
              </w:rPr>
              <w:t>Bonus %</w:t>
            </w:r>
          </w:p>
        </w:tc>
        <w:tc>
          <w:tcPr>
            <w:tcW w:w="420" w:type="dxa"/>
            <w:vAlign w:val="bottom"/>
            <w:vMerge w:val="continue"/>
          </w:tcPr>
          <w:p>
            <w:pPr>
              <w:spacing w:after="0"/>
              <w:rPr>
                <w:sz w:val="8"/>
                <w:szCs w:val="8"/>
                <w:color w:val="auto"/>
              </w:rPr>
            </w:pPr>
          </w:p>
        </w:tc>
        <w:tc>
          <w:tcPr>
            <w:tcW w:w="1740" w:type="dxa"/>
            <w:vAlign w:val="bottom"/>
            <w:vMerge w:val="continue"/>
            <w:shd w:val="clear" w:color="auto" w:fill="852166"/>
          </w:tcPr>
          <w:p>
            <w:pPr>
              <w:spacing w:after="0"/>
              <w:rPr>
                <w:sz w:val="8"/>
                <w:szCs w:val="8"/>
                <w:color w:val="auto"/>
              </w:rPr>
            </w:pPr>
          </w:p>
        </w:tc>
        <w:tc>
          <w:tcPr>
            <w:tcW w:w="420" w:type="dxa"/>
            <w:vAlign w:val="bottom"/>
            <w:vMerge w:val="continue"/>
          </w:tcPr>
          <w:p>
            <w:pPr>
              <w:spacing w:after="0"/>
              <w:rPr>
                <w:sz w:val="8"/>
                <w:szCs w:val="8"/>
                <w:color w:val="auto"/>
              </w:rPr>
            </w:pPr>
          </w:p>
        </w:tc>
        <w:tc>
          <w:tcPr>
            <w:tcW w:w="1740" w:type="dxa"/>
            <w:vAlign w:val="bottom"/>
            <w:vMerge w:val="continue"/>
            <w:shd w:val="clear" w:color="auto" w:fill="852166"/>
          </w:tcPr>
          <w:p>
            <w:pPr>
              <w:spacing w:after="0"/>
              <w:rPr>
                <w:sz w:val="8"/>
                <w:szCs w:val="8"/>
                <w:color w:val="auto"/>
              </w:rPr>
            </w:pPr>
          </w:p>
        </w:tc>
        <w:tc>
          <w:tcPr>
            <w:tcW w:w="420" w:type="dxa"/>
            <w:vAlign w:val="bottom"/>
            <w:vMerge w:val="continue"/>
          </w:tcPr>
          <w:p>
            <w:pPr>
              <w:spacing w:after="0"/>
              <w:rPr>
                <w:sz w:val="8"/>
                <w:szCs w:val="8"/>
                <w:color w:val="auto"/>
              </w:rPr>
            </w:pPr>
          </w:p>
        </w:tc>
        <w:tc>
          <w:tcPr>
            <w:tcW w:w="1740" w:type="dxa"/>
            <w:vAlign w:val="bottom"/>
            <w:vMerge w:val="restart"/>
            <w:shd w:val="clear" w:color="auto" w:fill="FFCF01"/>
          </w:tcPr>
          <w:p>
            <w:pPr>
              <w:jc w:val="center"/>
              <w:spacing w:after="0"/>
              <w:rPr>
                <w:sz w:val="20"/>
                <w:szCs w:val="20"/>
                <w:color w:val="auto"/>
              </w:rPr>
            </w:pPr>
            <w:r>
              <w:rPr>
                <w:rFonts w:ascii="Arial" w:cs="Arial" w:eastAsia="Arial" w:hAnsi="Arial"/>
                <w:sz w:val="14"/>
                <w:szCs w:val="14"/>
                <w:b w:val="1"/>
                <w:bCs w:val="1"/>
                <w:color w:val="852166"/>
              </w:rPr>
              <w:t>Bonus Award</w:t>
            </w:r>
          </w:p>
        </w:tc>
        <w:tc>
          <w:tcPr>
            <w:tcW w:w="0" w:type="dxa"/>
            <w:vAlign w:val="bottom"/>
          </w:tcPr>
          <w:p>
            <w:pPr>
              <w:spacing w:after="0"/>
              <w:rPr>
                <w:sz w:val="1"/>
                <w:szCs w:val="1"/>
                <w:color w:val="auto"/>
              </w:rPr>
            </w:pPr>
          </w:p>
        </w:tc>
      </w:tr>
      <w:tr>
        <w:trPr>
          <w:trHeight w:val="102"/>
        </w:trPr>
        <w:tc>
          <w:tcPr>
            <w:tcW w:w="1720" w:type="dxa"/>
            <w:vAlign w:val="bottom"/>
            <w:vMerge w:val="continue"/>
            <w:shd w:val="clear" w:color="auto" w:fill="852166"/>
          </w:tcPr>
          <w:p>
            <w:pPr>
              <w:spacing w:after="0"/>
              <w:rPr>
                <w:sz w:val="8"/>
                <w:szCs w:val="8"/>
                <w:color w:val="auto"/>
              </w:rPr>
            </w:pPr>
          </w:p>
        </w:tc>
        <w:tc>
          <w:tcPr>
            <w:tcW w:w="440" w:type="dxa"/>
            <w:vAlign w:val="bottom"/>
            <w:vMerge w:val="continue"/>
          </w:tcPr>
          <w:p>
            <w:pPr>
              <w:spacing w:after="0"/>
              <w:rPr>
                <w:sz w:val="8"/>
                <w:szCs w:val="8"/>
                <w:color w:val="auto"/>
              </w:rPr>
            </w:pPr>
          </w:p>
        </w:tc>
        <w:tc>
          <w:tcPr>
            <w:tcW w:w="1540" w:type="dxa"/>
            <w:vAlign w:val="bottom"/>
            <w:vMerge w:val="continue"/>
            <w:shd w:val="clear" w:color="auto" w:fill="852166"/>
          </w:tcPr>
          <w:p>
            <w:pPr>
              <w:spacing w:after="0"/>
              <w:rPr>
                <w:sz w:val="8"/>
                <w:szCs w:val="8"/>
                <w:color w:val="auto"/>
              </w:rPr>
            </w:pPr>
          </w:p>
        </w:tc>
        <w:tc>
          <w:tcPr>
            <w:tcW w:w="420" w:type="dxa"/>
            <w:vAlign w:val="bottom"/>
            <w:vMerge w:val="continue"/>
          </w:tcPr>
          <w:p>
            <w:pPr>
              <w:spacing w:after="0"/>
              <w:rPr>
                <w:sz w:val="8"/>
                <w:szCs w:val="8"/>
                <w:color w:val="auto"/>
              </w:rPr>
            </w:pPr>
          </w:p>
        </w:tc>
        <w:tc>
          <w:tcPr>
            <w:tcW w:w="1740" w:type="dxa"/>
            <w:vAlign w:val="bottom"/>
            <w:vMerge w:val="restart"/>
            <w:shd w:val="clear" w:color="auto" w:fill="852166"/>
          </w:tcPr>
          <w:p>
            <w:pPr>
              <w:jc w:val="center"/>
              <w:spacing w:after="0"/>
              <w:rPr>
                <w:sz w:val="20"/>
                <w:szCs w:val="20"/>
                <w:color w:val="auto"/>
              </w:rPr>
            </w:pPr>
            <w:r>
              <w:rPr>
                <w:rFonts w:ascii="Arial" w:cs="Arial" w:eastAsia="Arial" w:hAnsi="Arial"/>
                <w:sz w:val="14"/>
                <w:szCs w:val="14"/>
                <w:b w:val="1"/>
                <w:bCs w:val="1"/>
                <w:color w:val="FFFFFF"/>
              </w:rPr>
              <w:t>(Corporate Objectives)</w:t>
            </w:r>
          </w:p>
        </w:tc>
        <w:tc>
          <w:tcPr>
            <w:tcW w:w="420" w:type="dxa"/>
            <w:vAlign w:val="bottom"/>
            <w:vMerge w:val="continue"/>
          </w:tcPr>
          <w:p>
            <w:pPr>
              <w:spacing w:after="0"/>
              <w:rPr>
                <w:sz w:val="8"/>
                <w:szCs w:val="8"/>
                <w:color w:val="auto"/>
              </w:rPr>
            </w:pPr>
          </w:p>
        </w:tc>
        <w:tc>
          <w:tcPr>
            <w:tcW w:w="1740" w:type="dxa"/>
            <w:vAlign w:val="bottom"/>
            <w:vMerge w:val="restart"/>
            <w:shd w:val="clear" w:color="auto" w:fill="852166"/>
          </w:tcPr>
          <w:p>
            <w:pPr>
              <w:jc w:val="center"/>
              <w:spacing w:after="0"/>
              <w:rPr>
                <w:sz w:val="20"/>
                <w:szCs w:val="20"/>
                <w:color w:val="auto"/>
              </w:rPr>
            </w:pPr>
            <w:r>
              <w:rPr>
                <w:rFonts w:ascii="Arial" w:cs="Arial" w:eastAsia="Arial" w:hAnsi="Arial"/>
                <w:sz w:val="14"/>
                <w:szCs w:val="14"/>
                <w:b w:val="1"/>
                <w:bCs w:val="1"/>
                <w:color w:val="FFFFFF"/>
              </w:rPr>
              <w:t>(if applicable)</w:t>
            </w:r>
          </w:p>
        </w:tc>
        <w:tc>
          <w:tcPr>
            <w:tcW w:w="420" w:type="dxa"/>
            <w:vAlign w:val="bottom"/>
            <w:vMerge w:val="continue"/>
          </w:tcPr>
          <w:p>
            <w:pPr>
              <w:spacing w:after="0"/>
              <w:rPr>
                <w:sz w:val="8"/>
                <w:szCs w:val="8"/>
                <w:color w:val="auto"/>
              </w:rPr>
            </w:pPr>
          </w:p>
        </w:tc>
        <w:tc>
          <w:tcPr>
            <w:tcW w:w="1740" w:type="dxa"/>
            <w:vAlign w:val="bottom"/>
            <w:vMerge w:val="continue"/>
            <w:shd w:val="clear" w:color="auto" w:fill="FFCF01"/>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720" w:type="dxa"/>
            <w:vAlign w:val="bottom"/>
            <w:shd w:val="clear" w:color="auto" w:fill="852166"/>
          </w:tcPr>
          <w:p>
            <w:pPr>
              <w:spacing w:after="0"/>
              <w:rPr>
                <w:sz w:val="10"/>
                <w:szCs w:val="10"/>
                <w:color w:val="auto"/>
              </w:rPr>
            </w:pPr>
          </w:p>
        </w:tc>
        <w:tc>
          <w:tcPr>
            <w:tcW w:w="440" w:type="dxa"/>
            <w:vAlign w:val="bottom"/>
            <w:vMerge w:val="continue"/>
          </w:tcPr>
          <w:p>
            <w:pPr>
              <w:spacing w:after="0"/>
              <w:rPr>
                <w:sz w:val="10"/>
                <w:szCs w:val="10"/>
                <w:color w:val="auto"/>
              </w:rPr>
            </w:pPr>
          </w:p>
        </w:tc>
        <w:tc>
          <w:tcPr>
            <w:tcW w:w="1540" w:type="dxa"/>
            <w:vAlign w:val="bottom"/>
            <w:shd w:val="clear" w:color="auto" w:fill="852166"/>
          </w:tcPr>
          <w:p>
            <w:pPr>
              <w:spacing w:after="0"/>
              <w:rPr>
                <w:sz w:val="10"/>
                <w:szCs w:val="10"/>
                <w:color w:val="auto"/>
              </w:rPr>
            </w:pPr>
          </w:p>
        </w:tc>
        <w:tc>
          <w:tcPr>
            <w:tcW w:w="420" w:type="dxa"/>
            <w:vAlign w:val="bottom"/>
            <w:vMerge w:val="continue"/>
          </w:tcPr>
          <w:p>
            <w:pPr>
              <w:spacing w:after="0"/>
              <w:rPr>
                <w:sz w:val="10"/>
                <w:szCs w:val="10"/>
                <w:color w:val="auto"/>
              </w:rPr>
            </w:pPr>
          </w:p>
        </w:tc>
        <w:tc>
          <w:tcPr>
            <w:tcW w:w="1740" w:type="dxa"/>
            <w:vAlign w:val="bottom"/>
            <w:vMerge w:val="continue"/>
            <w:shd w:val="clear" w:color="auto" w:fill="852166"/>
          </w:tcPr>
          <w:p>
            <w:pPr>
              <w:spacing w:after="0"/>
              <w:rPr>
                <w:sz w:val="10"/>
                <w:szCs w:val="10"/>
                <w:color w:val="auto"/>
              </w:rPr>
            </w:pPr>
          </w:p>
        </w:tc>
        <w:tc>
          <w:tcPr>
            <w:tcW w:w="420" w:type="dxa"/>
            <w:vAlign w:val="bottom"/>
            <w:vMerge w:val="continue"/>
          </w:tcPr>
          <w:p>
            <w:pPr>
              <w:spacing w:after="0"/>
              <w:rPr>
                <w:sz w:val="10"/>
                <w:szCs w:val="10"/>
                <w:color w:val="auto"/>
              </w:rPr>
            </w:pPr>
          </w:p>
        </w:tc>
        <w:tc>
          <w:tcPr>
            <w:tcW w:w="1740" w:type="dxa"/>
            <w:vAlign w:val="bottom"/>
            <w:vMerge w:val="continue"/>
            <w:shd w:val="clear" w:color="auto" w:fill="852166"/>
          </w:tcPr>
          <w:p>
            <w:pPr>
              <w:spacing w:after="0"/>
              <w:rPr>
                <w:sz w:val="10"/>
                <w:szCs w:val="10"/>
                <w:color w:val="auto"/>
              </w:rPr>
            </w:pPr>
          </w:p>
        </w:tc>
        <w:tc>
          <w:tcPr>
            <w:tcW w:w="420" w:type="dxa"/>
            <w:vAlign w:val="bottom"/>
            <w:vMerge w:val="continue"/>
          </w:tcPr>
          <w:p>
            <w:pPr>
              <w:spacing w:after="0"/>
              <w:rPr>
                <w:sz w:val="10"/>
                <w:szCs w:val="10"/>
                <w:color w:val="auto"/>
              </w:rPr>
            </w:pPr>
          </w:p>
        </w:tc>
        <w:tc>
          <w:tcPr>
            <w:tcW w:w="1740" w:type="dxa"/>
            <w:vAlign w:val="bottom"/>
            <w:shd w:val="clear" w:color="auto" w:fill="FFCF01"/>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720" w:type="dxa"/>
            <w:vAlign w:val="bottom"/>
            <w:shd w:val="clear" w:color="auto" w:fill="852166"/>
          </w:tcPr>
          <w:p>
            <w:pPr>
              <w:spacing w:after="0"/>
              <w:rPr>
                <w:sz w:val="11"/>
                <w:szCs w:val="11"/>
                <w:color w:val="auto"/>
              </w:rPr>
            </w:pPr>
          </w:p>
        </w:tc>
        <w:tc>
          <w:tcPr>
            <w:tcW w:w="440" w:type="dxa"/>
            <w:vAlign w:val="bottom"/>
          </w:tcPr>
          <w:p>
            <w:pPr>
              <w:spacing w:after="0"/>
              <w:rPr>
                <w:sz w:val="11"/>
                <w:szCs w:val="11"/>
                <w:color w:val="auto"/>
              </w:rPr>
            </w:pPr>
          </w:p>
        </w:tc>
        <w:tc>
          <w:tcPr>
            <w:tcW w:w="1540" w:type="dxa"/>
            <w:vAlign w:val="bottom"/>
            <w:shd w:val="clear" w:color="auto" w:fill="852166"/>
          </w:tcPr>
          <w:p>
            <w:pPr>
              <w:spacing w:after="0"/>
              <w:rPr>
                <w:sz w:val="11"/>
                <w:szCs w:val="11"/>
                <w:color w:val="auto"/>
              </w:rPr>
            </w:pPr>
          </w:p>
        </w:tc>
        <w:tc>
          <w:tcPr>
            <w:tcW w:w="420" w:type="dxa"/>
            <w:vAlign w:val="bottom"/>
          </w:tcPr>
          <w:p>
            <w:pPr>
              <w:spacing w:after="0"/>
              <w:rPr>
                <w:sz w:val="11"/>
                <w:szCs w:val="11"/>
                <w:color w:val="auto"/>
              </w:rPr>
            </w:pPr>
          </w:p>
        </w:tc>
        <w:tc>
          <w:tcPr>
            <w:tcW w:w="1740" w:type="dxa"/>
            <w:vAlign w:val="bottom"/>
            <w:shd w:val="clear" w:color="auto" w:fill="852166"/>
          </w:tcPr>
          <w:p>
            <w:pPr>
              <w:spacing w:after="0"/>
              <w:rPr>
                <w:sz w:val="11"/>
                <w:szCs w:val="11"/>
                <w:color w:val="auto"/>
              </w:rPr>
            </w:pPr>
          </w:p>
        </w:tc>
        <w:tc>
          <w:tcPr>
            <w:tcW w:w="420" w:type="dxa"/>
            <w:vAlign w:val="bottom"/>
          </w:tcPr>
          <w:p>
            <w:pPr>
              <w:spacing w:after="0"/>
              <w:rPr>
                <w:sz w:val="11"/>
                <w:szCs w:val="11"/>
                <w:color w:val="auto"/>
              </w:rPr>
            </w:pPr>
          </w:p>
        </w:tc>
        <w:tc>
          <w:tcPr>
            <w:tcW w:w="1740" w:type="dxa"/>
            <w:vAlign w:val="bottom"/>
            <w:shd w:val="clear" w:color="auto" w:fill="852166"/>
          </w:tcPr>
          <w:p>
            <w:pPr>
              <w:spacing w:after="0"/>
              <w:rPr>
                <w:sz w:val="11"/>
                <w:szCs w:val="11"/>
                <w:color w:val="auto"/>
              </w:rPr>
            </w:pPr>
          </w:p>
        </w:tc>
        <w:tc>
          <w:tcPr>
            <w:tcW w:w="420" w:type="dxa"/>
            <w:vAlign w:val="bottom"/>
          </w:tcPr>
          <w:p>
            <w:pPr>
              <w:spacing w:after="0"/>
              <w:rPr>
                <w:sz w:val="11"/>
                <w:szCs w:val="11"/>
                <w:color w:val="auto"/>
              </w:rPr>
            </w:pPr>
          </w:p>
        </w:tc>
        <w:tc>
          <w:tcPr>
            <w:tcW w:w="1740" w:type="dxa"/>
            <w:vAlign w:val="bottom"/>
            <w:shd w:val="clear" w:color="auto" w:fill="FFCF01"/>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407"/>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color w:val="852166"/>
        </w:rPr>
        <w:t>Corporate Objectives</w:t>
      </w:r>
    </w:p>
    <w:p>
      <w:pPr>
        <w:spacing w:after="0" w:line="127"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auto"/>
        </w:rPr>
        <w:t>Each of the four objectives is described in the table and accompanying footnotes below, including the goals within each objective, each goal weighting, actual results and performance multipliers, as well as the total corporate achievement percentage resulting from the level of achievement of the objectives. Our compensation committee approved, at the start of the performance year, an algorithm with respect to each of the four objectives (as well as the difficult-to-achieve stretch goals) for calculating the corporate achievement percentage attributable to the extent of achievement for each such objective. As further described in the footnotes to the table below, our compensation committee established multiple discrete goals within each of the four main objectives, with objectively measurable targets, and set specific threshold and maximum levels of achievement for the commercial objective as well as the non-GAAP adjusted operating margin element of the operational excellence objective.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0" w:type="dxa"/>
            <w:vAlign w:val="bottom"/>
            <w:shd w:val="clear" w:color="auto" w:fill="852166"/>
          </w:tcPr>
          <w:p>
            <w:pPr>
              <w:spacing w:after="0"/>
              <w:rPr>
                <w:sz w:val="16"/>
                <w:szCs w:val="16"/>
                <w:color w:val="auto"/>
              </w:rPr>
            </w:pPr>
          </w:p>
        </w:tc>
        <w:tc>
          <w:tcPr>
            <w:tcW w:w="4600" w:type="dxa"/>
            <w:vAlign w:val="bottom"/>
            <w:vMerge w:val="restart"/>
            <w:shd w:val="clear" w:color="auto" w:fill="852166"/>
          </w:tcPr>
          <w:p>
            <w:pPr>
              <w:ind w:left="2060"/>
              <w:spacing w:after="0"/>
              <w:rPr>
                <w:sz w:val="20"/>
                <w:szCs w:val="20"/>
                <w:color w:val="auto"/>
              </w:rPr>
            </w:pPr>
            <w:r>
              <w:rPr>
                <w:rFonts w:ascii="Arial" w:cs="Arial" w:eastAsia="Arial" w:hAnsi="Arial"/>
                <w:sz w:val="14"/>
                <w:szCs w:val="14"/>
                <w:b w:val="1"/>
                <w:bCs w:val="1"/>
                <w:color w:val="FFFFFF"/>
              </w:rPr>
              <w:t>Weighting</w:t>
            </w:r>
          </w:p>
        </w:tc>
        <w:tc>
          <w:tcPr>
            <w:tcW w:w="1580" w:type="dxa"/>
            <w:vAlign w:val="bottom"/>
            <w:vMerge w:val="restart"/>
            <w:shd w:val="clear" w:color="auto" w:fill="852166"/>
          </w:tcPr>
          <w:p>
            <w:pPr>
              <w:jc w:val="right"/>
              <w:ind w:right="248"/>
              <w:spacing w:after="0"/>
              <w:rPr>
                <w:sz w:val="20"/>
                <w:szCs w:val="20"/>
                <w:color w:val="auto"/>
              </w:rPr>
            </w:pPr>
            <w:r>
              <w:rPr>
                <w:rFonts w:ascii="Arial" w:cs="Arial" w:eastAsia="Arial" w:hAnsi="Arial"/>
                <w:sz w:val="14"/>
                <w:szCs w:val="14"/>
                <w:b w:val="1"/>
                <w:bCs w:val="1"/>
                <w:color w:val="FFFFFF"/>
              </w:rPr>
              <w:t>Multiplier</w:t>
            </w:r>
          </w:p>
        </w:tc>
        <w:tc>
          <w:tcPr>
            <w:tcW w:w="1460" w:type="dxa"/>
            <w:vAlign w:val="bottom"/>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Corporate</w:t>
            </w:r>
          </w:p>
        </w:tc>
        <w:tc>
          <w:tcPr>
            <w:tcW w:w="0" w:type="dxa"/>
            <w:vAlign w:val="bottom"/>
          </w:tcPr>
          <w:p>
            <w:pPr>
              <w:spacing w:after="0"/>
              <w:rPr>
                <w:sz w:val="1"/>
                <w:szCs w:val="1"/>
                <w:color w:val="auto"/>
              </w:rPr>
            </w:pPr>
          </w:p>
        </w:tc>
      </w:tr>
      <w:tr>
        <w:trPr>
          <w:trHeight w:val="162"/>
        </w:trPr>
        <w:tc>
          <w:tcPr>
            <w:tcW w:w="3600" w:type="dxa"/>
            <w:vAlign w:val="bottom"/>
            <w:shd w:val="clear" w:color="auto" w:fill="852166"/>
          </w:tcPr>
          <w:p>
            <w:pPr>
              <w:spacing w:after="0"/>
              <w:rPr>
                <w:sz w:val="14"/>
                <w:szCs w:val="14"/>
                <w:color w:val="auto"/>
              </w:rPr>
            </w:pPr>
          </w:p>
        </w:tc>
        <w:tc>
          <w:tcPr>
            <w:tcW w:w="4600" w:type="dxa"/>
            <w:vAlign w:val="bottom"/>
            <w:vMerge w:val="continue"/>
            <w:shd w:val="clear" w:color="auto" w:fill="852166"/>
          </w:tcPr>
          <w:p>
            <w:pPr>
              <w:spacing w:after="0"/>
              <w:rPr>
                <w:sz w:val="14"/>
                <w:szCs w:val="14"/>
                <w:color w:val="auto"/>
              </w:rPr>
            </w:pPr>
          </w:p>
        </w:tc>
        <w:tc>
          <w:tcPr>
            <w:tcW w:w="1580" w:type="dxa"/>
            <w:vAlign w:val="bottom"/>
            <w:vMerge w:val="continue"/>
            <w:shd w:val="clear" w:color="auto" w:fill="852166"/>
          </w:tcPr>
          <w:p>
            <w:pPr>
              <w:spacing w:after="0"/>
              <w:rPr>
                <w:sz w:val="14"/>
                <w:szCs w:val="14"/>
                <w:color w:val="auto"/>
              </w:rPr>
            </w:pPr>
          </w:p>
        </w:tc>
        <w:tc>
          <w:tcPr>
            <w:tcW w:w="1460" w:type="dxa"/>
            <w:vAlign w:val="bottom"/>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 xml:space="preserve">Achievement </w:t>
            </w:r>
            <w:r>
              <w:rPr>
                <w:rFonts w:ascii="Arial" w:cs="Arial" w:eastAsia="Arial" w:hAnsi="Arial"/>
                <w:sz w:val="9"/>
                <w:szCs w:val="9"/>
                <w:b w:val="1"/>
                <w:bCs w:val="1"/>
                <w:color w:val="FFFFFF"/>
              </w:rPr>
              <w:t>(9)</w:t>
            </w:r>
          </w:p>
        </w:tc>
        <w:tc>
          <w:tcPr>
            <w:tcW w:w="0" w:type="dxa"/>
            <w:vAlign w:val="bottom"/>
          </w:tcPr>
          <w:p>
            <w:pPr>
              <w:spacing w:after="0"/>
              <w:rPr>
                <w:sz w:val="1"/>
                <w:szCs w:val="1"/>
                <w:color w:val="auto"/>
              </w:rPr>
            </w:pPr>
          </w:p>
        </w:tc>
      </w:tr>
      <w:tr>
        <w:trPr>
          <w:trHeight w:val="246"/>
        </w:trPr>
        <w:tc>
          <w:tcPr>
            <w:tcW w:w="3600" w:type="dxa"/>
            <w:vAlign w:val="bottom"/>
            <w:tcBorders>
              <w:bottom w:val="single" w:sz="8" w:color="852166"/>
            </w:tcBorders>
            <w:shd w:val="clear" w:color="auto" w:fill="852166"/>
          </w:tcPr>
          <w:p>
            <w:pPr>
              <w:ind w:left="100"/>
              <w:spacing w:after="0"/>
              <w:rPr>
                <w:sz w:val="20"/>
                <w:szCs w:val="20"/>
                <w:color w:val="auto"/>
              </w:rPr>
            </w:pPr>
            <w:r>
              <w:rPr>
                <w:rFonts w:ascii="Arial" w:cs="Arial" w:eastAsia="Arial" w:hAnsi="Arial"/>
                <w:sz w:val="14"/>
                <w:szCs w:val="14"/>
                <w:b w:val="1"/>
                <w:bCs w:val="1"/>
                <w:color w:val="FFFFFF"/>
              </w:rPr>
              <w:t>Corporate Objectives</w:t>
            </w:r>
          </w:p>
        </w:tc>
        <w:tc>
          <w:tcPr>
            <w:tcW w:w="4600" w:type="dxa"/>
            <w:vAlign w:val="bottom"/>
            <w:tcBorders>
              <w:bottom w:val="single" w:sz="8" w:color="852166"/>
            </w:tcBorders>
            <w:shd w:val="clear" w:color="auto" w:fill="852166"/>
          </w:tcPr>
          <w:p>
            <w:pPr>
              <w:ind w:left="2520"/>
              <w:spacing w:after="0"/>
              <w:rPr>
                <w:sz w:val="20"/>
                <w:szCs w:val="20"/>
                <w:color w:val="auto"/>
              </w:rPr>
            </w:pPr>
            <w:r>
              <w:rPr>
                <w:rFonts w:ascii="Arial" w:cs="Arial" w:eastAsia="Arial" w:hAnsi="Arial"/>
                <w:sz w:val="14"/>
                <w:szCs w:val="14"/>
                <w:b w:val="1"/>
                <w:bCs w:val="1"/>
                <w:color w:val="FFFFFF"/>
              </w:rPr>
              <w:t>(%)   Actual Results</w:t>
            </w:r>
          </w:p>
        </w:tc>
        <w:tc>
          <w:tcPr>
            <w:tcW w:w="1580" w:type="dxa"/>
            <w:vAlign w:val="bottom"/>
            <w:tcBorders>
              <w:bottom w:val="single" w:sz="8" w:color="852166"/>
            </w:tcBorders>
            <w:shd w:val="clear" w:color="auto" w:fill="852166"/>
          </w:tcPr>
          <w:p>
            <w:pPr>
              <w:jc w:val="right"/>
              <w:ind w:right="248"/>
              <w:spacing w:after="0"/>
              <w:rPr>
                <w:sz w:val="20"/>
                <w:szCs w:val="20"/>
                <w:color w:val="auto"/>
              </w:rPr>
            </w:pPr>
            <w:r>
              <w:rPr>
                <w:rFonts w:ascii="Arial" w:cs="Arial" w:eastAsia="Arial" w:hAnsi="Arial"/>
                <w:sz w:val="14"/>
                <w:szCs w:val="14"/>
                <w:b w:val="1"/>
                <w:bCs w:val="1"/>
                <w:color w:val="FFFFFF"/>
              </w:rPr>
              <w:t>(%)</w:t>
            </w:r>
          </w:p>
        </w:tc>
        <w:tc>
          <w:tcPr>
            <w:tcW w:w="1460" w:type="dxa"/>
            <w:vAlign w:val="bottom"/>
            <w:tcBorders>
              <w:bottom w:val="single" w:sz="8" w:color="852166"/>
            </w:tcBorders>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9"/>
        </w:trPr>
        <w:tc>
          <w:tcPr>
            <w:tcW w:w="3600" w:type="dxa"/>
            <w:vAlign w:val="bottom"/>
            <w:shd w:val="clear" w:color="auto" w:fill="E9E9E9"/>
          </w:tcPr>
          <w:p>
            <w:pPr>
              <w:ind w:left="100"/>
              <w:spacing w:after="0"/>
              <w:rPr>
                <w:sz w:val="20"/>
                <w:szCs w:val="20"/>
                <w:color w:val="auto"/>
              </w:rPr>
            </w:pPr>
            <w:r>
              <w:rPr>
                <w:rFonts w:ascii="Arial" w:cs="Arial" w:eastAsia="Arial" w:hAnsi="Arial"/>
                <w:sz w:val="14"/>
                <w:szCs w:val="14"/>
                <w:b w:val="1"/>
                <w:bCs w:val="1"/>
                <w:color w:val="auto"/>
              </w:rPr>
              <w:t>1.   Commercial:</w:t>
            </w:r>
          </w:p>
        </w:tc>
        <w:tc>
          <w:tcPr>
            <w:tcW w:w="4600" w:type="dxa"/>
            <w:vAlign w:val="bottom"/>
            <w:shd w:val="clear" w:color="auto" w:fill="E9E9E9"/>
          </w:tcPr>
          <w:p>
            <w:pPr>
              <w:spacing w:after="0"/>
              <w:rPr>
                <w:sz w:val="19"/>
                <w:szCs w:val="19"/>
                <w:color w:val="auto"/>
              </w:rPr>
            </w:pPr>
          </w:p>
        </w:tc>
        <w:tc>
          <w:tcPr>
            <w:tcW w:w="1580" w:type="dxa"/>
            <w:vAlign w:val="bottom"/>
            <w:shd w:val="clear" w:color="auto" w:fill="E9E9E9"/>
          </w:tcPr>
          <w:p>
            <w:pPr>
              <w:spacing w:after="0"/>
              <w:rPr>
                <w:sz w:val="19"/>
                <w:szCs w:val="19"/>
                <w:color w:val="auto"/>
              </w:rPr>
            </w:pPr>
          </w:p>
        </w:tc>
        <w:tc>
          <w:tcPr>
            <w:tcW w:w="146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ectPr>
          <w:pgSz w:w="11900" w:h="16838" w:orient="portrait"/>
          <w:cols w:equalWidth="0" w:num="1">
            <w:col w:w="11240"/>
          </w:cols>
          <w:pgMar w:left="320" w:top="1057" w:right="339" w:bottom="1440" w:gutter="0" w:footer="0" w:header="0"/>
        </w:sectPr>
      </w:pPr>
    </w:p>
    <w:p>
      <w:pPr>
        <w:ind w:left="440"/>
        <w:spacing w:after="0"/>
        <w:rPr>
          <w:sz w:val="20"/>
          <w:szCs w:val="20"/>
          <w:color w:val="auto"/>
        </w:rPr>
      </w:pPr>
      <w:r>
        <w:rPr>
          <w:rFonts w:ascii="Arial" w:cs="Arial" w:eastAsia="Arial" w:hAnsi="Arial"/>
          <w:sz w:val="14"/>
          <w:szCs w:val="14"/>
          <w:color w:val="auto"/>
        </w:rPr>
        <w:t>•  Achieve Xywav net product sales in 2023 of $1,280 million</w:t>
      </w:r>
      <w:r>
        <w:rPr>
          <w:rFonts w:ascii="Arial" w:cs="Arial" w:eastAsia="Arial" w:hAnsi="Arial"/>
          <w:sz w:val="9"/>
          <w:szCs w:val="9"/>
          <w:color w:val="auto"/>
        </w:rPr>
        <w:t>(1)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740" w:type="dxa"/>
            <w:vAlign w:val="bottom"/>
          </w:tcPr>
          <w:p>
            <w:pPr>
              <w:spacing w:after="0"/>
              <w:rPr>
                <w:sz w:val="20"/>
                <w:szCs w:val="20"/>
                <w:color w:val="auto"/>
              </w:rPr>
            </w:pPr>
            <w:r>
              <w:rPr>
                <w:rFonts w:ascii="Arial" w:cs="Arial" w:eastAsia="Arial" w:hAnsi="Arial"/>
                <w:sz w:val="14"/>
                <w:szCs w:val="14"/>
                <w:color w:val="auto"/>
              </w:rPr>
              <w:t>16%   Between threshold and target:</w:t>
            </w:r>
          </w:p>
        </w:tc>
        <w:tc>
          <w:tcPr>
            <w:tcW w:w="1360" w:type="dxa"/>
            <w:vAlign w:val="bottom"/>
          </w:tcPr>
          <w:p>
            <w:pPr>
              <w:jc w:val="right"/>
              <w:ind w:right="628"/>
              <w:spacing w:after="0"/>
              <w:rPr>
                <w:sz w:val="20"/>
                <w:szCs w:val="20"/>
                <w:color w:val="auto"/>
              </w:rPr>
            </w:pPr>
            <w:r>
              <w:rPr>
                <w:rFonts w:ascii="Arial" w:cs="Arial" w:eastAsia="Arial" w:hAnsi="Arial"/>
                <w:sz w:val="14"/>
                <w:szCs w:val="14"/>
                <w:color w:val="auto"/>
              </w:rPr>
              <w:t>100%</w:t>
            </w:r>
          </w:p>
        </w:tc>
        <w:tc>
          <w:tcPr>
            <w:tcW w:w="960" w:type="dxa"/>
            <w:vAlign w:val="bottom"/>
          </w:tcPr>
          <w:p>
            <w:pPr>
              <w:jc w:val="right"/>
              <w:spacing w:after="0"/>
              <w:rPr>
                <w:sz w:val="20"/>
                <w:szCs w:val="20"/>
                <w:color w:val="auto"/>
              </w:rPr>
            </w:pPr>
            <w:r>
              <w:rPr>
                <w:rFonts w:ascii="Arial" w:cs="Arial" w:eastAsia="Arial" w:hAnsi="Arial"/>
                <w:sz w:val="14"/>
                <w:szCs w:val="14"/>
                <w:color w:val="auto"/>
              </w:rPr>
              <w:t>16%</w:t>
            </w:r>
          </w:p>
        </w:tc>
      </w:tr>
    </w:tbl>
    <w:p>
      <w:pPr>
        <w:ind w:left="520"/>
        <w:spacing w:after="0"/>
        <w:rPr>
          <w:sz w:val="20"/>
          <w:szCs w:val="20"/>
          <w:color w:val="auto"/>
        </w:rPr>
      </w:pPr>
      <w:r>
        <w:rPr>
          <w:rFonts w:ascii="Arial" w:cs="Arial" w:eastAsia="Arial" w:hAnsi="Arial"/>
          <w:sz w:val="14"/>
          <w:szCs w:val="14"/>
          <w:color w:val="auto"/>
        </w:rPr>
        <w:t>net product sales of $1,273</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14605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5" w:lineRule="exact"/>
        <w:rPr>
          <w:sz w:val="20"/>
          <w:szCs w:val="20"/>
          <w:color w:val="auto"/>
        </w:rPr>
      </w:pPr>
    </w:p>
    <w:p>
      <w:pPr>
        <w:sectPr>
          <w:pgSz w:w="11900" w:h="16838" w:orient="portrait"/>
          <w:cols w:equalWidth="0" w:num="2">
            <w:col w:w="5340" w:space="720"/>
            <w:col w:w="5180"/>
          </w:cols>
          <w:pgMar w:left="320" w:top="1057" w:right="339" w:bottom="1440" w:gutter="0" w:footer="0" w:header="0"/>
          <w:type w:val="continuous"/>
        </w:sectPr>
      </w:pPr>
    </w:p>
    <w:p>
      <w:pPr>
        <w:ind w:left="6060" w:right="120" w:hanging="6128"/>
        <w:spacing w:after="0" w:line="265" w:lineRule="auto"/>
        <w:tabs>
          <w:tab w:leader="none" w:pos="6040" w:val="left"/>
        </w:tabs>
        <w:rPr>
          <w:sz w:val="20"/>
          <w:szCs w:val="20"/>
          <w:color w:val="auto"/>
        </w:rPr>
      </w:pPr>
      <w:r>
        <w:rPr>
          <w:rFonts w:ascii="Arial" w:cs="Arial" w:eastAsia="Arial" w:hAnsi="Arial"/>
          <w:sz w:val="14"/>
          <w:szCs w:val="14"/>
          <w:color w:val="auto"/>
        </w:rPr>
        <w:t xml:space="preserve">•  Achieve Epidiolex/Epidyolex net product sales in 2023 of $857 million </w:t>
      </w:r>
      <w:r>
        <w:rPr>
          <w:rFonts w:ascii="Arial" w:cs="Arial" w:eastAsia="Arial" w:hAnsi="Arial"/>
          <w:sz w:val="9"/>
          <w:szCs w:val="9"/>
          <w:color w:val="auto"/>
        </w:rPr>
        <w:t>(1)</w:t>
      </w:r>
      <w:r>
        <w:rPr>
          <w:sz w:val="20"/>
          <w:szCs w:val="20"/>
          <w:color w:val="auto"/>
        </w:rPr>
        <w:tab/>
      </w:r>
      <w:r>
        <w:rPr>
          <w:rFonts w:ascii="Arial" w:cs="Arial" w:eastAsia="Arial" w:hAnsi="Arial"/>
          <w:sz w:val="14"/>
          <w:szCs w:val="14"/>
          <w:color w:val="auto"/>
        </w:rPr>
        <w:t>12% Between threshold and target: 98% 12% net product sales of $842</w:t>
      </w:r>
    </w:p>
    <w:p>
      <w:pPr>
        <w:spacing w:after="0" w:line="166" w:lineRule="exact"/>
        <w:rPr>
          <w:sz w:val="20"/>
          <w:szCs w:val="20"/>
          <w:color w:val="auto"/>
        </w:rPr>
      </w:pPr>
    </w:p>
    <w:p>
      <w:pPr>
        <w:ind w:left="6580"/>
        <w:spacing w:after="0"/>
        <w:rPr>
          <w:sz w:val="20"/>
          <w:szCs w:val="20"/>
          <w:color w:val="auto"/>
        </w:rPr>
      </w:pPr>
      <w:r>
        <w:rPr>
          <w:rFonts w:ascii="Arial" w:cs="Arial" w:eastAsia="Arial" w:hAnsi="Arial"/>
          <w:sz w:val="14"/>
          <w:szCs w:val="14"/>
          <w:color w:val="auto"/>
        </w:rPr>
        <w:t>million</w:t>
      </w:r>
      <w:r>
        <w:rPr>
          <w:rFonts w:ascii="Arial" w:cs="Arial" w:eastAsia="Arial" w:hAnsi="Arial"/>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p>
      <w:pPr>
        <w:spacing w:after="0" w:line="11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•  Achieve oncology net product sales in 2023 of $1,005 million</w:t>
      </w:r>
      <w:r>
        <w:rPr>
          <w:rFonts w:ascii="Arial" w:cs="Arial" w:eastAsia="Arial" w:hAnsi="Arial"/>
          <w:sz w:val="9"/>
          <w:szCs w:val="9"/>
          <w:color w:val="auto"/>
        </w:rPr>
        <w:t>(1)</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2780" w:type="dxa"/>
            <w:vAlign w:val="bottom"/>
          </w:tcPr>
          <w:p>
            <w:pPr>
              <w:spacing w:after="0"/>
              <w:rPr>
                <w:sz w:val="20"/>
                <w:szCs w:val="20"/>
                <w:color w:val="auto"/>
              </w:rPr>
            </w:pPr>
            <w:r>
              <w:rPr>
                <w:rFonts w:ascii="Arial" w:cs="Arial" w:eastAsia="Arial" w:hAnsi="Arial"/>
                <w:sz w:val="14"/>
                <w:szCs w:val="14"/>
                <w:color w:val="auto"/>
              </w:rPr>
              <w:t>12%   Above target: net product sales</w:t>
            </w:r>
          </w:p>
        </w:tc>
        <w:tc>
          <w:tcPr>
            <w:tcW w:w="1320" w:type="dxa"/>
            <w:vAlign w:val="bottom"/>
          </w:tcPr>
          <w:p>
            <w:pPr>
              <w:jc w:val="right"/>
              <w:ind w:right="628"/>
              <w:spacing w:after="0"/>
              <w:rPr>
                <w:sz w:val="20"/>
                <w:szCs w:val="20"/>
                <w:color w:val="auto"/>
              </w:rPr>
            </w:pPr>
            <w:r>
              <w:rPr>
                <w:rFonts w:ascii="Arial" w:cs="Arial" w:eastAsia="Arial" w:hAnsi="Arial"/>
                <w:sz w:val="14"/>
                <w:szCs w:val="14"/>
                <w:color w:val="auto"/>
              </w:rPr>
              <w:t>101%</w:t>
            </w:r>
          </w:p>
        </w:tc>
        <w:tc>
          <w:tcPr>
            <w:tcW w:w="9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90"/>
        </w:trPr>
        <w:tc>
          <w:tcPr>
            <w:tcW w:w="2780" w:type="dxa"/>
            <w:vAlign w:val="bottom"/>
          </w:tcPr>
          <w:p>
            <w:pPr>
              <w:ind w:left="520"/>
              <w:spacing w:after="0"/>
              <w:rPr>
                <w:sz w:val="20"/>
                <w:szCs w:val="20"/>
                <w:color w:val="auto"/>
              </w:rPr>
            </w:pPr>
            <w:r>
              <w:rPr>
                <w:rFonts w:ascii="Arial" w:cs="Arial" w:eastAsia="Arial" w:hAnsi="Arial"/>
                <w:sz w:val="14"/>
                <w:szCs w:val="14"/>
                <w:color w:val="auto"/>
              </w:rPr>
              <w:t>of $1,013 million</w:t>
            </w:r>
            <w:r>
              <w:rPr>
                <w:rFonts w:ascii="Arial" w:cs="Arial" w:eastAsia="Arial" w:hAnsi="Arial"/>
                <w:sz w:val="9"/>
                <w:szCs w:val="9"/>
                <w:color w:val="auto"/>
              </w:rPr>
              <w:t>(3)</w:t>
            </w: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r>
    </w:tbl>
    <w:p>
      <w:pPr>
        <w:spacing w:after="0" w:line="76" w:lineRule="exact"/>
        <w:rPr>
          <w:sz w:val="20"/>
          <w:szCs w:val="20"/>
          <w:color w:val="auto"/>
        </w:rPr>
      </w:pPr>
    </w:p>
    <w:p>
      <w:pPr>
        <w:sectPr>
          <w:pgSz w:w="11900" w:h="16838" w:orient="portrait"/>
          <w:cols w:equalWidth="0" w:num="2">
            <w:col w:w="5340" w:space="720"/>
            <w:col w:w="5180"/>
          </w:cols>
          <w:pgMar w:left="320" w:top="1057"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060" w:type="dxa"/>
            <w:vAlign w:val="bottom"/>
            <w:shd w:val="clear" w:color="auto" w:fill="E9E9E9"/>
          </w:tcPr>
          <w:p>
            <w:pPr>
              <w:ind w:left="100"/>
              <w:spacing w:after="0"/>
              <w:rPr>
                <w:sz w:val="20"/>
                <w:szCs w:val="20"/>
                <w:color w:val="auto"/>
              </w:rPr>
            </w:pPr>
            <w:r>
              <w:rPr>
                <w:rFonts w:ascii="Arial" w:cs="Arial" w:eastAsia="Arial" w:hAnsi="Arial"/>
                <w:sz w:val="14"/>
                <w:szCs w:val="14"/>
                <w:b w:val="1"/>
                <w:bCs w:val="1"/>
                <w:color w:val="auto"/>
              </w:rPr>
              <w:t>2.   Pipeline:</w:t>
            </w:r>
          </w:p>
        </w:tc>
        <w:tc>
          <w:tcPr>
            <w:tcW w:w="2400" w:type="dxa"/>
            <w:vAlign w:val="bottom"/>
            <w:shd w:val="clear" w:color="auto" w:fill="E9E9E9"/>
          </w:tcPr>
          <w:p>
            <w:pPr>
              <w:spacing w:after="0"/>
              <w:rPr>
                <w:sz w:val="19"/>
                <w:szCs w:val="19"/>
                <w:color w:val="auto"/>
              </w:rPr>
            </w:pPr>
          </w:p>
        </w:tc>
        <w:tc>
          <w:tcPr>
            <w:tcW w:w="1980" w:type="dxa"/>
            <w:vAlign w:val="bottom"/>
            <w:shd w:val="clear" w:color="auto" w:fill="E9E9E9"/>
          </w:tcPr>
          <w:p>
            <w:pPr>
              <w:spacing w:after="0"/>
              <w:rPr>
                <w:sz w:val="19"/>
                <w:szCs w:val="19"/>
                <w:color w:val="auto"/>
              </w:rPr>
            </w:pPr>
          </w:p>
        </w:tc>
        <w:tc>
          <w:tcPr>
            <w:tcW w:w="1780" w:type="dxa"/>
            <w:vAlign w:val="bottom"/>
            <w:shd w:val="clear" w:color="auto" w:fill="E9E9E9"/>
          </w:tcPr>
          <w:p>
            <w:pPr>
              <w:spacing w:after="0"/>
              <w:rPr>
                <w:sz w:val="19"/>
                <w:szCs w:val="19"/>
                <w:color w:val="auto"/>
              </w:rPr>
            </w:pPr>
          </w:p>
        </w:tc>
        <w:tc>
          <w:tcPr>
            <w:tcW w:w="1020" w:type="dxa"/>
            <w:vAlign w:val="bottom"/>
            <w:shd w:val="clear" w:color="auto" w:fill="E9E9E9"/>
          </w:tcPr>
          <w:p>
            <w:pPr>
              <w:spacing w:after="0"/>
              <w:rPr>
                <w:sz w:val="19"/>
                <w:szCs w:val="19"/>
                <w:color w:val="auto"/>
              </w:rPr>
            </w:pPr>
          </w:p>
        </w:tc>
      </w:tr>
      <w:tr>
        <w:trPr>
          <w:trHeight w:val="305"/>
        </w:trPr>
        <w:tc>
          <w:tcPr>
            <w:tcW w:w="4060" w:type="dxa"/>
            <w:vAlign w:val="bottom"/>
          </w:tcPr>
          <w:p>
            <w:pPr>
              <w:ind w:left="440"/>
              <w:spacing w:after="0"/>
              <w:rPr>
                <w:sz w:val="20"/>
                <w:szCs w:val="20"/>
                <w:color w:val="auto"/>
              </w:rPr>
            </w:pPr>
            <w:r>
              <w:rPr>
                <w:rFonts w:ascii="Arial" w:cs="Arial" w:eastAsia="Arial" w:hAnsi="Arial"/>
                <w:sz w:val="14"/>
                <w:szCs w:val="14"/>
                <w:color w:val="auto"/>
              </w:rPr>
              <w:t>•   Top priority programs</w:t>
            </w:r>
            <w:r>
              <w:rPr>
                <w:rFonts w:ascii="Arial" w:cs="Arial" w:eastAsia="Arial" w:hAnsi="Arial"/>
                <w:sz w:val="9"/>
                <w:szCs w:val="9"/>
                <w:color w:val="auto"/>
              </w:rPr>
              <w:t>(4)</w:t>
            </w:r>
          </w:p>
        </w:tc>
        <w:tc>
          <w:tcPr>
            <w:tcW w:w="240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980" w:type="dxa"/>
            <w:vAlign w:val="bottom"/>
          </w:tcPr>
          <w:p>
            <w:pPr>
              <w:ind w:left="120"/>
              <w:spacing w:after="0"/>
              <w:rPr>
                <w:sz w:val="20"/>
                <w:szCs w:val="20"/>
                <w:color w:val="auto"/>
              </w:rPr>
            </w:pPr>
            <w:r>
              <w:rPr>
                <w:rFonts w:ascii="Arial" w:cs="Arial" w:eastAsia="Arial" w:hAnsi="Arial"/>
                <w:sz w:val="14"/>
                <w:szCs w:val="14"/>
                <w:color w:val="auto"/>
              </w:rPr>
              <w:t>Achieved targets</w:t>
            </w:r>
            <w:r>
              <w:rPr>
                <w:rFonts w:ascii="Arial" w:cs="Arial" w:eastAsia="Arial" w:hAnsi="Arial"/>
                <w:sz w:val="9"/>
                <w:szCs w:val="9"/>
                <w:color w:val="auto"/>
              </w:rPr>
              <w:t>(4)</w:t>
            </w:r>
          </w:p>
        </w:tc>
        <w:tc>
          <w:tcPr>
            <w:tcW w:w="1780" w:type="dxa"/>
            <w:vAlign w:val="bottom"/>
          </w:tcPr>
          <w:p>
            <w:pPr>
              <w:jc w:val="right"/>
              <w:ind w:right="528"/>
              <w:spacing w:after="0"/>
              <w:rPr>
                <w:sz w:val="20"/>
                <w:szCs w:val="20"/>
                <w:color w:val="auto"/>
              </w:rPr>
            </w:pPr>
            <w:r>
              <w:rPr>
                <w:rFonts w:ascii="Arial" w:cs="Arial" w:eastAsia="Arial" w:hAnsi="Arial"/>
                <w:sz w:val="14"/>
                <w:szCs w:val="14"/>
                <w:color w:val="auto"/>
              </w:rPr>
              <w:t xml:space="preserve">120% </w:t>
            </w:r>
            <w:r>
              <w:rPr>
                <w:rFonts w:ascii="Arial" w:cs="Arial" w:eastAsia="Arial" w:hAnsi="Arial"/>
                <w:sz w:val="18"/>
                <w:szCs w:val="18"/>
                <w:color w:val="auto"/>
                <w:vertAlign w:val="superscript"/>
              </w:rPr>
              <w:t>(4)</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36%</w:t>
            </w:r>
          </w:p>
        </w:tc>
      </w:tr>
      <w:tr>
        <w:trPr>
          <w:trHeight w:val="32"/>
        </w:trPr>
        <w:tc>
          <w:tcPr>
            <w:tcW w:w="40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2"/>
        </w:trPr>
        <w:tc>
          <w:tcPr>
            <w:tcW w:w="4060" w:type="dxa"/>
            <w:vAlign w:val="bottom"/>
          </w:tcPr>
          <w:p>
            <w:pPr>
              <w:ind w:left="440"/>
              <w:spacing w:after="0"/>
              <w:rPr>
                <w:sz w:val="20"/>
                <w:szCs w:val="20"/>
                <w:color w:val="auto"/>
              </w:rPr>
            </w:pPr>
            <w:r>
              <w:rPr>
                <w:rFonts w:ascii="Arial" w:cs="Arial" w:eastAsia="Arial" w:hAnsi="Arial"/>
                <w:sz w:val="14"/>
                <w:szCs w:val="14"/>
                <w:color w:val="auto"/>
              </w:rPr>
              <w:t>•  Ancillary goals</w:t>
            </w:r>
            <w:r>
              <w:rPr>
                <w:rFonts w:ascii="Arial" w:cs="Arial" w:eastAsia="Arial" w:hAnsi="Arial"/>
                <w:sz w:val="9"/>
                <w:szCs w:val="9"/>
                <w:color w:val="auto"/>
              </w:rPr>
              <w:t>(4)</w:t>
            </w:r>
          </w:p>
        </w:tc>
        <w:tc>
          <w:tcPr>
            <w:tcW w:w="240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980" w:type="dxa"/>
            <w:vAlign w:val="bottom"/>
          </w:tcPr>
          <w:p>
            <w:pPr>
              <w:ind w:left="120"/>
              <w:spacing w:after="0"/>
              <w:rPr>
                <w:sz w:val="20"/>
                <w:szCs w:val="20"/>
                <w:color w:val="auto"/>
              </w:rPr>
            </w:pPr>
            <w:r>
              <w:rPr>
                <w:rFonts w:ascii="Arial" w:cs="Arial" w:eastAsia="Arial" w:hAnsi="Arial"/>
                <w:sz w:val="14"/>
                <w:szCs w:val="14"/>
                <w:color w:val="auto"/>
              </w:rPr>
              <w:t>Partially awarded</w:t>
            </w:r>
            <w:r>
              <w:rPr>
                <w:rFonts w:ascii="Arial" w:cs="Arial" w:eastAsia="Arial" w:hAnsi="Arial"/>
                <w:sz w:val="9"/>
                <w:szCs w:val="9"/>
                <w:color w:val="auto"/>
              </w:rPr>
              <w:t>(4)</w:t>
            </w:r>
          </w:p>
        </w:tc>
        <w:tc>
          <w:tcPr>
            <w:tcW w:w="178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46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3" w:lineRule="exact"/>
        <w:rPr>
          <w:sz w:val="20"/>
          <w:szCs w:val="20"/>
          <w:color w:val="auto"/>
        </w:rPr>
      </w:pPr>
    </w:p>
    <w:p>
      <w:pPr>
        <w:ind w:left="440" w:hanging="333"/>
        <w:spacing w:after="0"/>
        <w:tabs>
          <w:tab w:leader="none" w:pos="440" w:val="left"/>
        </w:tabs>
        <w:numPr>
          <w:ilvl w:val="0"/>
          <w:numId w:val="55"/>
        </w:numPr>
        <w:rPr>
          <w:rFonts w:ascii="Arial" w:cs="Arial" w:eastAsia="Arial" w:hAnsi="Arial"/>
          <w:sz w:val="14"/>
          <w:szCs w:val="14"/>
          <w:b w:val="1"/>
          <w:bCs w:val="1"/>
          <w:color w:val="auto"/>
        </w:rPr>
      </w:pPr>
      <w:r>
        <w:rPr>
          <w:rFonts w:ascii="Arial" w:cs="Arial" w:eastAsia="Arial" w:hAnsi="Arial"/>
          <w:sz w:val="14"/>
          <w:szCs w:val="14"/>
          <w:b w:val="1"/>
          <w:bCs w:val="1"/>
          <w:color w:val="auto"/>
        </w:rPr>
        <w:t>Corporate Development: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0" w:type="dxa"/>
            <w:vAlign w:val="bottom"/>
          </w:tcPr>
          <w:p>
            <w:pPr>
              <w:ind w:left="440"/>
              <w:spacing w:after="0"/>
              <w:rPr>
                <w:sz w:val="20"/>
                <w:szCs w:val="20"/>
                <w:color w:val="auto"/>
              </w:rPr>
            </w:pPr>
            <w:r>
              <w:rPr>
                <w:rFonts w:ascii="Arial" w:cs="Arial" w:eastAsia="Arial" w:hAnsi="Arial"/>
                <w:sz w:val="14"/>
                <w:szCs w:val="14"/>
                <w:color w:val="auto"/>
              </w:rPr>
              <w:t>• </w:t>
            </w:r>
          </w:p>
        </w:tc>
        <w:tc>
          <w:tcPr>
            <w:tcW w:w="4360" w:type="dxa"/>
            <w:vAlign w:val="bottom"/>
          </w:tcPr>
          <w:p>
            <w:pPr>
              <w:ind w:left="20"/>
              <w:spacing w:after="0"/>
              <w:rPr>
                <w:sz w:val="20"/>
                <w:szCs w:val="20"/>
                <w:color w:val="auto"/>
              </w:rPr>
            </w:pPr>
            <w:r>
              <w:rPr>
                <w:rFonts w:ascii="Arial" w:cs="Arial" w:eastAsia="Arial" w:hAnsi="Arial"/>
                <w:sz w:val="14"/>
                <w:szCs w:val="14"/>
                <w:color w:val="auto"/>
              </w:rPr>
              <w:t>Progression of Corporate Development activities</w:t>
            </w:r>
            <w:r>
              <w:rPr>
                <w:rFonts w:ascii="Arial" w:cs="Arial" w:eastAsia="Arial" w:hAnsi="Arial"/>
                <w:sz w:val="9"/>
                <w:szCs w:val="9"/>
                <w:color w:val="auto"/>
              </w:rPr>
              <w:t>(5)</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980" w:type="dxa"/>
            <w:vAlign w:val="bottom"/>
          </w:tcPr>
          <w:p>
            <w:pPr>
              <w:ind w:left="120"/>
              <w:spacing w:after="0"/>
              <w:rPr>
                <w:sz w:val="20"/>
                <w:szCs w:val="20"/>
                <w:color w:val="auto"/>
              </w:rPr>
            </w:pPr>
            <w:r>
              <w:rPr>
                <w:rFonts w:ascii="Arial" w:cs="Arial" w:eastAsia="Arial" w:hAnsi="Arial"/>
                <w:sz w:val="14"/>
                <w:szCs w:val="14"/>
                <w:color w:val="auto"/>
              </w:rPr>
              <w:t>Achieved target</w:t>
            </w:r>
            <w:r>
              <w:rPr>
                <w:rFonts w:ascii="Arial" w:cs="Arial" w:eastAsia="Arial" w:hAnsi="Arial"/>
                <w:sz w:val="9"/>
                <w:szCs w:val="9"/>
                <w:color w:val="auto"/>
              </w:rPr>
              <w:t>(5)</w:t>
            </w:r>
          </w:p>
        </w:tc>
        <w:tc>
          <w:tcPr>
            <w:tcW w:w="1720" w:type="dxa"/>
            <w:vAlign w:val="bottom"/>
          </w:tcPr>
          <w:p>
            <w:pPr>
              <w:jc w:val="right"/>
              <w:ind w:right="628"/>
              <w:spacing w:after="0"/>
              <w:rPr>
                <w:sz w:val="20"/>
                <w:szCs w:val="20"/>
                <w:color w:val="auto"/>
              </w:rPr>
            </w:pPr>
            <w:r>
              <w:rPr>
                <w:rFonts w:ascii="Arial" w:cs="Arial" w:eastAsia="Arial" w:hAnsi="Arial"/>
                <w:sz w:val="14"/>
                <w:szCs w:val="14"/>
                <w:color w:val="auto"/>
              </w:rPr>
              <w:t>67%</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w:t>
            </w:r>
          </w:p>
        </w:tc>
      </w:tr>
      <w:tr>
        <w:trPr>
          <w:trHeight w:val="76"/>
        </w:trPr>
        <w:tc>
          <w:tcPr>
            <w:tcW w:w="580" w:type="dxa"/>
            <w:vAlign w:val="bottom"/>
            <w:tcBorders>
              <w:bottom w:val="single" w:sz="8" w:color="auto"/>
            </w:tcBorders>
          </w:tcPr>
          <w:p>
            <w:pPr>
              <w:spacing w:after="0"/>
              <w:rPr>
                <w:sz w:val="6"/>
                <w:szCs w:val="6"/>
                <w:color w:val="auto"/>
              </w:rPr>
            </w:pPr>
          </w:p>
        </w:tc>
        <w:tc>
          <w:tcPr>
            <w:tcW w:w="436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242"/>
        </w:trPr>
        <w:tc>
          <w:tcPr>
            <w:tcW w:w="580" w:type="dxa"/>
            <w:vAlign w:val="bottom"/>
          </w:tcPr>
          <w:p>
            <w:pPr>
              <w:ind w:left="440"/>
              <w:spacing w:after="0"/>
              <w:rPr>
                <w:sz w:val="20"/>
                <w:szCs w:val="20"/>
                <w:color w:val="auto"/>
              </w:rPr>
            </w:pPr>
            <w:r>
              <w:rPr>
                <w:rFonts w:ascii="Arial" w:cs="Arial" w:eastAsia="Arial" w:hAnsi="Arial"/>
                <w:sz w:val="14"/>
                <w:szCs w:val="14"/>
                <w:color w:val="auto"/>
              </w:rPr>
              <w:t>• </w:t>
            </w:r>
          </w:p>
        </w:tc>
        <w:tc>
          <w:tcPr>
            <w:tcW w:w="4360" w:type="dxa"/>
            <w:vAlign w:val="bottom"/>
          </w:tcPr>
          <w:p>
            <w:pPr>
              <w:ind w:left="20"/>
              <w:spacing w:after="0"/>
              <w:rPr>
                <w:sz w:val="20"/>
                <w:szCs w:val="20"/>
                <w:color w:val="auto"/>
              </w:rPr>
            </w:pPr>
            <w:r>
              <w:rPr>
                <w:rFonts w:ascii="Arial" w:cs="Arial" w:eastAsia="Arial" w:hAnsi="Arial"/>
                <w:sz w:val="14"/>
                <w:szCs w:val="14"/>
                <w:color w:val="auto"/>
              </w:rPr>
              <w:t>Strategic add-ons</w:t>
            </w:r>
            <w:r>
              <w:rPr>
                <w:rFonts w:ascii="Arial" w:cs="Arial" w:eastAsia="Arial" w:hAnsi="Arial"/>
                <w:sz w:val="9"/>
                <w:szCs w:val="9"/>
                <w:color w:val="auto"/>
              </w:rPr>
              <w:t>(6)</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980" w:type="dxa"/>
            <w:vAlign w:val="bottom"/>
          </w:tcPr>
          <w:p>
            <w:pPr>
              <w:ind w:left="120"/>
              <w:spacing w:after="0"/>
              <w:rPr>
                <w:sz w:val="20"/>
                <w:szCs w:val="20"/>
                <w:color w:val="auto"/>
              </w:rPr>
            </w:pPr>
            <w:r>
              <w:rPr>
                <w:rFonts w:ascii="Arial" w:cs="Arial" w:eastAsia="Arial" w:hAnsi="Arial"/>
                <w:sz w:val="14"/>
                <w:szCs w:val="14"/>
                <w:color w:val="auto"/>
              </w:rPr>
              <w:t>Not awarded</w:t>
            </w:r>
            <w:r>
              <w:rPr>
                <w:rFonts w:ascii="Arial" w:cs="Arial" w:eastAsia="Arial" w:hAnsi="Arial"/>
                <w:sz w:val="9"/>
                <w:szCs w:val="9"/>
                <w:color w:val="auto"/>
              </w:rPr>
              <w:t>(6)</w:t>
            </w:r>
          </w:p>
        </w:tc>
        <w:tc>
          <w:tcPr>
            <w:tcW w:w="1720" w:type="dxa"/>
            <w:vAlign w:val="bottom"/>
          </w:tcPr>
          <w:p>
            <w:pPr>
              <w:jc w:val="right"/>
              <w:ind w:right="628"/>
              <w:spacing w:after="0"/>
              <w:rPr>
                <w:sz w:val="20"/>
                <w:szCs w:val="20"/>
                <w:color w:val="auto"/>
              </w:rPr>
            </w:pPr>
            <w:r>
              <w:rPr>
                <w:rFonts w:ascii="Arial" w:cs="Arial" w:eastAsia="Arial" w:hAnsi="Arial"/>
                <w:sz w:val="14"/>
                <w:szCs w:val="14"/>
                <w:color w:val="auto"/>
              </w:rPr>
              <w:t>0%</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454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3" w:lineRule="exact"/>
        <w:rPr>
          <w:sz w:val="20"/>
          <w:szCs w:val="20"/>
          <w:color w:val="auto"/>
        </w:rPr>
      </w:pPr>
    </w:p>
    <w:p>
      <w:pPr>
        <w:ind w:left="440" w:hanging="333"/>
        <w:spacing w:after="0"/>
        <w:tabs>
          <w:tab w:leader="none" w:pos="440"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color w:val="auto"/>
        </w:rPr>
        <w:t>Operational Excellence:</w:t>
      </w:r>
    </w:p>
    <w:p>
      <w:pPr>
        <w:sectPr>
          <w:pgSz w:w="11900" w:h="16838" w:orient="portrait"/>
          <w:cols w:equalWidth="0" w:num="1">
            <w:col w:w="11240"/>
          </w:cols>
          <w:pgMar w:left="320" w:top="1057" w:right="339" w:bottom="1440" w:gutter="0" w:footer="0" w:header="0"/>
          <w:type w:val="continuous"/>
        </w:sectPr>
      </w:pP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•  Achieve budgeted non-GAAP adjusted operating margin</w:t>
      </w:r>
      <w:r>
        <w:rPr>
          <w:rFonts w:ascii="Arial" w:cs="Arial" w:eastAsia="Arial" w:hAnsi="Arial"/>
          <w:sz w:val="9"/>
          <w:szCs w:val="9"/>
          <w:color w:val="auto"/>
        </w:rPr>
        <w:t>(7)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2"/>
        </w:trPr>
        <w:tc>
          <w:tcPr>
            <w:tcW w:w="2600" w:type="dxa"/>
            <w:vAlign w:val="bottom"/>
          </w:tcPr>
          <w:p>
            <w:pPr>
              <w:spacing w:after="0"/>
              <w:rPr>
                <w:sz w:val="20"/>
                <w:szCs w:val="20"/>
                <w:color w:val="auto"/>
              </w:rPr>
            </w:pPr>
            <w:r>
              <w:rPr>
                <w:rFonts w:ascii="Arial" w:cs="Arial" w:eastAsia="Arial" w:hAnsi="Arial"/>
                <w:sz w:val="14"/>
                <w:szCs w:val="14"/>
                <w:color w:val="auto"/>
              </w:rPr>
              <w:t>10%   Below target: non-GAAP</w:t>
            </w:r>
          </w:p>
        </w:tc>
        <w:tc>
          <w:tcPr>
            <w:tcW w:w="1600" w:type="dxa"/>
            <w:vAlign w:val="bottom"/>
          </w:tcPr>
          <w:p>
            <w:pPr>
              <w:jc w:val="right"/>
              <w:ind w:right="593"/>
              <w:spacing w:after="0" w:line="312" w:lineRule="exact"/>
              <w:rPr>
                <w:sz w:val="20"/>
                <w:szCs w:val="20"/>
                <w:color w:val="auto"/>
              </w:rPr>
            </w:pPr>
            <w:r>
              <w:rPr>
                <w:rFonts w:ascii="Arial" w:cs="Arial" w:eastAsia="Arial" w:hAnsi="Arial"/>
                <w:sz w:val="28"/>
                <w:szCs w:val="28"/>
                <w:color w:val="auto"/>
                <w:vertAlign w:val="subscript"/>
              </w:rPr>
              <w:t>40%</w:t>
            </w:r>
            <w:r>
              <w:rPr>
                <w:rFonts w:ascii="Arial" w:cs="Arial" w:eastAsia="Arial" w:hAnsi="Arial"/>
                <w:sz w:val="9"/>
                <w:szCs w:val="9"/>
                <w:color w:val="auto"/>
              </w:rPr>
              <w:t xml:space="preserve"> (7)</w:t>
            </w:r>
          </w:p>
        </w:tc>
        <w:tc>
          <w:tcPr>
            <w:tcW w:w="860" w:type="dxa"/>
            <w:vAlign w:val="bottom"/>
          </w:tcPr>
          <w:p>
            <w:pPr>
              <w:jc w:val="right"/>
              <w:spacing w:after="0"/>
              <w:rPr>
                <w:sz w:val="20"/>
                <w:szCs w:val="20"/>
                <w:color w:val="auto"/>
              </w:rPr>
            </w:pPr>
            <w:r>
              <w:rPr>
                <w:rFonts w:ascii="Arial" w:cs="Arial" w:eastAsia="Arial" w:hAnsi="Arial"/>
                <w:sz w:val="14"/>
                <w:szCs w:val="14"/>
                <w:color w:val="auto"/>
              </w:rPr>
              <w:t>4%</w:t>
            </w:r>
          </w:p>
        </w:tc>
      </w:tr>
    </w:tbl>
    <w:p>
      <w:pPr>
        <w:ind w:left="520"/>
        <w:spacing w:after="0"/>
        <w:rPr>
          <w:sz w:val="20"/>
          <w:szCs w:val="20"/>
          <w:color w:val="auto"/>
        </w:rPr>
      </w:pPr>
      <w:r>
        <w:rPr>
          <w:rFonts w:ascii="Arial" w:cs="Arial" w:eastAsia="Arial" w:hAnsi="Arial"/>
          <w:sz w:val="14"/>
          <w:szCs w:val="14"/>
          <w:color w:val="auto"/>
        </w:rPr>
        <w:t>adjusted operating margin of</w:t>
      </w:r>
    </w:p>
    <w:p>
      <w:pPr>
        <w:spacing w:after="0" w:line="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43.8%</w:t>
      </w:r>
      <w:r>
        <w:rPr>
          <w:rFonts w:ascii="Arial" w:cs="Arial" w:eastAsia="Arial" w:hAnsi="Arial"/>
          <w:sz w:val="18"/>
          <w:szCs w:val="18"/>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25400</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1" w:lineRule="exact"/>
        <w:rPr>
          <w:sz w:val="20"/>
          <w:szCs w:val="20"/>
          <w:color w:val="auto"/>
        </w:rPr>
      </w:pPr>
    </w:p>
    <w:p>
      <w:pPr>
        <w:sectPr>
          <w:pgSz w:w="11900" w:h="16838" w:orient="portrait"/>
          <w:cols w:equalWidth="0" w:num="2">
            <w:col w:w="5340" w:space="720"/>
            <w:col w:w="5180"/>
          </w:cols>
          <w:pgMar w:left="320" w:top="1057"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4420" w:type="dxa"/>
            <w:vAlign w:val="bottom"/>
          </w:tcPr>
          <w:p>
            <w:pPr>
              <w:ind w:left="440"/>
              <w:spacing w:after="0"/>
              <w:rPr>
                <w:sz w:val="20"/>
                <w:szCs w:val="20"/>
                <w:color w:val="auto"/>
              </w:rPr>
            </w:pPr>
            <w:r>
              <w:rPr>
                <w:rFonts w:ascii="Arial" w:cs="Arial" w:eastAsia="Arial" w:hAnsi="Arial"/>
                <w:sz w:val="14"/>
                <w:szCs w:val="14"/>
                <w:color w:val="auto"/>
              </w:rPr>
              <w:t>•  People and Patients objectives</w:t>
            </w:r>
            <w:r>
              <w:rPr>
                <w:rFonts w:ascii="Arial" w:cs="Arial" w:eastAsia="Arial" w:hAnsi="Arial"/>
                <w:sz w:val="9"/>
                <w:szCs w:val="9"/>
                <w:color w:val="auto"/>
              </w:rPr>
              <w:t>(8)</w:t>
            </w:r>
          </w:p>
        </w:tc>
        <w:tc>
          <w:tcPr>
            <w:tcW w:w="4200" w:type="dxa"/>
            <w:vAlign w:val="bottom"/>
          </w:tcPr>
          <w:p>
            <w:pPr>
              <w:ind w:left="1720"/>
              <w:spacing w:after="0"/>
              <w:rPr>
                <w:sz w:val="20"/>
                <w:szCs w:val="20"/>
                <w:color w:val="auto"/>
              </w:rPr>
            </w:pPr>
            <w:r>
              <w:rPr>
                <w:rFonts w:ascii="Arial" w:cs="Arial" w:eastAsia="Arial" w:hAnsi="Arial"/>
                <w:sz w:val="14"/>
                <w:szCs w:val="14"/>
                <w:color w:val="auto"/>
              </w:rPr>
              <w:t>5%   Achieved 4 of 5 targets</w:t>
            </w:r>
            <w:r>
              <w:rPr>
                <w:rFonts w:ascii="Arial" w:cs="Arial" w:eastAsia="Arial" w:hAnsi="Arial"/>
                <w:sz w:val="9"/>
                <w:szCs w:val="9"/>
                <w:color w:val="auto"/>
              </w:rPr>
              <w:t>(8)</w:t>
            </w:r>
          </w:p>
        </w:tc>
        <w:tc>
          <w:tcPr>
            <w:tcW w:w="1540" w:type="dxa"/>
            <w:vAlign w:val="bottom"/>
          </w:tcPr>
          <w:p>
            <w:pPr>
              <w:jc w:val="right"/>
              <w:ind w:right="628"/>
              <w:spacing w:after="0"/>
              <w:rPr>
                <w:sz w:val="20"/>
                <w:szCs w:val="20"/>
                <w:color w:val="auto"/>
              </w:rPr>
            </w:pPr>
            <w:r>
              <w:rPr>
                <w:rFonts w:ascii="Arial" w:cs="Arial" w:eastAsia="Arial" w:hAnsi="Arial"/>
                <w:sz w:val="14"/>
                <w:szCs w:val="14"/>
                <w:color w:val="auto"/>
              </w:rPr>
              <w:t>100%</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w:t>
            </w:r>
          </w:p>
        </w:tc>
      </w:tr>
      <w:tr>
        <w:trPr>
          <w:trHeight w:val="75"/>
        </w:trPr>
        <w:tc>
          <w:tcPr>
            <w:tcW w:w="4420" w:type="dxa"/>
            <w:vAlign w:val="bottom"/>
            <w:tcBorders>
              <w:bottom w:val="single" w:sz="8" w:color="852166"/>
            </w:tcBorders>
          </w:tcPr>
          <w:p>
            <w:pPr>
              <w:spacing w:after="0"/>
              <w:rPr>
                <w:sz w:val="6"/>
                <w:szCs w:val="6"/>
                <w:color w:val="auto"/>
              </w:rPr>
            </w:pPr>
          </w:p>
        </w:tc>
        <w:tc>
          <w:tcPr>
            <w:tcW w:w="4200" w:type="dxa"/>
            <w:vAlign w:val="bottom"/>
            <w:tcBorders>
              <w:bottom w:val="single" w:sz="8" w:color="852166"/>
            </w:tcBorders>
          </w:tcPr>
          <w:p>
            <w:pPr>
              <w:spacing w:after="0"/>
              <w:rPr>
                <w:sz w:val="6"/>
                <w:szCs w:val="6"/>
                <w:color w:val="auto"/>
              </w:rPr>
            </w:pPr>
          </w:p>
        </w:tc>
        <w:tc>
          <w:tcPr>
            <w:tcW w:w="1540" w:type="dxa"/>
            <w:vAlign w:val="bottom"/>
            <w:tcBorders>
              <w:bottom w:val="single" w:sz="8" w:color="852166"/>
            </w:tcBorders>
          </w:tcPr>
          <w:p>
            <w:pPr>
              <w:spacing w:after="0"/>
              <w:rPr>
                <w:sz w:val="6"/>
                <w:szCs w:val="6"/>
                <w:color w:val="auto"/>
              </w:rPr>
            </w:pPr>
          </w:p>
        </w:tc>
        <w:tc>
          <w:tcPr>
            <w:tcW w:w="1080" w:type="dxa"/>
            <w:vAlign w:val="bottom"/>
            <w:tcBorders>
              <w:bottom w:val="single" w:sz="8" w:color="852166"/>
            </w:tcBorders>
          </w:tcPr>
          <w:p>
            <w:pPr>
              <w:spacing w:after="0"/>
              <w:rPr>
                <w:sz w:val="6"/>
                <w:szCs w:val="6"/>
                <w:color w:val="auto"/>
              </w:rPr>
            </w:pPr>
          </w:p>
        </w:tc>
      </w:tr>
      <w:tr>
        <w:trPr>
          <w:trHeight w:val="217"/>
        </w:trPr>
        <w:tc>
          <w:tcPr>
            <w:tcW w:w="4420" w:type="dxa"/>
            <w:vAlign w:val="bottom"/>
            <w:tcBorders>
              <w:bottom w:val="single" w:sz="8" w:color="852166"/>
            </w:tcBorders>
            <w:shd w:val="clear" w:color="auto" w:fill="E9E9E9"/>
          </w:tcPr>
          <w:p>
            <w:pPr>
              <w:ind w:left="440"/>
              <w:spacing w:after="0"/>
              <w:rPr>
                <w:sz w:val="20"/>
                <w:szCs w:val="20"/>
                <w:color w:val="auto"/>
              </w:rPr>
            </w:pPr>
            <w:r>
              <w:rPr>
                <w:rFonts w:ascii="Arial" w:cs="Arial" w:eastAsia="Arial" w:hAnsi="Arial"/>
                <w:sz w:val="14"/>
                <w:szCs w:val="14"/>
                <w:b w:val="1"/>
                <w:bCs w:val="1"/>
                <w:color w:val="auto"/>
              </w:rPr>
              <w:t>TOTAL</w:t>
            </w:r>
          </w:p>
        </w:tc>
        <w:tc>
          <w:tcPr>
            <w:tcW w:w="4200" w:type="dxa"/>
            <w:vAlign w:val="bottom"/>
            <w:tcBorders>
              <w:bottom w:val="single" w:sz="8" w:color="852166"/>
            </w:tcBorders>
            <w:shd w:val="clear" w:color="auto" w:fill="E9E9E9"/>
          </w:tcPr>
          <w:p>
            <w:pPr>
              <w:spacing w:after="0"/>
              <w:rPr>
                <w:sz w:val="18"/>
                <w:szCs w:val="18"/>
                <w:color w:val="auto"/>
              </w:rPr>
            </w:pPr>
          </w:p>
        </w:tc>
        <w:tc>
          <w:tcPr>
            <w:tcW w:w="1540" w:type="dxa"/>
            <w:vAlign w:val="bottom"/>
            <w:tcBorders>
              <w:bottom w:val="single" w:sz="8" w:color="852166"/>
            </w:tcBorders>
            <w:shd w:val="clear" w:color="auto" w:fill="E9E9E9"/>
          </w:tcPr>
          <w:p>
            <w:pPr>
              <w:spacing w:after="0"/>
              <w:rPr>
                <w:sz w:val="18"/>
                <w:szCs w:val="18"/>
                <w:color w:val="auto"/>
              </w:rPr>
            </w:pPr>
          </w:p>
        </w:tc>
        <w:tc>
          <w:tcPr>
            <w:tcW w:w="1080" w:type="dxa"/>
            <w:vAlign w:val="bottom"/>
            <w:tcBorders>
              <w:bottom w:val="single" w:sz="8" w:color="852166"/>
            </w:tcBorders>
            <w:shd w:val="clear" w:color="auto" w:fill="E9E9E9"/>
          </w:tcPr>
          <w:p>
            <w:pPr>
              <w:jc w:val="right"/>
              <w:ind w:right="48"/>
              <w:spacing w:after="0"/>
              <w:rPr>
                <w:sz w:val="20"/>
                <w:szCs w:val="20"/>
                <w:color w:val="auto"/>
              </w:rPr>
            </w:pPr>
            <w:r>
              <w:rPr>
                <w:rFonts w:ascii="Arial" w:cs="Arial" w:eastAsia="Arial" w:hAnsi="Arial"/>
                <w:sz w:val="14"/>
                <w:szCs w:val="14"/>
                <w:b w:val="1"/>
                <w:bCs w:val="1"/>
                <w:color w:val="auto"/>
              </w:rPr>
              <w:t>95%</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Amounts may not total due to rounding.</w:t>
      </w:r>
    </w:p>
    <w:p>
      <w:pPr>
        <w:spacing w:after="0" w:line="80" w:lineRule="exact"/>
        <w:rPr>
          <w:sz w:val="20"/>
          <w:szCs w:val="20"/>
          <w:color w:val="auto"/>
        </w:rPr>
      </w:pPr>
    </w:p>
    <w:p>
      <w:pPr>
        <w:ind w:left="340" w:right="80" w:hanging="332"/>
        <w:spacing w:after="0" w:line="286" w:lineRule="auto"/>
        <w:tabs>
          <w:tab w:leader="none" w:pos="327" w:val="left"/>
        </w:tabs>
        <w:numPr>
          <w:ilvl w:val="0"/>
          <w:numId w:val="57"/>
        </w:numPr>
        <w:rPr>
          <w:rFonts w:ascii="Arial" w:cs="Arial" w:eastAsia="Arial" w:hAnsi="Arial"/>
          <w:sz w:val="14"/>
          <w:szCs w:val="14"/>
          <w:color w:val="auto"/>
        </w:rPr>
      </w:pPr>
      <w:r>
        <w:rPr>
          <w:rFonts w:ascii="Arial" w:cs="Arial" w:eastAsia="Arial" w:hAnsi="Arial"/>
          <w:sz w:val="14"/>
          <w:szCs w:val="14"/>
          <w:color w:val="auto"/>
        </w:rPr>
        <w:t>If the specified threshold annual performance level was met (70% of target for Xywav and 85% of target for both Epidiolex/Epidyolex and oncology), then a pre-established scaled performance multiplier (ranging from 0% to 175% of target for Xywav and 50% to 175% of target for Epidiolex/Epidyolex and oncology) would be used to calculate the applicable corporate achievement percentage attributable to such objective. The performance multiplier would be zero if performance was below the applicable threshold level, and if performance exceeded the applicable threshold level, the performance multiplier scaled using the pre-established performance curve up to the applicable maximum level. The performance multiplier was capped for performance above the specified maximum performance level (115% of target). Xywav net product sales were not impacted by changes in foreign currency and had a final multiplier of 100% with a payout of 16%.</w:t>
      </w:r>
    </w:p>
    <w:p>
      <w:pPr>
        <w:spacing w:after="0" w:line="23" w:lineRule="exact"/>
        <w:rPr>
          <w:rFonts w:ascii="Arial" w:cs="Arial" w:eastAsia="Arial" w:hAnsi="Arial"/>
          <w:sz w:val="14"/>
          <w:szCs w:val="14"/>
          <w:color w:val="auto"/>
        </w:rPr>
      </w:pPr>
    </w:p>
    <w:p>
      <w:pPr>
        <w:ind w:left="340" w:right="140" w:hanging="332"/>
        <w:spacing w:after="0" w:line="303" w:lineRule="auto"/>
        <w:tabs>
          <w:tab w:leader="none" w:pos="327" w:val="left"/>
        </w:tabs>
        <w:numPr>
          <w:ilvl w:val="0"/>
          <w:numId w:val="57"/>
        </w:numPr>
        <w:rPr>
          <w:rFonts w:ascii="Arial" w:cs="Arial" w:eastAsia="Arial" w:hAnsi="Arial"/>
          <w:sz w:val="14"/>
          <w:szCs w:val="14"/>
          <w:color w:val="auto"/>
        </w:rPr>
      </w:pPr>
      <w:r>
        <w:rPr>
          <w:rFonts w:ascii="Arial" w:cs="Arial" w:eastAsia="Arial" w:hAnsi="Arial"/>
          <w:sz w:val="14"/>
          <w:szCs w:val="14"/>
          <w:color w:val="auto"/>
        </w:rPr>
        <w:t>To calculate the performance achievement level and the performance multiplier, our GAAP reported Epidiolex/Epidyolex net product sales of $845 million were decreased to $842 million to adjust for changes in foreign currency exchange rates since the objective was based on budgeted foreign currency exchange rates. Final multiplier of 98.2% with a payout of 11.6%.</w:t>
      </w: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50</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54" w:name="page55"/>
    <w:bookmarkEnd w:id="54"/>
    <w:p>
      <w:pPr>
        <w:ind w:left="340" w:right="460" w:hanging="332"/>
        <w:spacing w:after="0" w:line="301" w:lineRule="auto"/>
        <w:tabs>
          <w:tab w:leader="none" w:pos="327" w:val="left"/>
        </w:tabs>
        <w:numPr>
          <w:ilvl w:val="0"/>
          <w:numId w:val="58"/>
        </w:numPr>
        <w:rPr>
          <w:rFonts w:ascii="Arial" w:cs="Arial" w:eastAsia="Arial" w:hAnsi="Arial"/>
          <w:sz w:val="14"/>
          <w:szCs w:val="14"/>
          <w:color w:val="auto"/>
        </w:rPr>
      </w:pPr>
      <w:r>
        <w:rPr>
          <w:rFonts w:ascii="Arial" w:cs="Arial" w:eastAsia="Arial" w:hAnsi="Arial"/>
          <w:sz w:val="14"/>
          <w:szCs w:val="14"/>
          <w:color w:val="auto"/>
        </w:rPr>
        <w:t>To calculate the performance achievement level and performance multiplier, our GAAP reported oncology net product sales of $1,015 million were decreased by approximately $3 million to adjust for changes in foreign currency exchange rates since the objective was based on budgeted foreign currency exchange rates. Final multiplier of 100.8% with a payout of 12.1%.</w:t>
      </w:r>
    </w:p>
    <w:p>
      <w:pPr>
        <w:spacing w:after="0" w:line="1" w:lineRule="exact"/>
        <w:rPr>
          <w:rFonts w:ascii="Arial" w:cs="Arial" w:eastAsia="Arial" w:hAnsi="Arial"/>
          <w:sz w:val="14"/>
          <w:szCs w:val="14"/>
          <w:color w:val="auto"/>
        </w:rPr>
      </w:pPr>
    </w:p>
    <w:p>
      <w:pPr>
        <w:ind w:left="340" w:right="220" w:hanging="332"/>
        <w:spacing w:after="0" w:line="282" w:lineRule="auto"/>
        <w:tabs>
          <w:tab w:leader="none" w:pos="327" w:val="left"/>
        </w:tabs>
        <w:numPr>
          <w:ilvl w:val="0"/>
          <w:numId w:val="58"/>
        </w:numPr>
        <w:rPr>
          <w:rFonts w:ascii="Arial" w:cs="Arial" w:eastAsia="Arial" w:hAnsi="Arial"/>
          <w:sz w:val="14"/>
          <w:szCs w:val="14"/>
          <w:color w:val="auto"/>
        </w:rPr>
      </w:pPr>
      <w:r>
        <w:rPr>
          <w:rFonts w:ascii="Arial" w:cs="Arial" w:eastAsia="Arial" w:hAnsi="Arial"/>
          <w:sz w:val="14"/>
          <w:szCs w:val="14"/>
          <w:color w:val="auto"/>
        </w:rPr>
        <w:t>Consisted of the five top-priority 2023 goals: (i) initiating zanidatamab (JZP598) biliary tract cancer Biologics License Application submission to FDA or achieving zanidatamab gastroesophageal adenocarcinoma Phase 3 randomization target of 63%, (ii) achieving 100% patient enrollment of Zepzelca (lurbinectedin) first line study,</w:t>
      </w:r>
    </w:p>
    <w:p>
      <w:pPr>
        <w:ind w:left="340" w:right="20" w:hanging="8"/>
        <w:spacing w:after="0" w:line="279" w:lineRule="auto"/>
        <w:tabs>
          <w:tab w:leader="none" w:pos="572" w:val="left"/>
        </w:tabs>
        <w:numPr>
          <w:ilvl w:val="1"/>
          <w:numId w:val="58"/>
        </w:numPr>
        <w:rPr>
          <w:rFonts w:ascii="Arial" w:cs="Arial" w:eastAsia="Arial" w:hAnsi="Arial"/>
          <w:sz w:val="14"/>
          <w:szCs w:val="14"/>
          <w:color w:val="auto"/>
        </w:rPr>
      </w:pPr>
      <w:r>
        <w:rPr>
          <w:rFonts w:ascii="Arial" w:cs="Arial" w:eastAsia="Arial" w:hAnsi="Arial"/>
          <w:sz w:val="14"/>
          <w:szCs w:val="14"/>
          <w:color w:val="auto"/>
        </w:rPr>
        <w:t>obtaining top line results readout for JZP150 (fatty acid amide hydrolase Inhibitor) in post-traumatic stress disorder Phase 2, (iv) achieving suvecaltamide (JZP385) (essential tremor) Phase 2B randomization target of 70%, and (v) achieving JZP441 (Orexin) decision to progress to healthy crossover and narcolepsy Type 1 patient studies. In setting the objectives, our compensation committee incorporated key inflection points in 2023 and interim goals where programs were across multiple years, to incentivize in year performance and required that three of the five goals must be met at target level or above in order to receive 100% achievement of the goals. Our compensation committee determined that we had met goal (ii) at threshold, goal (iii) at target and goals (i) and (iv) at or above maximum, and we had not achieved goal (v), as the decision was made to pause the JZP441 program. Ancillary goals consisted of the following to be achieved by year-end and awarded for cumulative performance at our compensation committee’s discretion: (i) achieving suvecaltamide (JZP385) (Parkinson’s Disease tremor) Phase 2 randomization target of 45%, (ii) enrolling first patient in JZP150 (autism spectrum disorder) Phase 2 proof of concept study, (iii) completing enrollment of first patient in JZP898 (interferon alpha agonist) Phase 1 study,</w:t>
      </w:r>
    </w:p>
    <w:p>
      <w:pPr>
        <w:spacing w:after="0" w:line="1" w:lineRule="exact"/>
        <w:rPr>
          <w:rFonts w:ascii="Arial" w:cs="Arial" w:eastAsia="Arial" w:hAnsi="Arial"/>
          <w:sz w:val="14"/>
          <w:szCs w:val="14"/>
          <w:color w:val="auto"/>
        </w:rPr>
      </w:pPr>
    </w:p>
    <w:p>
      <w:pPr>
        <w:ind w:left="340" w:right="80" w:hanging="8"/>
        <w:spacing w:after="0" w:line="285" w:lineRule="auto"/>
        <w:tabs>
          <w:tab w:leader="none" w:pos="580" w:val="left"/>
        </w:tabs>
        <w:numPr>
          <w:ilvl w:val="1"/>
          <w:numId w:val="58"/>
        </w:numPr>
        <w:rPr>
          <w:rFonts w:ascii="Arial" w:cs="Arial" w:eastAsia="Arial" w:hAnsi="Arial"/>
          <w:sz w:val="14"/>
          <w:szCs w:val="14"/>
          <w:color w:val="auto"/>
        </w:rPr>
      </w:pPr>
      <w:r>
        <w:rPr>
          <w:rFonts w:ascii="Arial" w:cs="Arial" w:eastAsia="Arial" w:hAnsi="Arial"/>
          <w:sz w:val="14"/>
          <w:szCs w:val="14"/>
          <w:color w:val="auto"/>
        </w:rPr>
        <w:t>completing enrollment of fourth cohort of JZP815 (Pan-RAF for solid tumors and hematological malignancies) Phase 1 study, (v) completing one IND submission and two product candidate selections, (vi) achieving JZP258 (Xywav for polysomnography) enrollment target of 8%, (vii) achieving JZP258 (Xywav for blood pressure) enrollment target of 9%, (viii) enrolling first patient in JZP926 (epilepsy comorbidities), and (ix) advancing pipeline to create meaningful value, as evaluated in our compensation committee’s discretion. Our compensation committee determined that goals (i) and (ii) were below the threshold achievement levels and that goals (iii) through (ix) were achieved or exceeded. In particular, goal (vi) and goal (vii) outperformed enrollment expectations. In consideration of both top priority and ancillary goals, our compensation committee determined that the achievement of these goals was 120% in aggregate and therefore a 36% corporate achievement percentage attributable to such goals. The capped payout for pipeline goals was 60%.</w:t>
      </w:r>
    </w:p>
    <w:p>
      <w:pPr>
        <w:spacing w:after="0" w:line="24" w:lineRule="exact"/>
        <w:rPr>
          <w:rFonts w:ascii="Arial" w:cs="Arial" w:eastAsia="Arial" w:hAnsi="Arial"/>
          <w:sz w:val="14"/>
          <w:szCs w:val="14"/>
          <w:color w:val="auto"/>
        </w:rPr>
      </w:pPr>
    </w:p>
    <w:p>
      <w:pPr>
        <w:ind w:left="340" w:right="40" w:hanging="332"/>
        <w:spacing w:after="0" w:line="296" w:lineRule="auto"/>
        <w:tabs>
          <w:tab w:leader="none" w:pos="327" w:val="left"/>
        </w:tabs>
        <w:numPr>
          <w:ilvl w:val="0"/>
          <w:numId w:val="58"/>
        </w:numPr>
        <w:rPr>
          <w:rFonts w:ascii="Arial" w:cs="Arial" w:eastAsia="Arial" w:hAnsi="Arial"/>
          <w:sz w:val="14"/>
          <w:szCs w:val="14"/>
          <w:color w:val="auto"/>
        </w:rPr>
      </w:pPr>
      <w:r>
        <w:rPr>
          <w:rFonts w:ascii="Arial" w:cs="Arial" w:eastAsia="Arial" w:hAnsi="Arial"/>
          <w:sz w:val="14"/>
          <w:szCs w:val="14"/>
          <w:color w:val="auto"/>
        </w:rPr>
        <w:t>Consisted of the following goals to be achieved by year-end: (i) identify and evaluate top priority corporate development targets, and (ii) pipeline enhancement. Our compensation committee determined that goal (i) was met and goal (ii) was partially achieved. Our compensation committee had the discretion to adjust the payout level or calculation if determined appropriate. In aggregate, our compensation committee assessed the performance on the goals of 67% and therefore a 10% corporate achievement percentage attributable to such goals. The capped payout for corporate development goals (including the stretch goal described in (6) below) was 44%.</w:t>
      </w:r>
    </w:p>
    <w:p>
      <w:pPr>
        <w:spacing w:after="0" w:line="2" w:lineRule="exact"/>
        <w:rPr>
          <w:rFonts w:ascii="Arial" w:cs="Arial" w:eastAsia="Arial" w:hAnsi="Arial"/>
          <w:sz w:val="14"/>
          <w:szCs w:val="14"/>
          <w:color w:val="auto"/>
        </w:rPr>
      </w:pPr>
    </w:p>
    <w:p>
      <w:pPr>
        <w:ind w:left="340" w:right="120" w:hanging="332"/>
        <w:spacing w:after="0" w:line="296" w:lineRule="auto"/>
        <w:tabs>
          <w:tab w:leader="none" w:pos="327" w:val="left"/>
        </w:tabs>
        <w:numPr>
          <w:ilvl w:val="0"/>
          <w:numId w:val="58"/>
        </w:numPr>
        <w:rPr>
          <w:rFonts w:ascii="Arial" w:cs="Arial" w:eastAsia="Arial" w:hAnsi="Arial"/>
          <w:sz w:val="14"/>
          <w:szCs w:val="14"/>
          <w:color w:val="auto"/>
        </w:rPr>
      </w:pPr>
      <w:r>
        <w:rPr>
          <w:rFonts w:ascii="Arial" w:cs="Arial" w:eastAsia="Arial" w:hAnsi="Arial"/>
          <w:sz w:val="14"/>
          <w:szCs w:val="14"/>
          <w:color w:val="auto"/>
        </w:rPr>
        <w:t>Consisted of the following stretch goal to be achieved by year-end: a transaction that adds an asset with a clear path to deliver approximately $500 million of revenue by 2025 and subsequent growth in 2026 and beyond. The total payout for corporate development (including this stretch goal) could have been up to 44% (regardless of achievement on the two primary goals referenced in footnote (6) above), based on compensation committee discretion. Our compensation committee determined that this goal was not met and therefore provided no corporate achievement percentage attributable to such goal.</w:t>
      </w:r>
    </w:p>
    <w:p>
      <w:pPr>
        <w:spacing w:after="0" w:line="15" w:lineRule="exact"/>
        <w:rPr>
          <w:rFonts w:ascii="Arial" w:cs="Arial" w:eastAsia="Arial" w:hAnsi="Arial"/>
          <w:sz w:val="14"/>
          <w:szCs w:val="14"/>
          <w:color w:val="auto"/>
        </w:rPr>
      </w:pPr>
    </w:p>
    <w:p>
      <w:pPr>
        <w:ind w:left="340" w:right="40" w:hanging="332"/>
        <w:spacing w:after="0" w:line="287" w:lineRule="auto"/>
        <w:tabs>
          <w:tab w:leader="none" w:pos="327"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target for non-GAAP adjusted operating margin was established at 45.6% and included transformation efficiencies and other initiatives. The multiplier applied to the non-GAAP adjusted operating margin ranged from 0% to 200% for adjusted operating margin approximately between 42.1% and 49.1%. The actual year end non-GAAP adjusted operating margin achieved, as calculated for purposes of the performance bonus program (described below), was 43.8%, reflecting 96% achievement of target and a 48.2% payout multiplier for a corporate achievement percentage attributable to such goal of 4.8%. Our compensation committee had the discretion to adjust the payout level or calculation if it determined appropriate. Our compensation committee assessed the performance of the goal and deemed a payout of 4.0% was appropriate.</w:t>
      </w:r>
    </w:p>
    <w:p>
      <w:pPr>
        <w:spacing w:after="0" w:line="22" w:lineRule="exact"/>
        <w:rPr>
          <w:rFonts w:ascii="Arial" w:cs="Arial" w:eastAsia="Arial" w:hAnsi="Arial"/>
          <w:sz w:val="14"/>
          <w:szCs w:val="14"/>
          <w:color w:val="auto"/>
        </w:rPr>
      </w:pPr>
    </w:p>
    <w:p>
      <w:pPr>
        <w:ind w:left="1140" w:right="200" w:hanging="160"/>
        <w:spacing w:after="0" w:line="286" w:lineRule="auto"/>
        <w:tabs>
          <w:tab w:leader="none" w:pos="1138" w:val="left"/>
        </w:tabs>
        <w:numPr>
          <w:ilvl w:val="2"/>
          <w:numId w:val="58"/>
        </w:numPr>
        <w:rPr>
          <w:rFonts w:ascii="Arial" w:cs="Arial" w:eastAsia="Arial" w:hAnsi="Arial"/>
          <w:sz w:val="14"/>
          <w:szCs w:val="14"/>
          <w:color w:val="auto"/>
        </w:rPr>
      </w:pPr>
      <w:r>
        <w:rPr>
          <w:rFonts w:ascii="Arial" w:cs="Arial" w:eastAsia="Arial" w:hAnsi="Arial"/>
          <w:sz w:val="14"/>
          <w:szCs w:val="14"/>
          <w:color w:val="auto"/>
        </w:rPr>
        <w:t>Non-GAAP adjusted operating margin is a non-GAAP financial measure that is calculated as (a) total revenues for 2023 less non-GAAP adjusted cost of product sales, SG&amp;A expenses and R&amp;D expenses for 2023 divided by (b) total revenues for 2023. Non-GAAP adjusted cost of product sales, SG&amp;A expenses and R&amp;D expenses exclude from GAAP cost of product sales, SG&amp;A expenses and R&amp;D expenses, as applicable, share-based compensation expense, restructuring and other charges, and acquisition accounting inventory fair value step-up expense. In addition, solely for purposes of calculating the level of achievement, non-GAAP adjusted operating margin also excluded approximately $2 million of operating expenses associated with two corporate development programs licensed in fiscal year 2023.</w:t>
      </w:r>
    </w:p>
    <w:p>
      <w:pPr>
        <w:spacing w:after="0" w:line="23" w:lineRule="exact"/>
        <w:rPr>
          <w:rFonts w:ascii="Arial" w:cs="Arial" w:eastAsia="Arial" w:hAnsi="Arial"/>
          <w:sz w:val="14"/>
          <w:szCs w:val="14"/>
          <w:color w:val="auto"/>
        </w:rPr>
      </w:pPr>
    </w:p>
    <w:p>
      <w:pPr>
        <w:ind w:left="320" w:hanging="312"/>
        <w:spacing w:after="0"/>
        <w:tabs>
          <w:tab w:leader="none" w:pos="3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Consisted of the following goals to be achieved by year-end: (i) create a formal patient centricity framework, (ii) apply patient and caregiver input into target product profile,</w:t>
      </w:r>
    </w:p>
    <w:p>
      <w:pPr>
        <w:spacing w:after="0" w:line="29" w:lineRule="exact"/>
        <w:rPr>
          <w:rFonts w:ascii="Arial" w:cs="Arial" w:eastAsia="Arial" w:hAnsi="Arial"/>
          <w:sz w:val="14"/>
          <w:szCs w:val="14"/>
          <w:color w:val="auto"/>
        </w:rPr>
      </w:pPr>
    </w:p>
    <w:p>
      <w:pPr>
        <w:ind w:left="340" w:right="40" w:hanging="8"/>
        <w:spacing w:after="0" w:line="295" w:lineRule="auto"/>
        <w:tabs>
          <w:tab w:leader="none" w:pos="572" w:val="left"/>
        </w:tabs>
        <w:numPr>
          <w:ilvl w:val="1"/>
          <w:numId w:val="58"/>
        </w:numPr>
        <w:rPr>
          <w:rFonts w:ascii="Arial" w:cs="Arial" w:eastAsia="Arial" w:hAnsi="Arial"/>
          <w:sz w:val="14"/>
          <w:szCs w:val="14"/>
          <w:color w:val="auto"/>
        </w:rPr>
      </w:pPr>
      <w:r>
        <w:rPr>
          <w:rFonts w:ascii="Arial" w:cs="Arial" w:eastAsia="Arial" w:hAnsi="Arial"/>
          <w:sz w:val="14"/>
          <w:szCs w:val="14"/>
          <w:color w:val="auto"/>
        </w:rPr>
        <w:t>apply patient and caregiver input into trial protocols for high priority programs, (iv) attrition rate below life science industry average, and (v) achieve aspirational diversity among employees at the executive director level and above (46% female and 21% people of color) in the U.S. Four of five goals were required to be met at target level or above in order to receive 100% corporate achievement percentage attributable to the people and patients objective. Our compensation committee assessed performance and determined that goals (i) through (iv) were achieved, resulting in performance of 100% and therefore a 5% corporate achievement percentage attributable to such goals.</w:t>
      </w:r>
    </w:p>
    <w:p>
      <w:pPr>
        <w:spacing w:after="0" w:line="192" w:lineRule="exact"/>
        <w:rPr>
          <w:rFonts w:ascii="Arial" w:cs="Arial" w:eastAsia="Arial" w:hAnsi="Arial"/>
          <w:sz w:val="14"/>
          <w:szCs w:val="14"/>
          <w:color w:val="auto"/>
        </w:rPr>
      </w:pPr>
    </w:p>
    <w:p>
      <w:pPr>
        <w:ind w:left="340" w:right="840" w:hanging="332"/>
        <w:spacing w:after="0" w:line="325" w:lineRule="auto"/>
        <w:tabs>
          <w:tab w:leader="none" w:pos="327"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percentages in this column represent, for each objective, the weight of the objective multiplied by the performance multiplier that corresponds to the actual achievement of such objective.</w:t>
      </w:r>
    </w:p>
    <w:p>
      <w:pPr>
        <w:spacing w:after="0" w:line="16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 xml:space="preserve">Following the end of the 2023 fiscal year, our compensation committee reviewed our performance against the corporate objectives and considered achievement of stretch goals. Our compensation committee approved an overall corporate achievement percentage of 95% of the target corporate performance for the 2023 plan year. The actual bonus payments approved for each of the NEOs for 2023 are described below under </w:t>
      </w:r>
      <w:r>
        <w:rPr>
          <w:rFonts w:ascii="Arial" w:cs="Arial" w:eastAsia="Arial" w:hAnsi="Arial"/>
          <w:sz w:val="16"/>
          <w:szCs w:val="16"/>
          <w:i w:val="1"/>
          <w:iCs w:val="1"/>
          <w:color w:val="auto"/>
        </w:rPr>
        <w:t>“2023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Decisions for Our Named Executive Officers.”</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39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852166"/>
        </w:rPr>
        <w:t>2023 – 2025 PSU Program</w:t>
      </w:r>
      <w:r>
        <w:rPr>
          <w:rFonts w:ascii="Arial" w:cs="Arial" w:eastAsia="Arial" w:hAnsi="Arial"/>
          <w:sz w:val="16"/>
          <w:szCs w:val="16"/>
          <w:b w:val="1"/>
          <w:bCs w:val="1"/>
          <w:color w:val="000000"/>
        </w:rPr>
        <w:t>.</w:t>
      </w:r>
    </w:p>
    <w:p>
      <w:pPr>
        <w:spacing w:after="0" w:line="127" w:lineRule="exact"/>
        <w:rPr>
          <w:sz w:val="20"/>
          <w:szCs w:val="20"/>
          <w:color w:val="auto"/>
        </w:rPr>
      </w:pPr>
    </w:p>
    <w:p>
      <w:pPr>
        <w:ind w:right="240"/>
        <w:spacing w:after="0" w:line="319" w:lineRule="auto"/>
        <w:rPr>
          <w:sz w:val="20"/>
          <w:szCs w:val="20"/>
          <w:color w:val="auto"/>
        </w:rPr>
      </w:pPr>
      <w:r>
        <w:rPr>
          <w:rFonts w:ascii="Arial" w:cs="Arial" w:eastAsia="Arial" w:hAnsi="Arial"/>
          <w:sz w:val="16"/>
          <w:szCs w:val="16"/>
          <w:color w:val="auto"/>
        </w:rPr>
        <w:t>Our compensation committee designed the 2023 – 2025 PSU Program, or the 2023 PSUs, to align closely to Vision 2025, our previously announced strategy for long-term, sustainable top- and bottom-line growth and shareholder value creation. The 2023 PSUs are intended to incentivize and reward for demonstrating strong progress towards the Vision 2025 objectives.</w:t>
      </w:r>
    </w:p>
    <w:p>
      <w:pPr>
        <w:spacing w:after="0" w:line="6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2023 PSUs are eligible to vest based on achievement of three objective performance goals over a three-year performance period, which performance payout is then adjusted based on our relative TSR, for the three-year performance period. Below is a summary of the performance metrics and associated weightings and targets applicable to the 2023 PSUs, as well as the TSR modifier. The performance goals below were chosen given their alignment to Vision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852166"/>
          </w:tcPr>
          <w:p>
            <w:pPr>
              <w:ind w:left="100"/>
              <w:spacing w:after="0"/>
              <w:rPr>
                <w:sz w:val="20"/>
                <w:szCs w:val="20"/>
                <w:color w:val="auto"/>
              </w:rPr>
            </w:pPr>
            <w:r>
              <w:rPr>
                <w:rFonts w:ascii="Arial" w:cs="Arial" w:eastAsia="Arial" w:hAnsi="Arial"/>
                <w:sz w:val="14"/>
                <w:szCs w:val="14"/>
                <w:b w:val="1"/>
                <w:bCs w:val="1"/>
                <w:color w:val="FFFFFF"/>
              </w:rPr>
              <w:t>Performance Goals</w:t>
            </w:r>
          </w:p>
        </w:tc>
        <w:tc>
          <w:tcPr>
            <w:tcW w:w="4220" w:type="dxa"/>
            <w:vAlign w:val="bottom"/>
            <w:shd w:val="clear" w:color="auto" w:fill="852166"/>
          </w:tcPr>
          <w:p>
            <w:pPr>
              <w:jc w:val="right"/>
              <w:ind w:right="168"/>
              <w:spacing w:after="0"/>
              <w:rPr>
                <w:sz w:val="20"/>
                <w:szCs w:val="20"/>
                <w:color w:val="auto"/>
              </w:rPr>
            </w:pPr>
            <w:r>
              <w:rPr>
                <w:rFonts w:ascii="Arial" w:cs="Arial" w:eastAsia="Arial" w:hAnsi="Arial"/>
                <w:sz w:val="14"/>
                <w:szCs w:val="14"/>
                <w:b w:val="1"/>
                <w:bCs w:val="1"/>
                <w:color w:val="FFFFFF"/>
              </w:rPr>
              <w:t>Target</w:t>
            </w:r>
          </w:p>
        </w:tc>
        <w:tc>
          <w:tcPr>
            <w:tcW w:w="1040" w:type="dxa"/>
            <w:vAlign w:val="bottom"/>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Weighting</w:t>
            </w:r>
          </w:p>
        </w:tc>
      </w:tr>
      <w:tr>
        <w:trPr>
          <w:trHeight w:val="67"/>
        </w:trPr>
        <w:tc>
          <w:tcPr>
            <w:tcW w:w="5980" w:type="dxa"/>
            <w:vAlign w:val="bottom"/>
            <w:shd w:val="clear" w:color="auto" w:fill="852166"/>
          </w:tcPr>
          <w:p>
            <w:pPr>
              <w:spacing w:after="0"/>
              <w:rPr>
                <w:sz w:val="5"/>
                <w:szCs w:val="5"/>
                <w:color w:val="auto"/>
              </w:rPr>
            </w:pPr>
          </w:p>
        </w:tc>
        <w:tc>
          <w:tcPr>
            <w:tcW w:w="4220" w:type="dxa"/>
            <w:vAlign w:val="bottom"/>
            <w:shd w:val="clear" w:color="auto" w:fill="852166"/>
          </w:tcPr>
          <w:p>
            <w:pPr>
              <w:spacing w:after="0"/>
              <w:rPr>
                <w:sz w:val="5"/>
                <w:szCs w:val="5"/>
                <w:color w:val="auto"/>
              </w:rPr>
            </w:pPr>
          </w:p>
        </w:tc>
        <w:tc>
          <w:tcPr>
            <w:tcW w:w="1040" w:type="dxa"/>
            <w:vAlign w:val="bottom"/>
            <w:shd w:val="clear" w:color="auto" w:fill="852166"/>
          </w:tcPr>
          <w:p>
            <w:pPr>
              <w:spacing w:after="0"/>
              <w:rPr>
                <w:sz w:val="5"/>
                <w:szCs w:val="5"/>
                <w:color w:val="auto"/>
              </w:rPr>
            </w:pPr>
          </w:p>
        </w:tc>
      </w:tr>
      <w:tr>
        <w:trPr>
          <w:trHeight w:val="235"/>
        </w:trPr>
        <w:tc>
          <w:tcPr>
            <w:tcW w:w="5980" w:type="dxa"/>
            <w:vAlign w:val="bottom"/>
          </w:tcPr>
          <w:p>
            <w:pPr>
              <w:ind w:left="100"/>
              <w:spacing w:after="0"/>
              <w:rPr>
                <w:sz w:val="20"/>
                <w:szCs w:val="20"/>
                <w:color w:val="auto"/>
              </w:rPr>
            </w:pPr>
            <w:r>
              <w:rPr>
                <w:rFonts w:ascii="Arial" w:cs="Arial" w:eastAsia="Arial" w:hAnsi="Arial"/>
                <w:sz w:val="14"/>
                <w:szCs w:val="14"/>
                <w:color w:val="auto"/>
              </w:rPr>
              <w:t>Total Revenue</w:t>
            </w:r>
            <w:r>
              <w:rPr>
                <w:rFonts w:ascii="Arial" w:cs="Arial" w:eastAsia="Arial" w:hAnsi="Arial"/>
                <w:sz w:val="9"/>
                <w:szCs w:val="9"/>
                <w:color w:val="auto"/>
              </w:rPr>
              <w:t>(1)</w:t>
            </w:r>
          </w:p>
        </w:tc>
        <w:tc>
          <w:tcPr>
            <w:tcW w:w="4220" w:type="dxa"/>
            <w:vAlign w:val="bottom"/>
          </w:tcPr>
          <w:p>
            <w:pPr>
              <w:jc w:val="right"/>
              <w:ind w:right="168"/>
              <w:spacing w:after="0"/>
              <w:rPr>
                <w:sz w:val="20"/>
                <w:szCs w:val="20"/>
                <w:color w:val="auto"/>
              </w:rPr>
            </w:pPr>
            <w:r>
              <w:rPr>
                <w:rFonts w:ascii="Arial" w:cs="Arial" w:eastAsia="Arial" w:hAnsi="Arial"/>
                <w:sz w:val="14"/>
                <w:szCs w:val="14"/>
                <w:color w:val="auto"/>
              </w:rPr>
              <w:t>$5.0 billion</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40%</w:t>
            </w:r>
          </w:p>
        </w:tc>
      </w:tr>
      <w:tr>
        <w:trPr>
          <w:trHeight w:val="49"/>
        </w:trPr>
        <w:tc>
          <w:tcPr>
            <w:tcW w:w="5980" w:type="dxa"/>
            <w:vAlign w:val="bottom"/>
          </w:tcPr>
          <w:p>
            <w:pPr>
              <w:spacing w:after="0"/>
              <w:rPr>
                <w:sz w:val="4"/>
                <w:szCs w:val="4"/>
                <w:color w:val="auto"/>
              </w:rPr>
            </w:pPr>
          </w:p>
        </w:tc>
        <w:tc>
          <w:tcPr>
            <w:tcW w:w="42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63"/>
        </w:trPr>
        <w:tc>
          <w:tcPr>
            <w:tcW w:w="598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14"/>
                <w:szCs w:val="14"/>
                <w:color w:val="auto"/>
              </w:rPr>
              <w:t>Enhance Pipeline Value</w:t>
            </w:r>
            <w:r>
              <w:rPr>
                <w:rFonts w:ascii="Arial" w:cs="Arial" w:eastAsia="Arial" w:hAnsi="Arial"/>
                <w:sz w:val="9"/>
                <w:szCs w:val="9"/>
                <w:color w:val="auto"/>
              </w:rPr>
              <w:t>(2)</w:t>
            </w:r>
          </w:p>
        </w:tc>
        <w:tc>
          <w:tcPr>
            <w:tcW w:w="4220" w:type="dxa"/>
            <w:vAlign w:val="bottom"/>
            <w:tcBorders>
              <w:bottom w:val="single" w:sz="8" w:color="EAEAEA"/>
            </w:tcBorders>
            <w:shd w:val="clear" w:color="auto" w:fill="EAEAEA"/>
          </w:tcPr>
          <w:p>
            <w:pPr>
              <w:jc w:val="right"/>
              <w:ind w:right="168"/>
              <w:spacing w:after="0"/>
              <w:rPr>
                <w:sz w:val="20"/>
                <w:szCs w:val="20"/>
                <w:color w:val="auto"/>
              </w:rPr>
            </w:pPr>
            <w:r>
              <w:rPr>
                <w:rFonts w:ascii="Arial" w:cs="Arial" w:eastAsia="Arial" w:hAnsi="Arial"/>
                <w:sz w:val="14"/>
                <w:szCs w:val="14"/>
                <w:color w:val="auto"/>
              </w:rPr>
              <w:t>30 points</w:t>
            </w:r>
          </w:p>
        </w:tc>
        <w:tc>
          <w:tcPr>
            <w:tcW w:w="1040" w:type="dxa"/>
            <w:vAlign w:val="bottom"/>
            <w:tcBorders>
              <w:bottom w:val="single" w:sz="8" w:color="EAEAEA"/>
            </w:tcBorders>
            <w:shd w:val="clear" w:color="auto" w:fill="EAEAEA"/>
          </w:tcPr>
          <w:p>
            <w:pPr>
              <w:jc w:val="right"/>
              <w:ind w:right="48"/>
              <w:spacing w:after="0"/>
              <w:rPr>
                <w:sz w:val="20"/>
                <w:szCs w:val="20"/>
                <w:color w:val="auto"/>
              </w:rPr>
            </w:pPr>
            <w:r>
              <w:rPr>
                <w:rFonts w:ascii="Arial" w:cs="Arial" w:eastAsia="Arial" w:hAnsi="Arial"/>
                <w:sz w:val="14"/>
                <w:szCs w:val="14"/>
                <w:color w:val="auto"/>
              </w:rPr>
              <w:t>40%</w:t>
            </w:r>
          </w:p>
        </w:tc>
      </w:tr>
      <w:tr>
        <w:trPr>
          <w:trHeight w:val="208"/>
        </w:trPr>
        <w:tc>
          <w:tcPr>
            <w:tcW w:w="5980" w:type="dxa"/>
            <w:vAlign w:val="bottom"/>
          </w:tcPr>
          <w:p>
            <w:pPr>
              <w:ind w:left="100"/>
              <w:spacing w:after="0"/>
              <w:rPr>
                <w:sz w:val="20"/>
                <w:szCs w:val="20"/>
                <w:color w:val="auto"/>
              </w:rPr>
            </w:pPr>
            <w:r>
              <w:rPr>
                <w:rFonts w:ascii="Arial" w:cs="Arial" w:eastAsia="Arial" w:hAnsi="Arial"/>
                <w:sz w:val="14"/>
                <w:szCs w:val="14"/>
                <w:color w:val="auto"/>
              </w:rPr>
              <w:t>Non-GAAP Adjusted Operating Margin</w:t>
            </w:r>
            <w:r>
              <w:rPr>
                <w:rFonts w:ascii="Arial" w:cs="Arial" w:eastAsia="Arial" w:hAnsi="Arial"/>
                <w:sz w:val="9"/>
                <w:szCs w:val="9"/>
                <w:color w:val="auto"/>
              </w:rPr>
              <w:t>(3)</w:t>
            </w:r>
          </w:p>
        </w:tc>
        <w:tc>
          <w:tcPr>
            <w:tcW w:w="4220" w:type="dxa"/>
            <w:vAlign w:val="bottom"/>
          </w:tcPr>
          <w:p>
            <w:pPr>
              <w:jc w:val="right"/>
              <w:ind w:right="168"/>
              <w:spacing w:after="0"/>
              <w:rPr>
                <w:sz w:val="20"/>
                <w:szCs w:val="20"/>
                <w:color w:val="auto"/>
              </w:rPr>
            </w:pPr>
            <w:r>
              <w:rPr>
                <w:rFonts w:ascii="Arial" w:cs="Arial" w:eastAsia="Arial" w:hAnsi="Arial"/>
                <w:sz w:val="14"/>
                <w:szCs w:val="14"/>
                <w:color w:val="auto"/>
              </w:rPr>
              <w:t>48%</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20%</w:t>
            </w:r>
          </w:p>
        </w:tc>
      </w:tr>
      <w:tr>
        <w:trPr>
          <w:trHeight w:val="22"/>
        </w:trPr>
        <w:tc>
          <w:tcPr>
            <w:tcW w:w="5980" w:type="dxa"/>
            <w:vAlign w:val="bottom"/>
            <w:tcBorders>
              <w:bottom w:val="single" w:sz="8" w:color="852166"/>
            </w:tcBorders>
          </w:tcPr>
          <w:p>
            <w:pPr>
              <w:spacing w:after="0" w:line="20" w:lineRule="exact"/>
              <w:rPr>
                <w:sz w:val="1"/>
                <w:szCs w:val="1"/>
                <w:color w:val="auto"/>
              </w:rPr>
            </w:pPr>
          </w:p>
        </w:tc>
        <w:tc>
          <w:tcPr>
            <w:tcW w:w="4220" w:type="dxa"/>
            <w:vAlign w:val="bottom"/>
            <w:tcBorders>
              <w:bottom w:val="single" w:sz="8" w:color="852166"/>
            </w:tcBorders>
          </w:tcPr>
          <w:p>
            <w:pPr>
              <w:spacing w:after="0" w:line="20" w:lineRule="exact"/>
              <w:rPr>
                <w:sz w:val="1"/>
                <w:szCs w:val="1"/>
                <w:color w:val="auto"/>
              </w:rPr>
            </w:pPr>
          </w:p>
        </w:tc>
        <w:tc>
          <w:tcPr>
            <w:tcW w:w="1040" w:type="dxa"/>
            <w:vAlign w:val="bottom"/>
            <w:tcBorders>
              <w:bottom w:val="single" w:sz="8" w:color="852166"/>
            </w:tcBorders>
          </w:tcPr>
          <w:p>
            <w:pPr>
              <w:spacing w:after="0" w:line="20" w:lineRule="exact"/>
              <w:rPr>
                <w:sz w:val="1"/>
                <w:szCs w:val="1"/>
                <w:color w:val="auto"/>
              </w:rPr>
            </w:pPr>
          </w:p>
        </w:tc>
      </w:tr>
      <w:tr>
        <w:trPr>
          <w:trHeight w:val="217"/>
        </w:trPr>
        <w:tc>
          <w:tcPr>
            <w:tcW w:w="5980" w:type="dxa"/>
            <w:vAlign w:val="bottom"/>
            <w:tcBorders>
              <w:bottom w:val="single" w:sz="8" w:color="852166"/>
            </w:tcBorders>
            <w:shd w:val="clear" w:color="auto" w:fill="EAEAEA"/>
          </w:tcPr>
          <w:p>
            <w:pPr>
              <w:ind w:left="100"/>
              <w:spacing w:after="0"/>
              <w:rPr>
                <w:sz w:val="20"/>
                <w:szCs w:val="20"/>
                <w:color w:val="auto"/>
              </w:rPr>
            </w:pPr>
            <w:r>
              <w:rPr>
                <w:rFonts w:ascii="Arial" w:cs="Arial" w:eastAsia="Arial" w:hAnsi="Arial"/>
                <w:sz w:val="14"/>
                <w:szCs w:val="14"/>
                <w:b w:val="1"/>
                <w:bCs w:val="1"/>
                <w:color w:val="auto"/>
              </w:rPr>
              <w:t>TOTAL</w:t>
            </w:r>
          </w:p>
        </w:tc>
        <w:tc>
          <w:tcPr>
            <w:tcW w:w="4220" w:type="dxa"/>
            <w:vAlign w:val="bottom"/>
            <w:tcBorders>
              <w:bottom w:val="single" w:sz="8" w:color="852166"/>
            </w:tcBorders>
            <w:shd w:val="clear" w:color="auto" w:fill="EAEAEA"/>
          </w:tcPr>
          <w:p>
            <w:pPr>
              <w:spacing w:after="0"/>
              <w:rPr>
                <w:sz w:val="18"/>
                <w:szCs w:val="18"/>
                <w:color w:val="auto"/>
              </w:rPr>
            </w:pPr>
          </w:p>
        </w:tc>
        <w:tc>
          <w:tcPr>
            <w:tcW w:w="1040" w:type="dxa"/>
            <w:vAlign w:val="bottom"/>
            <w:tcBorders>
              <w:bottom w:val="single" w:sz="8" w:color="852166"/>
            </w:tcBorders>
            <w:shd w:val="clear" w:color="auto" w:fill="EAEAEA"/>
          </w:tcPr>
          <w:p>
            <w:pPr>
              <w:jc w:val="right"/>
              <w:ind w:right="48"/>
              <w:spacing w:after="0"/>
              <w:rPr>
                <w:sz w:val="20"/>
                <w:szCs w:val="20"/>
                <w:color w:val="auto"/>
              </w:rPr>
            </w:pPr>
            <w:r>
              <w:rPr>
                <w:rFonts w:ascii="Arial" w:cs="Arial" w:eastAsia="Arial" w:hAnsi="Arial"/>
                <w:sz w:val="14"/>
                <w:szCs w:val="14"/>
                <w:b w:val="1"/>
                <w:bCs w:val="1"/>
                <w:color w:val="auto"/>
              </w:rPr>
              <w:t>100%</w:t>
            </w:r>
          </w:p>
        </w:tc>
      </w:tr>
    </w:tbl>
    <w:p>
      <w:pPr>
        <w:spacing w:after="0" w:line="139"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“Total Revenue” means our total consolidated revenues calculated in accordance with GAAP for fiscal year 2025.</w:t>
      </w:r>
    </w:p>
    <w:p>
      <w:pPr>
        <w:spacing w:after="0" w:line="82" w:lineRule="exact"/>
        <w:rPr>
          <w:rFonts w:ascii="Arial" w:cs="Arial" w:eastAsia="Arial" w:hAnsi="Arial"/>
          <w:sz w:val="14"/>
          <w:szCs w:val="14"/>
          <w:color w:val="auto"/>
        </w:rPr>
      </w:pPr>
    </w:p>
    <w:p>
      <w:pPr>
        <w:ind w:left="340" w:right="260" w:hanging="332"/>
        <w:spacing w:after="0" w:line="322" w:lineRule="auto"/>
        <w:tabs>
          <w:tab w:leader="none" w:pos="327" w:val="left"/>
        </w:tabs>
        <w:numPr>
          <w:ilvl w:val="0"/>
          <w:numId w:val="59"/>
        </w:numPr>
        <w:rPr>
          <w:rFonts w:ascii="Arial" w:cs="Arial" w:eastAsia="Arial" w:hAnsi="Arial"/>
          <w:sz w:val="14"/>
          <w:szCs w:val="14"/>
          <w:color w:val="auto"/>
        </w:rPr>
      </w:pPr>
      <w:r>
        <w:rPr>
          <w:rFonts w:ascii="Arial" w:cs="Arial" w:eastAsia="Arial" w:hAnsi="Arial"/>
          <w:sz w:val="14"/>
          <w:szCs w:val="14"/>
          <w:color w:val="auto"/>
        </w:rPr>
        <w:t>Points are awarded for achievement of the following: one point for each successful investigational new drug application, or IND; four points for each successful proof-of-concept study; and six points for each successful pivotal study and/or product approval by a regulatory authority occurring during the performance period.</w:t>
      </w:r>
    </w:p>
    <w:p>
      <w:pPr>
        <w:ind w:left="340" w:right="280" w:hanging="332"/>
        <w:spacing w:after="0" w:line="289" w:lineRule="auto"/>
        <w:tabs>
          <w:tab w:leader="none" w:pos="327" w:val="left"/>
        </w:tabs>
        <w:numPr>
          <w:ilvl w:val="0"/>
          <w:numId w:val="59"/>
        </w:numPr>
        <w:rPr>
          <w:rFonts w:ascii="Arial" w:cs="Arial" w:eastAsia="Arial" w:hAnsi="Arial"/>
          <w:sz w:val="14"/>
          <w:szCs w:val="14"/>
          <w:color w:val="auto"/>
        </w:rPr>
      </w:pPr>
      <w:r>
        <w:rPr>
          <w:rFonts w:ascii="Arial" w:cs="Arial" w:eastAsia="Arial" w:hAnsi="Arial"/>
          <w:sz w:val="14"/>
          <w:szCs w:val="14"/>
          <w:color w:val="auto"/>
        </w:rPr>
        <w:t>Non-GAAP Adjusted Operating Margin is a non-GAAP financial measure that is calculated as (a) total revenues for fiscal 2025 less non-GAAP adjusted cost of product sales, SG&amp;A expenses and R&amp;D expenses for fiscal 2025 divided by (b) total revenues for fiscal 2025. Non-GAAP adjusted cost of product sales, SG&amp;A expenses and R&amp;D expenses exclude from GAAP cost of product sales, SG&amp;A expenses and R&amp;D expenses, as applicable, share-based compensation expense, transaction and integration related expenses, acquisition accounting inventory fair value step-up expense, and other expenses deducted in arriving at non-GAAP adjusted net income.</w:t>
      </w:r>
    </w:p>
    <w:p>
      <w:pPr>
        <w:spacing w:after="0" w:line="192" w:lineRule="exact"/>
        <w:rPr>
          <w:sz w:val="20"/>
          <w:szCs w:val="20"/>
          <w:color w:val="auto"/>
        </w:rPr>
      </w:pPr>
    </w:p>
    <w:p>
      <w:pPr>
        <w:ind w:right="140"/>
        <w:spacing w:after="0" w:line="339" w:lineRule="auto"/>
        <w:rPr>
          <w:sz w:val="20"/>
          <w:szCs w:val="20"/>
          <w:color w:val="auto"/>
        </w:rPr>
      </w:pPr>
      <w:r>
        <w:rPr>
          <w:rFonts w:ascii="Arial" w:cs="Arial" w:eastAsia="Arial" w:hAnsi="Arial"/>
          <w:sz w:val="16"/>
          <w:szCs w:val="16"/>
          <w:color w:val="auto"/>
        </w:rPr>
        <w:t>The three performance goals described above can independently, and in the aggregate, be achieved at 50% of target at threshold performance levels up to 160% of target for stretch performance, with linear interpolation used between the performance levels.</w:t>
      </w:r>
    </w:p>
    <w:p>
      <w:pPr>
        <w:spacing w:after="0" w:line="47"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color w:val="auto"/>
        </w:rPr>
        <w:t>Once the aggregate achievement percentage of the three performance goals is determined, that result is modified, from 75% to 125%, based on the performance of our share price relative to peers over the same three-year performance period, or what we refer to as a relative TSR modifier. Our compensation committee believes that having a TSR modifier helps balance the importance of providing executives clearer line of sight to payout opportunities using financial and operational measures with the need to ensure that those payouts are aligned with shareholders’ experience during the performance period. The achievement percentage, as adjusted to reflect the TSR modifier, will determine the number of shares underlying the PSUs that will be earned, vest and be issued to each NEO. Furthermore, the total payout percentage is capped at 100% in the event the TSR percentile rank is ≤ 25th percentile.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shd w:val="clear" w:color="auto" w:fill="852166"/>
          </w:tcPr>
          <w:p>
            <w:pPr>
              <w:ind w:left="100"/>
              <w:spacing w:after="0"/>
              <w:rPr>
                <w:sz w:val="20"/>
                <w:szCs w:val="20"/>
                <w:color w:val="auto"/>
              </w:rPr>
            </w:pPr>
            <w:r>
              <w:rPr>
                <w:rFonts w:ascii="Arial" w:cs="Arial" w:eastAsia="Arial" w:hAnsi="Arial"/>
                <w:sz w:val="14"/>
                <w:szCs w:val="14"/>
                <w:b w:val="1"/>
                <w:bCs w:val="1"/>
                <w:color w:val="FFFFFF"/>
              </w:rPr>
              <w:t>Percentile Rank vs. Comparator Group</w:t>
            </w:r>
          </w:p>
        </w:tc>
        <w:tc>
          <w:tcPr>
            <w:tcW w:w="5660" w:type="dxa"/>
            <w:vAlign w:val="bottom"/>
            <w:shd w:val="clear" w:color="auto" w:fill="852166"/>
          </w:tcPr>
          <w:p>
            <w:pPr>
              <w:ind w:left="880"/>
              <w:spacing w:after="0"/>
              <w:rPr>
                <w:sz w:val="20"/>
                <w:szCs w:val="20"/>
                <w:color w:val="auto"/>
              </w:rPr>
            </w:pPr>
            <w:r>
              <w:rPr>
                <w:rFonts w:ascii="Arial" w:cs="Arial" w:eastAsia="Arial" w:hAnsi="Arial"/>
                <w:sz w:val="14"/>
                <w:szCs w:val="14"/>
                <w:b w:val="1"/>
                <w:bCs w:val="1"/>
                <w:color w:val="FFFFFF"/>
              </w:rPr>
              <w:t>Payout Modifier</w:t>
            </w:r>
          </w:p>
        </w:tc>
      </w:tr>
      <w:tr>
        <w:trPr>
          <w:trHeight w:val="67"/>
        </w:trPr>
        <w:tc>
          <w:tcPr>
            <w:tcW w:w="5580" w:type="dxa"/>
            <w:vAlign w:val="bottom"/>
            <w:shd w:val="clear" w:color="auto" w:fill="852166"/>
          </w:tcPr>
          <w:p>
            <w:pPr>
              <w:spacing w:after="0"/>
              <w:rPr>
                <w:sz w:val="5"/>
                <w:szCs w:val="5"/>
                <w:color w:val="auto"/>
              </w:rPr>
            </w:pPr>
          </w:p>
        </w:tc>
        <w:tc>
          <w:tcPr>
            <w:tcW w:w="5660" w:type="dxa"/>
            <w:vAlign w:val="bottom"/>
            <w:shd w:val="clear" w:color="auto" w:fill="852166"/>
          </w:tcPr>
          <w:p>
            <w:pPr>
              <w:spacing w:after="0"/>
              <w:rPr>
                <w:sz w:val="5"/>
                <w:szCs w:val="5"/>
                <w:color w:val="auto"/>
              </w:rPr>
            </w:pPr>
          </w:p>
        </w:tc>
      </w:tr>
      <w:tr>
        <w:trPr>
          <w:trHeight w:val="208"/>
        </w:trPr>
        <w:tc>
          <w:tcPr>
            <w:tcW w:w="5580" w:type="dxa"/>
            <w:vAlign w:val="bottom"/>
          </w:tcPr>
          <w:p>
            <w:pPr>
              <w:ind w:left="100"/>
              <w:spacing w:after="0"/>
              <w:rPr>
                <w:sz w:val="20"/>
                <w:szCs w:val="20"/>
                <w:color w:val="auto"/>
              </w:rPr>
            </w:pPr>
            <w:r>
              <w:rPr>
                <w:rFonts w:ascii="Arial" w:cs="Arial" w:eastAsia="Arial" w:hAnsi="Arial"/>
                <w:sz w:val="14"/>
                <w:szCs w:val="14"/>
                <w:color w:val="auto"/>
              </w:rPr>
              <w:t>≥ 75th percentile</w:t>
            </w:r>
          </w:p>
        </w:tc>
        <w:tc>
          <w:tcPr>
            <w:tcW w:w="5660" w:type="dxa"/>
            <w:vAlign w:val="bottom"/>
          </w:tcPr>
          <w:p>
            <w:pPr>
              <w:ind w:left="880"/>
              <w:spacing w:after="0"/>
              <w:rPr>
                <w:sz w:val="20"/>
                <w:szCs w:val="20"/>
                <w:color w:val="auto"/>
              </w:rPr>
            </w:pPr>
            <w:r>
              <w:rPr>
                <w:rFonts w:ascii="Arial" w:cs="Arial" w:eastAsia="Arial" w:hAnsi="Arial"/>
                <w:sz w:val="14"/>
                <w:szCs w:val="14"/>
                <w:color w:val="auto"/>
              </w:rPr>
              <w:t>125%</w:t>
            </w:r>
          </w:p>
        </w:tc>
      </w:tr>
      <w:tr>
        <w:trPr>
          <w:trHeight w:val="75"/>
        </w:trPr>
        <w:tc>
          <w:tcPr>
            <w:tcW w:w="5580" w:type="dxa"/>
            <w:vAlign w:val="bottom"/>
          </w:tcPr>
          <w:p>
            <w:pPr>
              <w:spacing w:after="0"/>
              <w:rPr>
                <w:sz w:val="6"/>
                <w:szCs w:val="6"/>
                <w:color w:val="auto"/>
              </w:rPr>
            </w:pPr>
          </w:p>
        </w:tc>
        <w:tc>
          <w:tcPr>
            <w:tcW w:w="5660" w:type="dxa"/>
            <w:vAlign w:val="bottom"/>
          </w:tcPr>
          <w:p>
            <w:pPr>
              <w:spacing w:after="0"/>
              <w:rPr>
                <w:sz w:val="6"/>
                <w:szCs w:val="6"/>
                <w:color w:val="auto"/>
              </w:rPr>
            </w:pPr>
          </w:p>
        </w:tc>
      </w:tr>
      <w:tr>
        <w:trPr>
          <w:trHeight w:val="264"/>
        </w:trPr>
        <w:tc>
          <w:tcPr>
            <w:tcW w:w="558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14"/>
                <w:szCs w:val="14"/>
                <w:color w:val="auto"/>
              </w:rPr>
              <w:t>For every increase in percentile rank between 50th and 75th percentiles</w:t>
            </w:r>
          </w:p>
        </w:tc>
        <w:tc>
          <w:tcPr>
            <w:tcW w:w="5660" w:type="dxa"/>
            <w:vAlign w:val="bottom"/>
            <w:tcBorders>
              <w:bottom w:val="single" w:sz="8" w:color="EAEAEA"/>
            </w:tcBorders>
            <w:shd w:val="clear" w:color="auto" w:fill="EAEAEA"/>
          </w:tcPr>
          <w:p>
            <w:pPr>
              <w:ind w:left="880"/>
              <w:spacing w:after="0"/>
              <w:rPr>
                <w:sz w:val="20"/>
                <w:szCs w:val="20"/>
                <w:color w:val="auto"/>
              </w:rPr>
            </w:pPr>
            <w:r>
              <w:rPr>
                <w:rFonts w:ascii="Arial" w:cs="Arial" w:eastAsia="Arial" w:hAnsi="Arial"/>
                <w:sz w:val="14"/>
                <w:szCs w:val="14"/>
                <w:color w:val="auto"/>
              </w:rPr>
              <w:t>Increase by 1%</w:t>
            </w:r>
          </w:p>
        </w:tc>
      </w:tr>
      <w:tr>
        <w:trPr>
          <w:trHeight w:val="208"/>
        </w:trPr>
        <w:tc>
          <w:tcPr>
            <w:tcW w:w="5580" w:type="dxa"/>
            <w:vAlign w:val="bottom"/>
          </w:tcPr>
          <w:p>
            <w:pPr>
              <w:ind w:left="100"/>
              <w:spacing w:after="0"/>
              <w:rPr>
                <w:sz w:val="20"/>
                <w:szCs w:val="20"/>
                <w:color w:val="auto"/>
              </w:rPr>
            </w:pPr>
            <w:r>
              <w:rPr>
                <w:rFonts w:ascii="Arial" w:cs="Arial" w:eastAsia="Arial" w:hAnsi="Arial"/>
                <w:sz w:val="14"/>
                <w:szCs w:val="14"/>
                <w:color w:val="auto"/>
              </w:rPr>
              <w:t>50th percentile</w:t>
            </w:r>
          </w:p>
        </w:tc>
        <w:tc>
          <w:tcPr>
            <w:tcW w:w="5660" w:type="dxa"/>
            <w:vAlign w:val="bottom"/>
          </w:tcPr>
          <w:p>
            <w:pPr>
              <w:ind w:left="880"/>
              <w:spacing w:after="0"/>
              <w:rPr>
                <w:sz w:val="20"/>
                <w:szCs w:val="20"/>
                <w:color w:val="auto"/>
              </w:rPr>
            </w:pPr>
            <w:r>
              <w:rPr>
                <w:rFonts w:ascii="Arial" w:cs="Arial" w:eastAsia="Arial" w:hAnsi="Arial"/>
                <w:sz w:val="14"/>
                <w:szCs w:val="14"/>
                <w:color w:val="auto"/>
              </w:rPr>
              <w:t>100%</w:t>
            </w:r>
          </w:p>
        </w:tc>
      </w:tr>
      <w:tr>
        <w:trPr>
          <w:trHeight w:val="76"/>
        </w:trPr>
        <w:tc>
          <w:tcPr>
            <w:tcW w:w="5580" w:type="dxa"/>
            <w:vAlign w:val="bottom"/>
          </w:tcPr>
          <w:p>
            <w:pPr>
              <w:spacing w:after="0"/>
              <w:rPr>
                <w:sz w:val="6"/>
                <w:szCs w:val="6"/>
                <w:color w:val="auto"/>
              </w:rPr>
            </w:pPr>
          </w:p>
        </w:tc>
        <w:tc>
          <w:tcPr>
            <w:tcW w:w="5660" w:type="dxa"/>
            <w:vAlign w:val="bottom"/>
          </w:tcPr>
          <w:p>
            <w:pPr>
              <w:spacing w:after="0"/>
              <w:rPr>
                <w:sz w:val="6"/>
                <w:szCs w:val="6"/>
                <w:color w:val="auto"/>
              </w:rPr>
            </w:pPr>
          </w:p>
        </w:tc>
      </w:tr>
      <w:tr>
        <w:trPr>
          <w:trHeight w:val="263"/>
        </w:trPr>
        <w:tc>
          <w:tcPr>
            <w:tcW w:w="558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14"/>
                <w:szCs w:val="14"/>
                <w:color w:val="auto"/>
              </w:rPr>
              <w:t>For every decrease in percentile rank between 50th and 25th percentiles</w:t>
            </w:r>
          </w:p>
        </w:tc>
        <w:tc>
          <w:tcPr>
            <w:tcW w:w="5660" w:type="dxa"/>
            <w:vAlign w:val="bottom"/>
            <w:tcBorders>
              <w:bottom w:val="single" w:sz="8" w:color="EAEAEA"/>
            </w:tcBorders>
            <w:shd w:val="clear" w:color="auto" w:fill="EAEAEA"/>
          </w:tcPr>
          <w:p>
            <w:pPr>
              <w:ind w:left="880"/>
              <w:spacing w:after="0"/>
              <w:rPr>
                <w:sz w:val="20"/>
                <w:szCs w:val="20"/>
                <w:color w:val="auto"/>
              </w:rPr>
            </w:pPr>
            <w:r>
              <w:rPr>
                <w:rFonts w:ascii="Arial" w:cs="Arial" w:eastAsia="Arial" w:hAnsi="Arial"/>
                <w:sz w:val="14"/>
                <w:szCs w:val="14"/>
                <w:color w:val="auto"/>
              </w:rPr>
              <w:t>Decrease by 1%</w:t>
            </w:r>
          </w:p>
        </w:tc>
      </w:tr>
      <w:tr>
        <w:trPr>
          <w:trHeight w:val="208"/>
        </w:trPr>
        <w:tc>
          <w:tcPr>
            <w:tcW w:w="5580" w:type="dxa"/>
            <w:vAlign w:val="bottom"/>
          </w:tcPr>
          <w:p>
            <w:pPr>
              <w:ind w:left="100"/>
              <w:spacing w:after="0"/>
              <w:rPr>
                <w:sz w:val="20"/>
                <w:szCs w:val="20"/>
                <w:color w:val="auto"/>
              </w:rPr>
            </w:pPr>
            <w:r>
              <w:rPr>
                <w:rFonts w:ascii="Arial" w:cs="Arial" w:eastAsia="Arial" w:hAnsi="Arial"/>
                <w:sz w:val="14"/>
                <w:szCs w:val="14"/>
                <w:color w:val="auto"/>
              </w:rPr>
              <w:t>≤ 25th percentile</w:t>
            </w:r>
          </w:p>
        </w:tc>
        <w:tc>
          <w:tcPr>
            <w:tcW w:w="5660" w:type="dxa"/>
            <w:vAlign w:val="bottom"/>
          </w:tcPr>
          <w:p>
            <w:pPr>
              <w:ind w:left="880"/>
              <w:spacing w:after="0"/>
              <w:rPr>
                <w:sz w:val="20"/>
                <w:szCs w:val="20"/>
                <w:color w:val="auto"/>
              </w:rPr>
            </w:pPr>
            <w:r>
              <w:rPr>
                <w:rFonts w:ascii="Arial" w:cs="Arial" w:eastAsia="Arial" w:hAnsi="Arial"/>
                <w:sz w:val="14"/>
                <w:szCs w:val="14"/>
                <w:color w:val="auto"/>
              </w:rPr>
              <w:t>75%</w:t>
            </w:r>
          </w:p>
        </w:tc>
      </w:tr>
      <w:tr>
        <w:trPr>
          <w:trHeight w:val="76"/>
        </w:trPr>
        <w:tc>
          <w:tcPr>
            <w:tcW w:w="5580" w:type="dxa"/>
            <w:vAlign w:val="bottom"/>
            <w:tcBorders>
              <w:bottom w:val="single" w:sz="8" w:color="852166"/>
            </w:tcBorders>
          </w:tcPr>
          <w:p>
            <w:pPr>
              <w:spacing w:after="0"/>
              <w:rPr>
                <w:sz w:val="6"/>
                <w:szCs w:val="6"/>
                <w:color w:val="auto"/>
              </w:rPr>
            </w:pPr>
          </w:p>
        </w:tc>
        <w:tc>
          <w:tcPr>
            <w:tcW w:w="5660" w:type="dxa"/>
            <w:vAlign w:val="bottom"/>
            <w:tcBorders>
              <w:bottom w:val="single" w:sz="8" w:color="852166"/>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6" w:name="page57"/>
    <w:bookmarkEnd w:id="56"/>
    <w:p>
      <w:pPr>
        <w:ind w:right="320"/>
        <w:spacing w:after="0" w:line="339" w:lineRule="auto"/>
        <w:rPr>
          <w:sz w:val="20"/>
          <w:szCs w:val="20"/>
          <w:color w:val="auto"/>
        </w:rPr>
      </w:pPr>
      <w:r>
        <w:rPr>
          <w:rFonts w:ascii="Arial" w:cs="Arial" w:eastAsia="Arial" w:hAnsi="Arial"/>
          <w:sz w:val="16"/>
          <w:szCs w:val="16"/>
          <w:color w:val="auto"/>
        </w:rPr>
        <w:t>Our compensation committee selected the constituents of the Russell 1000 pharmaceutical and biotechnology component companies as the comparator group for purposes of the relative TSR modifier for the following reasons:</w:t>
      </w:r>
    </w:p>
    <w:p>
      <w:pPr>
        <w:spacing w:after="0" w:line="34" w:lineRule="exact"/>
        <w:rPr>
          <w:sz w:val="20"/>
          <w:szCs w:val="20"/>
          <w:color w:val="auto"/>
        </w:rPr>
      </w:pPr>
    </w:p>
    <w:p>
      <w:pPr>
        <w:ind w:left="640" w:hanging="308"/>
        <w:spacing w:after="0"/>
        <w:tabs>
          <w:tab w:leader="none" w:pos="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number of companies is large enough to withstand any potential industry consolidation;</w:t>
      </w:r>
    </w:p>
    <w:p>
      <w:pPr>
        <w:spacing w:after="0" w:line="153" w:lineRule="exact"/>
        <w:rPr>
          <w:rFonts w:ascii="Arial" w:cs="Arial" w:eastAsia="Arial" w:hAnsi="Arial"/>
          <w:sz w:val="16"/>
          <w:szCs w:val="16"/>
          <w:color w:val="auto"/>
        </w:rPr>
      </w:pPr>
    </w:p>
    <w:p>
      <w:pPr>
        <w:ind w:left="660" w:right="140" w:hanging="328"/>
        <w:spacing w:after="0" w:line="339" w:lineRule="auto"/>
        <w:tabs>
          <w:tab w:leader="none" w:pos="649"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the group includes twelve of the companies in our executive compensation peer group above under </w:t>
      </w:r>
      <w:r>
        <w:rPr>
          <w:rFonts w:ascii="Arial" w:cs="Arial" w:eastAsia="Arial" w:hAnsi="Arial"/>
          <w:sz w:val="16"/>
          <w:szCs w:val="16"/>
          <w:i w:val="1"/>
          <w:iCs w:val="1"/>
          <w:color w:val="auto"/>
        </w:rPr>
        <w:t>“How We Determine Executive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—Competitive Assessment of Compensation – Peer Companies and Market Data;” </w:t>
      </w:r>
      <w:r>
        <w:rPr>
          <w:rFonts w:ascii="Arial" w:cs="Arial" w:eastAsia="Arial" w:hAnsi="Arial"/>
          <w:sz w:val="16"/>
          <w:szCs w:val="16"/>
          <w:color w:val="auto"/>
        </w:rPr>
        <w:t>and</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revenue, market cap and volatility of these companies is more aligned with our company’s profile.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companies initially listed on the index at the beginning of the performance period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0" w:type="dxa"/>
            <w:vAlign w:val="bottom"/>
          </w:tcPr>
          <w:p>
            <w:pPr>
              <w:ind w:left="100"/>
              <w:spacing w:after="0"/>
              <w:rPr>
                <w:sz w:val="20"/>
                <w:szCs w:val="20"/>
                <w:color w:val="auto"/>
              </w:rPr>
            </w:pPr>
            <w:r>
              <w:rPr>
                <w:rFonts w:ascii="Arial" w:cs="Arial" w:eastAsia="Arial" w:hAnsi="Arial"/>
                <w:sz w:val="14"/>
                <w:szCs w:val="14"/>
                <w:color w:val="auto"/>
              </w:rPr>
              <w:t>AbbVie Inc.</w:t>
            </w:r>
          </w:p>
        </w:tc>
        <w:tc>
          <w:tcPr>
            <w:tcW w:w="2520" w:type="dxa"/>
            <w:vAlign w:val="bottom"/>
          </w:tcPr>
          <w:p>
            <w:pPr>
              <w:ind w:left="280"/>
              <w:spacing w:after="0"/>
              <w:rPr>
                <w:sz w:val="20"/>
                <w:szCs w:val="20"/>
                <w:color w:val="auto"/>
              </w:rPr>
            </w:pPr>
            <w:r>
              <w:rPr>
                <w:rFonts w:ascii="Arial" w:cs="Arial" w:eastAsia="Arial" w:hAnsi="Arial"/>
                <w:sz w:val="14"/>
                <w:szCs w:val="14"/>
                <w:color w:val="auto"/>
              </w:rPr>
              <w:t>Exelixis, Inc.</w:t>
            </w:r>
          </w:p>
        </w:tc>
        <w:tc>
          <w:tcPr>
            <w:tcW w:w="2960" w:type="dxa"/>
            <w:vAlign w:val="bottom"/>
          </w:tcPr>
          <w:p>
            <w:pPr>
              <w:ind w:left="500"/>
              <w:spacing w:after="0"/>
              <w:rPr>
                <w:sz w:val="20"/>
                <w:szCs w:val="20"/>
                <w:color w:val="auto"/>
              </w:rPr>
            </w:pPr>
            <w:r>
              <w:rPr>
                <w:rFonts w:ascii="Arial" w:cs="Arial" w:eastAsia="Arial" w:hAnsi="Arial"/>
                <w:sz w:val="14"/>
                <w:szCs w:val="14"/>
                <w:color w:val="auto"/>
              </w:rPr>
              <w:t>Neurocrine Biosciences, Inc.</w:t>
            </w:r>
          </w:p>
        </w:tc>
        <w:tc>
          <w:tcPr>
            <w:tcW w:w="3160" w:type="dxa"/>
            <w:vAlign w:val="bottom"/>
          </w:tcPr>
          <w:p>
            <w:pPr>
              <w:ind w:left="340"/>
              <w:spacing w:after="0"/>
              <w:rPr>
                <w:sz w:val="20"/>
                <w:szCs w:val="20"/>
                <w:color w:val="auto"/>
              </w:rPr>
            </w:pPr>
            <w:r>
              <w:rPr>
                <w:rFonts w:ascii="Arial" w:cs="Arial" w:eastAsia="Arial" w:hAnsi="Arial"/>
                <w:sz w:val="14"/>
                <w:szCs w:val="14"/>
                <w:color w:val="auto"/>
              </w:rPr>
              <w:t>United Therapeutics Corporation</w:t>
            </w:r>
          </w:p>
        </w:tc>
      </w:tr>
      <w:tr>
        <w:trPr>
          <w:trHeight w:val="22"/>
        </w:trPr>
        <w:tc>
          <w:tcPr>
            <w:tcW w:w="2600" w:type="dxa"/>
            <w:vAlign w:val="bottom"/>
            <w:tcBorders>
              <w:bottom w:val="single" w:sz="8" w:color="FFCF01"/>
            </w:tcBorders>
          </w:tcPr>
          <w:p>
            <w:pPr>
              <w:spacing w:after="0" w:line="20" w:lineRule="exact"/>
              <w:rPr>
                <w:sz w:val="1"/>
                <w:szCs w:val="1"/>
                <w:color w:val="auto"/>
              </w:rPr>
            </w:pPr>
          </w:p>
        </w:tc>
        <w:tc>
          <w:tcPr>
            <w:tcW w:w="2520" w:type="dxa"/>
            <w:vAlign w:val="bottom"/>
            <w:tcBorders>
              <w:bottom w:val="single" w:sz="8" w:color="FFCF01"/>
            </w:tcBorders>
          </w:tcPr>
          <w:p>
            <w:pPr>
              <w:spacing w:after="0" w:line="20" w:lineRule="exact"/>
              <w:rPr>
                <w:sz w:val="1"/>
                <w:szCs w:val="1"/>
                <w:color w:val="auto"/>
              </w:rPr>
            </w:pPr>
          </w:p>
        </w:tc>
        <w:tc>
          <w:tcPr>
            <w:tcW w:w="2960" w:type="dxa"/>
            <w:vAlign w:val="bottom"/>
            <w:tcBorders>
              <w:bottom w:val="single" w:sz="8" w:color="FFCF01"/>
            </w:tcBorders>
          </w:tcPr>
          <w:p>
            <w:pPr>
              <w:spacing w:after="0" w:line="20" w:lineRule="exact"/>
              <w:rPr>
                <w:sz w:val="1"/>
                <w:szCs w:val="1"/>
                <w:color w:val="auto"/>
              </w:rPr>
            </w:pPr>
          </w:p>
        </w:tc>
        <w:tc>
          <w:tcPr>
            <w:tcW w:w="3160" w:type="dxa"/>
            <w:vAlign w:val="bottom"/>
            <w:tcBorders>
              <w:bottom w:val="single" w:sz="8" w:color="FFCF01"/>
            </w:tcBorders>
          </w:tcPr>
          <w:p>
            <w:pPr>
              <w:spacing w:after="0" w:line="20" w:lineRule="exact"/>
              <w:rPr>
                <w:sz w:val="1"/>
                <w:szCs w:val="1"/>
                <w:color w:val="auto"/>
              </w:rPr>
            </w:pPr>
          </w:p>
        </w:tc>
      </w:tr>
      <w:tr>
        <w:trPr>
          <w:trHeight w:val="202"/>
        </w:trPr>
        <w:tc>
          <w:tcPr>
            <w:tcW w:w="2600" w:type="dxa"/>
            <w:vAlign w:val="bottom"/>
          </w:tcPr>
          <w:p>
            <w:pPr>
              <w:ind w:left="100"/>
              <w:spacing w:after="0"/>
              <w:rPr>
                <w:sz w:val="20"/>
                <w:szCs w:val="20"/>
                <w:color w:val="auto"/>
              </w:rPr>
            </w:pPr>
            <w:r>
              <w:rPr>
                <w:rFonts w:ascii="Arial" w:cs="Arial" w:eastAsia="Arial" w:hAnsi="Arial"/>
                <w:sz w:val="14"/>
                <w:szCs w:val="14"/>
                <w:color w:val="auto"/>
              </w:rPr>
              <w:t>Alnylam Pharmaceuticals, Inc.</w:t>
            </w:r>
          </w:p>
        </w:tc>
        <w:tc>
          <w:tcPr>
            <w:tcW w:w="2520" w:type="dxa"/>
            <w:vAlign w:val="bottom"/>
          </w:tcPr>
          <w:p>
            <w:pPr>
              <w:ind w:left="280"/>
              <w:spacing w:after="0"/>
              <w:rPr>
                <w:sz w:val="20"/>
                <w:szCs w:val="20"/>
                <w:color w:val="auto"/>
              </w:rPr>
            </w:pPr>
            <w:r>
              <w:rPr>
                <w:rFonts w:ascii="Arial" w:cs="Arial" w:eastAsia="Arial" w:hAnsi="Arial"/>
                <w:sz w:val="14"/>
                <w:szCs w:val="14"/>
                <w:color w:val="auto"/>
              </w:rPr>
              <w:t>Gilead Sciences, Inc.</w:t>
            </w:r>
          </w:p>
        </w:tc>
        <w:tc>
          <w:tcPr>
            <w:tcW w:w="2960" w:type="dxa"/>
            <w:vAlign w:val="bottom"/>
          </w:tcPr>
          <w:p>
            <w:pPr>
              <w:ind w:left="500"/>
              <w:spacing w:after="0"/>
              <w:rPr>
                <w:sz w:val="20"/>
                <w:szCs w:val="20"/>
                <w:color w:val="auto"/>
              </w:rPr>
            </w:pPr>
            <w:r>
              <w:rPr>
                <w:rFonts w:ascii="Arial" w:cs="Arial" w:eastAsia="Arial" w:hAnsi="Arial"/>
                <w:sz w:val="14"/>
                <w:szCs w:val="14"/>
                <w:color w:val="auto"/>
              </w:rPr>
              <w:t>Novavax, Inc.</w:t>
            </w:r>
          </w:p>
        </w:tc>
        <w:tc>
          <w:tcPr>
            <w:tcW w:w="3160" w:type="dxa"/>
            <w:vAlign w:val="bottom"/>
          </w:tcPr>
          <w:p>
            <w:pPr>
              <w:ind w:left="340"/>
              <w:spacing w:after="0"/>
              <w:rPr>
                <w:sz w:val="20"/>
                <w:szCs w:val="20"/>
                <w:color w:val="auto"/>
              </w:rPr>
            </w:pPr>
            <w:r>
              <w:rPr>
                <w:rFonts w:ascii="Arial" w:cs="Arial" w:eastAsia="Arial" w:hAnsi="Arial"/>
                <w:sz w:val="14"/>
                <w:szCs w:val="14"/>
                <w:color w:val="auto"/>
              </w:rPr>
              <w:t>Vertex Pharmaceuticals Incorporated</w:t>
            </w:r>
          </w:p>
        </w:tc>
      </w:tr>
      <w:tr>
        <w:trPr>
          <w:trHeight w:val="22"/>
        </w:trPr>
        <w:tc>
          <w:tcPr>
            <w:tcW w:w="2600" w:type="dxa"/>
            <w:vAlign w:val="bottom"/>
            <w:tcBorders>
              <w:bottom w:val="single" w:sz="8" w:color="FFCF01"/>
            </w:tcBorders>
          </w:tcPr>
          <w:p>
            <w:pPr>
              <w:spacing w:after="0" w:line="20" w:lineRule="exact"/>
              <w:rPr>
                <w:sz w:val="1"/>
                <w:szCs w:val="1"/>
                <w:color w:val="auto"/>
              </w:rPr>
            </w:pPr>
          </w:p>
        </w:tc>
        <w:tc>
          <w:tcPr>
            <w:tcW w:w="2520" w:type="dxa"/>
            <w:vAlign w:val="bottom"/>
            <w:tcBorders>
              <w:bottom w:val="single" w:sz="8" w:color="FFCF01"/>
            </w:tcBorders>
          </w:tcPr>
          <w:p>
            <w:pPr>
              <w:spacing w:after="0" w:line="20" w:lineRule="exact"/>
              <w:rPr>
                <w:sz w:val="1"/>
                <w:szCs w:val="1"/>
                <w:color w:val="auto"/>
              </w:rPr>
            </w:pPr>
          </w:p>
        </w:tc>
        <w:tc>
          <w:tcPr>
            <w:tcW w:w="2960" w:type="dxa"/>
            <w:vAlign w:val="bottom"/>
            <w:tcBorders>
              <w:bottom w:val="single" w:sz="8" w:color="FFCF01"/>
            </w:tcBorders>
          </w:tcPr>
          <w:p>
            <w:pPr>
              <w:spacing w:after="0" w:line="20" w:lineRule="exact"/>
              <w:rPr>
                <w:sz w:val="1"/>
                <w:szCs w:val="1"/>
                <w:color w:val="auto"/>
              </w:rPr>
            </w:pPr>
          </w:p>
        </w:tc>
        <w:tc>
          <w:tcPr>
            <w:tcW w:w="3160" w:type="dxa"/>
            <w:vAlign w:val="bottom"/>
            <w:tcBorders>
              <w:bottom w:val="single" w:sz="8" w:color="FFCF01"/>
            </w:tcBorders>
          </w:tcPr>
          <w:p>
            <w:pPr>
              <w:spacing w:after="0" w:line="20" w:lineRule="exact"/>
              <w:rPr>
                <w:sz w:val="1"/>
                <w:szCs w:val="1"/>
                <w:color w:val="auto"/>
              </w:rPr>
            </w:pPr>
          </w:p>
        </w:tc>
      </w:tr>
      <w:tr>
        <w:trPr>
          <w:trHeight w:val="270"/>
        </w:trPr>
        <w:tc>
          <w:tcPr>
            <w:tcW w:w="2600" w:type="dxa"/>
            <w:vAlign w:val="bottom"/>
            <w:tcBorders>
              <w:bottom w:val="single" w:sz="8" w:color="FFCF01"/>
            </w:tcBorders>
          </w:tcPr>
          <w:p>
            <w:pPr>
              <w:ind w:left="100"/>
              <w:spacing w:after="0"/>
              <w:rPr>
                <w:sz w:val="20"/>
                <w:szCs w:val="20"/>
                <w:color w:val="auto"/>
              </w:rPr>
            </w:pPr>
            <w:r>
              <w:rPr>
                <w:rFonts w:ascii="Arial" w:cs="Arial" w:eastAsia="Arial" w:hAnsi="Arial"/>
                <w:sz w:val="14"/>
                <w:szCs w:val="14"/>
                <w:color w:val="auto"/>
              </w:rPr>
              <w:t>Amgen Inc.</w:t>
            </w:r>
          </w:p>
        </w:tc>
        <w:tc>
          <w:tcPr>
            <w:tcW w:w="2520" w:type="dxa"/>
            <w:vAlign w:val="bottom"/>
            <w:tcBorders>
              <w:bottom w:val="single" w:sz="8" w:color="FFCF01"/>
            </w:tcBorders>
          </w:tcPr>
          <w:p>
            <w:pPr>
              <w:ind w:left="280"/>
              <w:spacing w:after="0"/>
              <w:rPr>
                <w:sz w:val="20"/>
                <w:szCs w:val="20"/>
                <w:color w:val="auto"/>
              </w:rPr>
            </w:pPr>
            <w:r>
              <w:rPr>
                <w:rFonts w:ascii="Arial" w:cs="Arial" w:eastAsia="Arial" w:hAnsi="Arial"/>
                <w:sz w:val="14"/>
                <w:szCs w:val="14"/>
                <w:color w:val="auto"/>
              </w:rPr>
              <w:t>Horizon Therapeutics plc</w:t>
            </w:r>
            <w:r>
              <w:rPr>
                <w:rFonts w:ascii="Arial" w:cs="Arial" w:eastAsia="Arial" w:hAnsi="Arial"/>
                <w:sz w:val="18"/>
                <w:szCs w:val="18"/>
                <w:color w:val="auto"/>
                <w:vertAlign w:val="superscript"/>
              </w:rPr>
              <w:t>(1)</w:t>
            </w:r>
          </w:p>
        </w:tc>
        <w:tc>
          <w:tcPr>
            <w:tcW w:w="2960" w:type="dxa"/>
            <w:vAlign w:val="bottom"/>
            <w:tcBorders>
              <w:bottom w:val="single" w:sz="8" w:color="FFCF01"/>
            </w:tcBorders>
          </w:tcPr>
          <w:p>
            <w:pPr>
              <w:ind w:left="500"/>
              <w:spacing w:after="0"/>
              <w:rPr>
                <w:sz w:val="20"/>
                <w:szCs w:val="20"/>
                <w:color w:val="auto"/>
              </w:rPr>
            </w:pPr>
            <w:r>
              <w:rPr>
                <w:rFonts w:ascii="Arial" w:cs="Arial" w:eastAsia="Arial" w:hAnsi="Arial"/>
                <w:sz w:val="14"/>
                <w:szCs w:val="14"/>
                <w:color w:val="auto"/>
              </w:rPr>
              <w:t>Organon &amp; Co.</w:t>
            </w:r>
          </w:p>
        </w:tc>
        <w:tc>
          <w:tcPr>
            <w:tcW w:w="3160" w:type="dxa"/>
            <w:vAlign w:val="bottom"/>
            <w:tcBorders>
              <w:bottom w:val="single" w:sz="8" w:color="FFCF01"/>
            </w:tcBorders>
          </w:tcPr>
          <w:p>
            <w:pPr>
              <w:ind w:left="340"/>
              <w:spacing w:after="0"/>
              <w:rPr>
                <w:sz w:val="20"/>
                <w:szCs w:val="20"/>
                <w:color w:val="auto"/>
              </w:rPr>
            </w:pPr>
            <w:r>
              <w:rPr>
                <w:rFonts w:ascii="Arial" w:cs="Arial" w:eastAsia="Arial" w:hAnsi="Arial"/>
                <w:sz w:val="14"/>
                <w:szCs w:val="14"/>
                <w:color w:val="auto"/>
              </w:rPr>
              <w:t>Viatris Inc.</w:t>
            </w:r>
          </w:p>
        </w:tc>
      </w:tr>
      <w:tr>
        <w:trPr>
          <w:trHeight w:val="208"/>
        </w:trPr>
        <w:tc>
          <w:tcPr>
            <w:tcW w:w="2600" w:type="dxa"/>
            <w:vAlign w:val="bottom"/>
          </w:tcPr>
          <w:p>
            <w:pPr>
              <w:ind w:left="100"/>
              <w:spacing w:after="0"/>
              <w:rPr>
                <w:sz w:val="20"/>
                <w:szCs w:val="20"/>
                <w:color w:val="auto"/>
              </w:rPr>
            </w:pPr>
            <w:r>
              <w:rPr>
                <w:rFonts w:ascii="Arial" w:cs="Arial" w:eastAsia="Arial" w:hAnsi="Arial"/>
                <w:sz w:val="14"/>
                <w:szCs w:val="14"/>
                <w:color w:val="auto"/>
              </w:rPr>
              <w:t>Biogen Inc.</w:t>
            </w:r>
          </w:p>
        </w:tc>
        <w:tc>
          <w:tcPr>
            <w:tcW w:w="2520" w:type="dxa"/>
            <w:vAlign w:val="bottom"/>
          </w:tcPr>
          <w:p>
            <w:pPr>
              <w:ind w:left="280"/>
              <w:spacing w:after="0"/>
              <w:rPr>
                <w:sz w:val="20"/>
                <w:szCs w:val="20"/>
                <w:color w:val="auto"/>
              </w:rPr>
            </w:pPr>
            <w:r>
              <w:rPr>
                <w:rFonts w:ascii="Arial" w:cs="Arial" w:eastAsia="Arial" w:hAnsi="Arial"/>
                <w:sz w:val="14"/>
                <w:szCs w:val="14"/>
                <w:color w:val="auto"/>
              </w:rPr>
              <w:t>Incyte Corporation</w:t>
            </w:r>
          </w:p>
        </w:tc>
        <w:tc>
          <w:tcPr>
            <w:tcW w:w="2960" w:type="dxa"/>
            <w:vAlign w:val="bottom"/>
          </w:tcPr>
          <w:p>
            <w:pPr>
              <w:ind w:left="500"/>
              <w:spacing w:after="0"/>
              <w:rPr>
                <w:sz w:val="20"/>
                <w:szCs w:val="20"/>
                <w:color w:val="auto"/>
              </w:rPr>
            </w:pPr>
            <w:r>
              <w:rPr>
                <w:rFonts w:ascii="Arial" w:cs="Arial" w:eastAsia="Arial" w:hAnsi="Arial"/>
                <w:sz w:val="14"/>
                <w:szCs w:val="14"/>
                <w:color w:val="auto"/>
              </w:rPr>
              <w:t>Perrigo Company plc</w:t>
            </w:r>
          </w:p>
        </w:tc>
        <w:tc>
          <w:tcPr>
            <w:tcW w:w="3160" w:type="dxa"/>
            <w:vAlign w:val="bottom"/>
          </w:tcPr>
          <w:p>
            <w:pPr>
              <w:ind w:left="340"/>
              <w:spacing w:after="0"/>
              <w:rPr>
                <w:sz w:val="20"/>
                <w:szCs w:val="20"/>
                <w:color w:val="auto"/>
              </w:rPr>
            </w:pPr>
            <w:r>
              <w:rPr>
                <w:rFonts w:ascii="Arial" w:cs="Arial" w:eastAsia="Arial" w:hAnsi="Arial"/>
                <w:sz w:val="14"/>
                <w:szCs w:val="14"/>
                <w:color w:val="auto"/>
              </w:rPr>
              <w:t>Zoetis Inc.</w:t>
            </w:r>
          </w:p>
        </w:tc>
      </w:tr>
      <w:tr>
        <w:trPr>
          <w:trHeight w:val="22"/>
        </w:trPr>
        <w:tc>
          <w:tcPr>
            <w:tcW w:w="2600" w:type="dxa"/>
            <w:vAlign w:val="bottom"/>
            <w:tcBorders>
              <w:bottom w:val="single" w:sz="8" w:color="FFCF01"/>
            </w:tcBorders>
          </w:tcPr>
          <w:p>
            <w:pPr>
              <w:spacing w:after="0" w:line="20" w:lineRule="exact"/>
              <w:rPr>
                <w:sz w:val="1"/>
                <w:szCs w:val="1"/>
                <w:color w:val="auto"/>
              </w:rPr>
            </w:pPr>
          </w:p>
        </w:tc>
        <w:tc>
          <w:tcPr>
            <w:tcW w:w="2520" w:type="dxa"/>
            <w:vAlign w:val="bottom"/>
            <w:tcBorders>
              <w:bottom w:val="single" w:sz="8" w:color="FFCF01"/>
            </w:tcBorders>
          </w:tcPr>
          <w:p>
            <w:pPr>
              <w:spacing w:after="0" w:line="20" w:lineRule="exact"/>
              <w:rPr>
                <w:sz w:val="1"/>
                <w:szCs w:val="1"/>
                <w:color w:val="auto"/>
              </w:rPr>
            </w:pPr>
          </w:p>
        </w:tc>
        <w:tc>
          <w:tcPr>
            <w:tcW w:w="2960" w:type="dxa"/>
            <w:vAlign w:val="bottom"/>
            <w:tcBorders>
              <w:bottom w:val="single" w:sz="8" w:color="FFCF01"/>
            </w:tcBorders>
          </w:tcPr>
          <w:p>
            <w:pPr>
              <w:spacing w:after="0" w:line="20" w:lineRule="exact"/>
              <w:rPr>
                <w:sz w:val="1"/>
                <w:szCs w:val="1"/>
                <w:color w:val="auto"/>
              </w:rPr>
            </w:pPr>
          </w:p>
        </w:tc>
        <w:tc>
          <w:tcPr>
            <w:tcW w:w="3160" w:type="dxa"/>
            <w:vAlign w:val="bottom"/>
            <w:tcBorders>
              <w:bottom w:val="single" w:sz="8" w:color="FFCF01"/>
            </w:tcBorders>
          </w:tcPr>
          <w:p>
            <w:pPr>
              <w:spacing w:after="0" w:line="20" w:lineRule="exact"/>
              <w:rPr>
                <w:sz w:val="1"/>
                <w:szCs w:val="1"/>
                <w:color w:val="auto"/>
              </w:rPr>
            </w:pPr>
          </w:p>
        </w:tc>
      </w:tr>
      <w:tr>
        <w:trPr>
          <w:trHeight w:val="201"/>
        </w:trPr>
        <w:tc>
          <w:tcPr>
            <w:tcW w:w="2600" w:type="dxa"/>
            <w:vAlign w:val="bottom"/>
          </w:tcPr>
          <w:p>
            <w:pPr>
              <w:ind w:left="100"/>
              <w:spacing w:after="0"/>
              <w:rPr>
                <w:sz w:val="20"/>
                <w:szCs w:val="20"/>
                <w:color w:val="auto"/>
              </w:rPr>
            </w:pPr>
            <w:r>
              <w:rPr>
                <w:rFonts w:ascii="Arial" w:cs="Arial" w:eastAsia="Arial" w:hAnsi="Arial"/>
                <w:sz w:val="14"/>
                <w:szCs w:val="14"/>
                <w:color w:val="auto"/>
              </w:rPr>
              <w:t>BioMarin Pharmaceutical Inc.</w:t>
            </w:r>
          </w:p>
        </w:tc>
        <w:tc>
          <w:tcPr>
            <w:tcW w:w="2520" w:type="dxa"/>
            <w:vAlign w:val="bottom"/>
          </w:tcPr>
          <w:p>
            <w:pPr>
              <w:ind w:left="280"/>
              <w:spacing w:after="0"/>
              <w:rPr>
                <w:sz w:val="20"/>
                <w:szCs w:val="20"/>
                <w:color w:val="auto"/>
              </w:rPr>
            </w:pPr>
            <w:r>
              <w:rPr>
                <w:rFonts w:ascii="Arial" w:cs="Arial" w:eastAsia="Arial" w:hAnsi="Arial"/>
                <w:sz w:val="14"/>
                <w:szCs w:val="14"/>
                <w:color w:val="auto"/>
              </w:rPr>
              <w:t>Ionis Pharmaceuticals, Inc.</w:t>
            </w:r>
          </w:p>
        </w:tc>
        <w:tc>
          <w:tcPr>
            <w:tcW w:w="2960" w:type="dxa"/>
            <w:vAlign w:val="bottom"/>
          </w:tcPr>
          <w:p>
            <w:pPr>
              <w:ind w:left="500"/>
              <w:spacing w:after="0"/>
              <w:rPr>
                <w:sz w:val="20"/>
                <w:szCs w:val="20"/>
                <w:color w:val="auto"/>
              </w:rPr>
            </w:pPr>
            <w:r>
              <w:rPr>
                <w:rFonts w:ascii="Arial" w:cs="Arial" w:eastAsia="Arial" w:hAnsi="Arial"/>
                <w:sz w:val="14"/>
                <w:szCs w:val="14"/>
                <w:color w:val="auto"/>
              </w:rPr>
              <w:t>Pfizer Inc.</w:t>
            </w:r>
          </w:p>
        </w:tc>
        <w:tc>
          <w:tcPr>
            <w:tcW w:w="3160" w:type="dxa"/>
            <w:vAlign w:val="bottom"/>
          </w:tcPr>
          <w:p>
            <w:pPr>
              <w:spacing w:after="0"/>
              <w:rPr>
                <w:sz w:val="17"/>
                <w:szCs w:val="17"/>
                <w:color w:val="auto"/>
              </w:rPr>
            </w:pPr>
          </w:p>
        </w:tc>
      </w:tr>
      <w:tr>
        <w:trPr>
          <w:trHeight w:val="22"/>
        </w:trPr>
        <w:tc>
          <w:tcPr>
            <w:tcW w:w="2600" w:type="dxa"/>
            <w:vAlign w:val="bottom"/>
            <w:tcBorders>
              <w:bottom w:val="single" w:sz="8" w:color="FFCF01"/>
            </w:tcBorders>
          </w:tcPr>
          <w:p>
            <w:pPr>
              <w:spacing w:after="0" w:line="20" w:lineRule="exact"/>
              <w:rPr>
                <w:sz w:val="1"/>
                <w:szCs w:val="1"/>
                <w:color w:val="auto"/>
              </w:rPr>
            </w:pPr>
          </w:p>
        </w:tc>
        <w:tc>
          <w:tcPr>
            <w:tcW w:w="2520" w:type="dxa"/>
            <w:vAlign w:val="bottom"/>
            <w:tcBorders>
              <w:bottom w:val="single" w:sz="8" w:color="FFCF01"/>
            </w:tcBorders>
          </w:tcPr>
          <w:p>
            <w:pPr>
              <w:spacing w:after="0" w:line="20" w:lineRule="exact"/>
              <w:rPr>
                <w:sz w:val="1"/>
                <w:szCs w:val="1"/>
                <w:color w:val="auto"/>
              </w:rPr>
            </w:pPr>
          </w:p>
        </w:tc>
        <w:tc>
          <w:tcPr>
            <w:tcW w:w="2960" w:type="dxa"/>
            <w:vAlign w:val="bottom"/>
            <w:tcBorders>
              <w:bottom w:val="single" w:sz="8" w:color="FFCF01"/>
            </w:tcBorders>
          </w:tcPr>
          <w:p>
            <w:pPr>
              <w:spacing w:after="0" w:line="20" w:lineRule="exact"/>
              <w:rPr>
                <w:sz w:val="1"/>
                <w:szCs w:val="1"/>
                <w:color w:val="auto"/>
              </w:rPr>
            </w:pPr>
          </w:p>
        </w:tc>
        <w:tc>
          <w:tcPr>
            <w:tcW w:w="3160" w:type="dxa"/>
            <w:vAlign w:val="bottom"/>
            <w:tcBorders>
              <w:bottom w:val="single" w:sz="8" w:color="FFCF01"/>
            </w:tcBorders>
          </w:tcPr>
          <w:p>
            <w:pPr>
              <w:spacing w:after="0" w:line="20" w:lineRule="exact"/>
              <w:rPr>
                <w:sz w:val="1"/>
                <w:szCs w:val="1"/>
                <w:color w:val="auto"/>
              </w:rPr>
            </w:pPr>
          </w:p>
        </w:tc>
      </w:tr>
      <w:tr>
        <w:trPr>
          <w:trHeight w:val="202"/>
        </w:trPr>
        <w:tc>
          <w:tcPr>
            <w:tcW w:w="2600" w:type="dxa"/>
            <w:vAlign w:val="bottom"/>
          </w:tcPr>
          <w:p>
            <w:pPr>
              <w:ind w:left="100"/>
              <w:spacing w:after="0"/>
              <w:rPr>
                <w:sz w:val="20"/>
                <w:szCs w:val="20"/>
                <w:color w:val="auto"/>
              </w:rPr>
            </w:pPr>
            <w:r>
              <w:rPr>
                <w:rFonts w:ascii="Arial" w:cs="Arial" w:eastAsia="Arial" w:hAnsi="Arial"/>
                <w:sz w:val="14"/>
                <w:szCs w:val="14"/>
                <w:color w:val="auto"/>
              </w:rPr>
              <w:t>Bristol-Myers Squibb Company</w:t>
            </w:r>
          </w:p>
        </w:tc>
        <w:tc>
          <w:tcPr>
            <w:tcW w:w="2520" w:type="dxa"/>
            <w:vAlign w:val="bottom"/>
          </w:tcPr>
          <w:p>
            <w:pPr>
              <w:ind w:left="280"/>
              <w:spacing w:after="0"/>
              <w:rPr>
                <w:sz w:val="20"/>
                <w:szCs w:val="20"/>
                <w:color w:val="auto"/>
              </w:rPr>
            </w:pPr>
            <w:r>
              <w:rPr>
                <w:rFonts w:ascii="Arial" w:cs="Arial" w:eastAsia="Arial" w:hAnsi="Arial"/>
                <w:sz w:val="14"/>
                <w:szCs w:val="14"/>
                <w:color w:val="auto"/>
              </w:rPr>
              <w:t>Johnson &amp; Johnson</w:t>
            </w:r>
          </w:p>
        </w:tc>
        <w:tc>
          <w:tcPr>
            <w:tcW w:w="2960" w:type="dxa"/>
            <w:vAlign w:val="bottom"/>
          </w:tcPr>
          <w:p>
            <w:pPr>
              <w:ind w:left="500"/>
              <w:spacing w:after="0"/>
              <w:rPr>
                <w:sz w:val="20"/>
                <w:szCs w:val="20"/>
                <w:color w:val="auto"/>
              </w:rPr>
            </w:pPr>
            <w:r>
              <w:rPr>
                <w:rFonts w:ascii="Arial" w:cs="Arial" w:eastAsia="Arial" w:hAnsi="Arial"/>
                <w:sz w:val="14"/>
                <w:szCs w:val="14"/>
                <w:color w:val="auto"/>
              </w:rPr>
              <w:t>Regeneron Pharmaceuticals, Inc.</w:t>
            </w:r>
          </w:p>
        </w:tc>
        <w:tc>
          <w:tcPr>
            <w:tcW w:w="3160" w:type="dxa"/>
            <w:vAlign w:val="bottom"/>
          </w:tcPr>
          <w:p>
            <w:pPr>
              <w:spacing w:after="0"/>
              <w:rPr>
                <w:sz w:val="17"/>
                <w:szCs w:val="17"/>
                <w:color w:val="auto"/>
              </w:rPr>
            </w:pPr>
          </w:p>
        </w:tc>
      </w:tr>
      <w:tr>
        <w:trPr>
          <w:trHeight w:val="22"/>
        </w:trPr>
        <w:tc>
          <w:tcPr>
            <w:tcW w:w="2600" w:type="dxa"/>
            <w:vAlign w:val="bottom"/>
            <w:tcBorders>
              <w:bottom w:val="single" w:sz="8" w:color="FFCF01"/>
            </w:tcBorders>
          </w:tcPr>
          <w:p>
            <w:pPr>
              <w:spacing w:after="0" w:line="20" w:lineRule="exact"/>
              <w:rPr>
                <w:sz w:val="1"/>
                <w:szCs w:val="1"/>
                <w:color w:val="auto"/>
              </w:rPr>
            </w:pPr>
          </w:p>
        </w:tc>
        <w:tc>
          <w:tcPr>
            <w:tcW w:w="2520" w:type="dxa"/>
            <w:vAlign w:val="bottom"/>
            <w:tcBorders>
              <w:bottom w:val="single" w:sz="8" w:color="FFCF01"/>
            </w:tcBorders>
          </w:tcPr>
          <w:p>
            <w:pPr>
              <w:spacing w:after="0" w:line="20" w:lineRule="exact"/>
              <w:rPr>
                <w:sz w:val="1"/>
                <w:szCs w:val="1"/>
                <w:color w:val="auto"/>
              </w:rPr>
            </w:pPr>
          </w:p>
        </w:tc>
        <w:tc>
          <w:tcPr>
            <w:tcW w:w="2960" w:type="dxa"/>
            <w:vAlign w:val="bottom"/>
            <w:tcBorders>
              <w:bottom w:val="single" w:sz="8" w:color="FFCF01"/>
            </w:tcBorders>
          </w:tcPr>
          <w:p>
            <w:pPr>
              <w:spacing w:after="0" w:line="20" w:lineRule="exact"/>
              <w:rPr>
                <w:sz w:val="1"/>
                <w:szCs w:val="1"/>
                <w:color w:val="auto"/>
              </w:rPr>
            </w:pPr>
          </w:p>
        </w:tc>
        <w:tc>
          <w:tcPr>
            <w:tcW w:w="3160" w:type="dxa"/>
            <w:vAlign w:val="bottom"/>
            <w:tcBorders>
              <w:bottom w:val="single" w:sz="8" w:color="FFCF01"/>
            </w:tcBorders>
          </w:tcPr>
          <w:p>
            <w:pPr>
              <w:spacing w:after="0" w:line="20" w:lineRule="exact"/>
              <w:rPr>
                <w:sz w:val="1"/>
                <w:szCs w:val="1"/>
                <w:color w:val="auto"/>
              </w:rPr>
            </w:pPr>
          </w:p>
        </w:tc>
      </w:tr>
      <w:tr>
        <w:trPr>
          <w:trHeight w:val="201"/>
        </w:trPr>
        <w:tc>
          <w:tcPr>
            <w:tcW w:w="2600" w:type="dxa"/>
            <w:vAlign w:val="bottom"/>
          </w:tcPr>
          <w:p>
            <w:pPr>
              <w:ind w:left="100"/>
              <w:spacing w:after="0"/>
              <w:rPr>
                <w:sz w:val="20"/>
                <w:szCs w:val="20"/>
                <w:color w:val="auto"/>
              </w:rPr>
            </w:pPr>
            <w:r>
              <w:rPr>
                <w:rFonts w:ascii="Arial" w:cs="Arial" w:eastAsia="Arial" w:hAnsi="Arial"/>
                <w:sz w:val="14"/>
                <w:szCs w:val="14"/>
                <w:color w:val="auto"/>
              </w:rPr>
              <w:t>Catalent, Inc.</w:t>
            </w:r>
          </w:p>
        </w:tc>
        <w:tc>
          <w:tcPr>
            <w:tcW w:w="2520" w:type="dxa"/>
            <w:vAlign w:val="bottom"/>
          </w:tcPr>
          <w:p>
            <w:pPr>
              <w:ind w:left="280"/>
              <w:spacing w:after="0"/>
              <w:rPr>
                <w:sz w:val="20"/>
                <w:szCs w:val="20"/>
                <w:color w:val="auto"/>
              </w:rPr>
            </w:pPr>
            <w:r>
              <w:rPr>
                <w:rFonts w:ascii="Arial" w:cs="Arial" w:eastAsia="Arial" w:hAnsi="Arial"/>
                <w:sz w:val="14"/>
                <w:szCs w:val="14"/>
                <w:color w:val="auto"/>
              </w:rPr>
              <w:t>Merck &amp; Co., Inc.</w:t>
            </w:r>
          </w:p>
        </w:tc>
        <w:tc>
          <w:tcPr>
            <w:tcW w:w="2960" w:type="dxa"/>
            <w:vAlign w:val="bottom"/>
          </w:tcPr>
          <w:p>
            <w:pPr>
              <w:ind w:left="500"/>
              <w:spacing w:after="0"/>
              <w:rPr>
                <w:sz w:val="20"/>
                <w:szCs w:val="20"/>
                <w:color w:val="auto"/>
              </w:rPr>
            </w:pPr>
            <w:r>
              <w:rPr>
                <w:rFonts w:ascii="Arial" w:cs="Arial" w:eastAsia="Arial" w:hAnsi="Arial"/>
                <w:sz w:val="14"/>
                <w:szCs w:val="14"/>
                <w:color w:val="auto"/>
              </w:rPr>
              <w:t>Royalty Pharma plc</w:t>
            </w:r>
          </w:p>
        </w:tc>
        <w:tc>
          <w:tcPr>
            <w:tcW w:w="3160" w:type="dxa"/>
            <w:vAlign w:val="bottom"/>
          </w:tcPr>
          <w:p>
            <w:pPr>
              <w:spacing w:after="0"/>
              <w:rPr>
                <w:sz w:val="17"/>
                <w:szCs w:val="17"/>
                <w:color w:val="auto"/>
              </w:rPr>
            </w:pPr>
          </w:p>
        </w:tc>
      </w:tr>
      <w:tr>
        <w:trPr>
          <w:trHeight w:val="22"/>
        </w:trPr>
        <w:tc>
          <w:tcPr>
            <w:tcW w:w="2600" w:type="dxa"/>
            <w:vAlign w:val="bottom"/>
            <w:tcBorders>
              <w:bottom w:val="single" w:sz="8" w:color="FFCF01"/>
            </w:tcBorders>
          </w:tcPr>
          <w:p>
            <w:pPr>
              <w:spacing w:after="0" w:line="20" w:lineRule="exact"/>
              <w:rPr>
                <w:sz w:val="1"/>
                <w:szCs w:val="1"/>
                <w:color w:val="auto"/>
              </w:rPr>
            </w:pPr>
          </w:p>
        </w:tc>
        <w:tc>
          <w:tcPr>
            <w:tcW w:w="2520" w:type="dxa"/>
            <w:vAlign w:val="bottom"/>
            <w:tcBorders>
              <w:bottom w:val="single" w:sz="8" w:color="FFCF01"/>
            </w:tcBorders>
          </w:tcPr>
          <w:p>
            <w:pPr>
              <w:spacing w:after="0" w:line="20" w:lineRule="exact"/>
              <w:rPr>
                <w:sz w:val="1"/>
                <w:szCs w:val="1"/>
                <w:color w:val="auto"/>
              </w:rPr>
            </w:pPr>
          </w:p>
        </w:tc>
        <w:tc>
          <w:tcPr>
            <w:tcW w:w="2960" w:type="dxa"/>
            <w:vAlign w:val="bottom"/>
            <w:tcBorders>
              <w:bottom w:val="single" w:sz="8" w:color="FFCF01"/>
            </w:tcBorders>
          </w:tcPr>
          <w:p>
            <w:pPr>
              <w:spacing w:after="0" w:line="20" w:lineRule="exact"/>
              <w:rPr>
                <w:sz w:val="1"/>
                <w:szCs w:val="1"/>
                <w:color w:val="auto"/>
              </w:rPr>
            </w:pPr>
          </w:p>
        </w:tc>
        <w:tc>
          <w:tcPr>
            <w:tcW w:w="3160" w:type="dxa"/>
            <w:vAlign w:val="bottom"/>
            <w:tcBorders>
              <w:bottom w:val="single" w:sz="8" w:color="FFCF01"/>
            </w:tcBorders>
          </w:tcPr>
          <w:p>
            <w:pPr>
              <w:spacing w:after="0" w:line="20" w:lineRule="exact"/>
              <w:rPr>
                <w:sz w:val="1"/>
                <w:szCs w:val="1"/>
                <w:color w:val="auto"/>
              </w:rPr>
            </w:pPr>
          </w:p>
        </w:tc>
      </w:tr>
      <w:tr>
        <w:trPr>
          <w:trHeight w:val="271"/>
        </w:trPr>
        <w:tc>
          <w:tcPr>
            <w:tcW w:w="2600" w:type="dxa"/>
            <w:vAlign w:val="bottom"/>
            <w:tcBorders>
              <w:bottom w:val="single" w:sz="8" w:color="FFCF01"/>
            </w:tcBorders>
          </w:tcPr>
          <w:p>
            <w:pPr>
              <w:ind w:left="100"/>
              <w:spacing w:after="0"/>
              <w:rPr>
                <w:sz w:val="20"/>
                <w:szCs w:val="20"/>
                <w:color w:val="auto"/>
              </w:rPr>
            </w:pPr>
            <w:r>
              <w:rPr>
                <w:rFonts w:ascii="Arial" w:cs="Arial" w:eastAsia="Arial" w:hAnsi="Arial"/>
                <w:sz w:val="14"/>
                <w:szCs w:val="14"/>
                <w:color w:val="auto"/>
              </w:rPr>
              <w:t>Elanco Animal Health Incorporated</w:t>
            </w:r>
          </w:p>
        </w:tc>
        <w:tc>
          <w:tcPr>
            <w:tcW w:w="2520" w:type="dxa"/>
            <w:vAlign w:val="bottom"/>
            <w:tcBorders>
              <w:bottom w:val="single" w:sz="8" w:color="FFCF01"/>
            </w:tcBorders>
          </w:tcPr>
          <w:p>
            <w:pPr>
              <w:ind w:left="280"/>
              <w:spacing w:after="0"/>
              <w:rPr>
                <w:sz w:val="20"/>
                <w:szCs w:val="20"/>
                <w:color w:val="auto"/>
              </w:rPr>
            </w:pPr>
            <w:r>
              <w:rPr>
                <w:rFonts w:ascii="Arial" w:cs="Arial" w:eastAsia="Arial" w:hAnsi="Arial"/>
                <w:sz w:val="14"/>
                <w:szCs w:val="14"/>
                <w:color w:val="auto"/>
              </w:rPr>
              <w:t>Mirati Therapeutics</w:t>
            </w:r>
            <w:r>
              <w:rPr>
                <w:rFonts w:ascii="Arial" w:cs="Arial" w:eastAsia="Arial" w:hAnsi="Arial"/>
                <w:sz w:val="18"/>
                <w:szCs w:val="18"/>
                <w:color w:val="auto"/>
                <w:vertAlign w:val="superscript"/>
              </w:rPr>
              <w:t>(2)</w:t>
            </w:r>
          </w:p>
        </w:tc>
        <w:tc>
          <w:tcPr>
            <w:tcW w:w="2960" w:type="dxa"/>
            <w:vAlign w:val="bottom"/>
            <w:tcBorders>
              <w:bottom w:val="single" w:sz="8" w:color="FFCF01"/>
            </w:tcBorders>
          </w:tcPr>
          <w:p>
            <w:pPr>
              <w:ind w:left="500"/>
              <w:spacing w:after="0"/>
              <w:rPr>
                <w:sz w:val="20"/>
                <w:szCs w:val="20"/>
                <w:color w:val="auto"/>
              </w:rPr>
            </w:pPr>
            <w:r>
              <w:rPr>
                <w:rFonts w:ascii="Arial" w:cs="Arial" w:eastAsia="Arial" w:hAnsi="Arial"/>
                <w:sz w:val="14"/>
                <w:szCs w:val="14"/>
                <w:color w:val="auto"/>
              </w:rPr>
              <w:t>Sarepta Therapeutics, Inc.</w:t>
            </w:r>
          </w:p>
        </w:tc>
        <w:tc>
          <w:tcPr>
            <w:tcW w:w="3160" w:type="dxa"/>
            <w:vAlign w:val="bottom"/>
            <w:tcBorders>
              <w:bottom w:val="single" w:sz="8" w:color="FFCF01"/>
            </w:tcBorders>
          </w:tcPr>
          <w:p>
            <w:pPr>
              <w:spacing w:after="0"/>
              <w:rPr>
                <w:sz w:val="23"/>
                <w:szCs w:val="23"/>
                <w:color w:val="auto"/>
              </w:rPr>
            </w:pPr>
          </w:p>
        </w:tc>
      </w:tr>
      <w:tr>
        <w:trPr>
          <w:trHeight w:val="277"/>
        </w:trPr>
        <w:tc>
          <w:tcPr>
            <w:tcW w:w="2600" w:type="dxa"/>
            <w:vAlign w:val="bottom"/>
            <w:tcBorders>
              <w:bottom w:val="single" w:sz="8" w:color="FFCF01"/>
            </w:tcBorders>
          </w:tcPr>
          <w:p>
            <w:pPr>
              <w:ind w:left="100"/>
              <w:spacing w:after="0"/>
              <w:rPr>
                <w:sz w:val="20"/>
                <w:szCs w:val="20"/>
                <w:color w:val="auto"/>
              </w:rPr>
            </w:pPr>
            <w:r>
              <w:rPr>
                <w:rFonts w:ascii="Arial" w:cs="Arial" w:eastAsia="Arial" w:hAnsi="Arial"/>
                <w:sz w:val="14"/>
                <w:szCs w:val="14"/>
                <w:color w:val="auto"/>
              </w:rPr>
              <w:t>Eli Lilly and Company</w:t>
            </w:r>
          </w:p>
        </w:tc>
        <w:tc>
          <w:tcPr>
            <w:tcW w:w="2520" w:type="dxa"/>
            <w:vAlign w:val="bottom"/>
            <w:tcBorders>
              <w:bottom w:val="single" w:sz="8" w:color="FFCF01"/>
            </w:tcBorders>
          </w:tcPr>
          <w:p>
            <w:pPr>
              <w:ind w:left="280"/>
              <w:spacing w:after="0"/>
              <w:rPr>
                <w:sz w:val="20"/>
                <w:szCs w:val="20"/>
                <w:color w:val="auto"/>
              </w:rPr>
            </w:pPr>
            <w:r>
              <w:rPr>
                <w:rFonts w:ascii="Arial" w:cs="Arial" w:eastAsia="Arial" w:hAnsi="Arial"/>
                <w:sz w:val="14"/>
                <w:szCs w:val="14"/>
                <w:color w:val="auto"/>
              </w:rPr>
              <w:t>Moderna, Inc.</w:t>
            </w:r>
          </w:p>
        </w:tc>
        <w:tc>
          <w:tcPr>
            <w:tcW w:w="2960" w:type="dxa"/>
            <w:vAlign w:val="bottom"/>
            <w:tcBorders>
              <w:bottom w:val="single" w:sz="8" w:color="FFCF01"/>
            </w:tcBorders>
          </w:tcPr>
          <w:p>
            <w:pPr>
              <w:ind w:left="500"/>
              <w:spacing w:after="0"/>
              <w:rPr>
                <w:sz w:val="20"/>
                <w:szCs w:val="20"/>
                <w:color w:val="auto"/>
              </w:rPr>
            </w:pPr>
            <w:r>
              <w:rPr>
                <w:rFonts w:ascii="Arial" w:cs="Arial" w:eastAsia="Arial" w:hAnsi="Arial"/>
                <w:sz w:val="14"/>
                <w:szCs w:val="14"/>
                <w:color w:val="auto"/>
              </w:rPr>
              <w:t>Seagen Inc.</w:t>
            </w:r>
            <w:r>
              <w:rPr>
                <w:rFonts w:ascii="Arial" w:cs="Arial" w:eastAsia="Arial" w:hAnsi="Arial"/>
                <w:sz w:val="18"/>
                <w:szCs w:val="18"/>
                <w:color w:val="auto"/>
                <w:vertAlign w:val="superscript"/>
              </w:rPr>
              <w:t>(3)</w:t>
            </w:r>
          </w:p>
        </w:tc>
        <w:tc>
          <w:tcPr>
            <w:tcW w:w="3160" w:type="dxa"/>
            <w:vAlign w:val="bottom"/>
            <w:tcBorders>
              <w:bottom w:val="single" w:sz="8" w:color="FFCF01"/>
            </w:tcBorders>
          </w:tcPr>
          <w:p>
            <w:pPr>
              <w:spacing w:after="0"/>
              <w:rPr>
                <w:sz w:val="24"/>
                <w:szCs w:val="24"/>
                <w:color w:val="auto"/>
              </w:rPr>
            </w:pPr>
          </w:p>
        </w:tc>
      </w:tr>
      <w:tr>
        <w:trPr>
          <w:trHeight w:val="208"/>
        </w:trPr>
        <w:tc>
          <w:tcPr>
            <w:tcW w:w="2600" w:type="dxa"/>
            <w:vAlign w:val="bottom"/>
          </w:tcPr>
          <w:p>
            <w:pPr>
              <w:ind w:left="100"/>
              <w:spacing w:after="0"/>
              <w:rPr>
                <w:sz w:val="20"/>
                <w:szCs w:val="20"/>
                <w:color w:val="auto"/>
              </w:rPr>
            </w:pPr>
            <w:r>
              <w:rPr>
                <w:rFonts w:ascii="Arial" w:cs="Arial" w:eastAsia="Arial" w:hAnsi="Arial"/>
                <w:sz w:val="14"/>
                <w:szCs w:val="14"/>
                <w:color w:val="auto"/>
              </w:rPr>
              <w:t>Exact Sciences Corporation</w:t>
            </w:r>
          </w:p>
        </w:tc>
        <w:tc>
          <w:tcPr>
            <w:tcW w:w="2520" w:type="dxa"/>
            <w:vAlign w:val="bottom"/>
          </w:tcPr>
          <w:p>
            <w:pPr>
              <w:ind w:left="280"/>
              <w:spacing w:after="0"/>
              <w:rPr>
                <w:sz w:val="20"/>
                <w:szCs w:val="20"/>
                <w:color w:val="auto"/>
              </w:rPr>
            </w:pPr>
            <w:r>
              <w:rPr>
                <w:rFonts w:ascii="Arial" w:cs="Arial" w:eastAsia="Arial" w:hAnsi="Arial"/>
                <w:sz w:val="14"/>
                <w:szCs w:val="14"/>
                <w:color w:val="auto"/>
              </w:rPr>
              <w:t>Natera, Inc.</w:t>
            </w:r>
          </w:p>
        </w:tc>
        <w:tc>
          <w:tcPr>
            <w:tcW w:w="2960" w:type="dxa"/>
            <w:vAlign w:val="bottom"/>
          </w:tcPr>
          <w:p>
            <w:pPr>
              <w:ind w:left="500"/>
              <w:spacing w:after="0"/>
              <w:rPr>
                <w:sz w:val="20"/>
                <w:szCs w:val="20"/>
                <w:color w:val="auto"/>
              </w:rPr>
            </w:pPr>
            <w:r>
              <w:rPr>
                <w:rFonts w:ascii="Arial" w:cs="Arial" w:eastAsia="Arial" w:hAnsi="Arial"/>
                <w:sz w:val="14"/>
                <w:szCs w:val="14"/>
                <w:color w:val="auto"/>
              </w:rPr>
              <w:t>Ultragenyx Pharmaceutical Inc.</w:t>
            </w:r>
          </w:p>
        </w:tc>
        <w:tc>
          <w:tcPr>
            <w:tcW w:w="3160" w:type="dxa"/>
            <w:vAlign w:val="bottom"/>
          </w:tcPr>
          <w:p>
            <w:pPr>
              <w:spacing w:after="0"/>
              <w:rPr>
                <w:sz w:val="18"/>
                <w:szCs w:val="18"/>
                <w:color w:val="auto"/>
              </w:rPr>
            </w:pPr>
          </w:p>
        </w:tc>
      </w:tr>
      <w:tr>
        <w:trPr>
          <w:trHeight w:val="22"/>
        </w:trPr>
        <w:tc>
          <w:tcPr>
            <w:tcW w:w="2600" w:type="dxa"/>
            <w:vAlign w:val="bottom"/>
            <w:tcBorders>
              <w:bottom w:val="single" w:sz="8" w:color="852166"/>
            </w:tcBorders>
          </w:tcPr>
          <w:p>
            <w:pPr>
              <w:spacing w:after="0" w:line="20" w:lineRule="exact"/>
              <w:rPr>
                <w:sz w:val="1"/>
                <w:szCs w:val="1"/>
                <w:color w:val="auto"/>
              </w:rPr>
            </w:pPr>
          </w:p>
        </w:tc>
        <w:tc>
          <w:tcPr>
            <w:tcW w:w="2520" w:type="dxa"/>
            <w:vAlign w:val="bottom"/>
            <w:tcBorders>
              <w:bottom w:val="single" w:sz="8" w:color="852166"/>
            </w:tcBorders>
          </w:tcPr>
          <w:p>
            <w:pPr>
              <w:spacing w:after="0" w:line="20" w:lineRule="exact"/>
              <w:rPr>
                <w:sz w:val="1"/>
                <w:szCs w:val="1"/>
                <w:color w:val="auto"/>
              </w:rPr>
            </w:pPr>
          </w:p>
        </w:tc>
        <w:tc>
          <w:tcPr>
            <w:tcW w:w="2960" w:type="dxa"/>
            <w:vAlign w:val="bottom"/>
            <w:tcBorders>
              <w:bottom w:val="single" w:sz="8" w:color="852166"/>
            </w:tcBorders>
          </w:tcPr>
          <w:p>
            <w:pPr>
              <w:spacing w:after="0" w:line="20" w:lineRule="exact"/>
              <w:rPr>
                <w:sz w:val="1"/>
                <w:szCs w:val="1"/>
                <w:color w:val="auto"/>
              </w:rPr>
            </w:pPr>
          </w:p>
        </w:tc>
        <w:tc>
          <w:tcPr>
            <w:tcW w:w="3160" w:type="dxa"/>
            <w:vAlign w:val="bottom"/>
            <w:tcBorders>
              <w:bottom w:val="single" w:sz="8" w:color="852166"/>
            </w:tcBorders>
          </w:tcPr>
          <w:p>
            <w:pPr>
              <w:spacing w:after="0" w:line="20" w:lineRule="exact"/>
              <w:rPr>
                <w:sz w:val="1"/>
                <w:szCs w:val="1"/>
                <w:color w:val="auto"/>
              </w:rPr>
            </w:pPr>
          </w:p>
        </w:tc>
      </w:tr>
    </w:tbl>
    <w:p>
      <w:pPr>
        <w:spacing w:after="0" w:line="139"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Acquired by Amgen Inc. in October 2023.</w:t>
      </w:r>
    </w:p>
    <w:p>
      <w:pPr>
        <w:spacing w:after="0" w:line="82" w:lineRule="exact"/>
        <w:rPr>
          <w:rFonts w:ascii="Arial" w:cs="Arial" w:eastAsia="Arial" w:hAnsi="Arial"/>
          <w:sz w:val="14"/>
          <w:szCs w:val="14"/>
          <w:color w:val="auto"/>
        </w:rPr>
      </w:pPr>
    </w:p>
    <w:p>
      <w:pPr>
        <w:ind w:left="340" w:hanging="332"/>
        <w:spacing w:after="0"/>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Acquired by Bristol Myers Squibb in January 2024.</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Acquired by Pfizer Inc. in December 2023.</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Companies that are acquired during the performance period will be removed from the final calculation.</w:t>
      </w:r>
    </w:p>
    <w:p>
      <w:pPr>
        <w:spacing w:after="0" w:line="253" w:lineRule="exact"/>
        <w:rPr>
          <w:sz w:val="20"/>
          <w:szCs w:val="20"/>
          <w:color w:val="auto"/>
        </w:rPr>
      </w:pPr>
    </w:p>
    <w:p>
      <w:pPr>
        <w:ind w:right="200"/>
        <w:spacing w:after="0" w:line="319" w:lineRule="auto"/>
        <w:rPr>
          <w:sz w:val="20"/>
          <w:szCs w:val="20"/>
          <w:color w:val="auto"/>
        </w:rPr>
      </w:pPr>
      <w:r>
        <w:rPr>
          <w:rFonts w:ascii="Arial" w:cs="Arial" w:eastAsia="Arial" w:hAnsi="Arial"/>
          <w:sz w:val="16"/>
          <w:szCs w:val="16"/>
          <w:color w:val="auto"/>
        </w:rPr>
        <w:t xml:space="preserve">The 2023 PSUs are subject to potential vesting acceleration upon the NEO’s termination in connection with a change in control, as well as upon death, disability or retirement, as described below under the heading, </w:t>
      </w:r>
      <w:r>
        <w:rPr>
          <w:rFonts w:ascii="Arial" w:cs="Arial" w:eastAsia="Arial" w:hAnsi="Arial"/>
          <w:sz w:val="16"/>
          <w:szCs w:val="16"/>
          <w:i w:val="1"/>
          <w:iCs w:val="1"/>
          <w:color w:val="auto"/>
        </w:rPr>
        <w:t>“Potential Payments upon Termination or Change in Control—Treatment of 2021, 2022 and</w:t>
      </w:r>
      <w:r>
        <w:rPr>
          <w:rFonts w:ascii="Arial" w:cs="Arial" w:eastAsia="Arial" w:hAnsi="Arial"/>
          <w:sz w:val="16"/>
          <w:szCs w:val="16"/>
          <w:color w:val="auto"/>
        </w:rPr>
        <w:t xml:space="preserve"> </w:t>
      </w:r>
      <w:r>
        <w:rPr>
          <w:rFonts w:ascii="Arial" w:cs="Arial" w:eastAsia="Arial" w:hAnsi="Arial"/>
          <w:sz w:val="16"/>
          <w:szCs w:val="16"/>
          <w:i w:val="1"/>
          <w:iCs w:val="1"/>
          <w:color w:val="auto"/>
        </w:rPr>
        <w:t>2023 PSUs.”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407"/>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7" w:name="page58"/>
    <w:bookmarkEnd w:id="57"/>
    <w:p>
      <w:pPr>
        <w:spacing w:after="0"/>
        <w:rPr>
          <w:sz w:val="20"/>
          <w:szCs w:val="20"/>
          <w:color w:val="auto"/>
        </w:rPr>
      </w:pPr>
      <w:r>
        <w:rPr>
          <w:rFonts w:ascii="Arial" w:cs="Arial" w:eastAsia="Arial" w:hAnsi="Arial"/>
          <w:sz w:val="20"/>
          <w:szCs w:val="20"/>
          <w:b w:val="1"/>
          <w:bCs w:val="1"/>
          <w:color w:val="852166"/>
        </w:rPr>
        <w:t>2023 Compensation Decisions for Our Named Executive Officers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General Approach</w:t>
      </w:r>
    </w:p>
    <w:p>
      <w:pPr>
        <w:spacing w:after="0" w:line="140"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 xml:space="preserve">For making 2023 compensation decisions, our compensation committee considered the factors discussed in </w:t>
      </w:r>
      <w:r>
        <w:rPr>
          <w:rFonts w:ascii="Arial" w:cs="Arial" w:eastAsia="Arial" w:hAnsi="Arial"/>
          <w:sz w:val="16"/>
          <w:szCs w:val="16"/>
          <w:i w:val="1"/>
          <w:iCs w:val="1"/>
          <w:color w:val="auto"/>
        </w:rPr>
        <w:t>“How We Determine Executive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—Factors Used in Determining Executive Compensation” </w:t>
      </w:r>
      <w:r>
        <w:rPr>
          <w:rFonts w:ascii="Arial" w:cs="Arial" w:eastAsia="Arial" w:hAnsi="Arial"/>
          <w:sz w:val="16"/>
          <w:szCs w:val="16"/>
          <w:color w:val="auto"/>
        </w:rPr>
        <w:t>above and our compensation committee’s specific compensation objectives for 2023.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did not use a formula or assign a particular weight to any one factor in determining each NEO’s target total direct compensation. Rather, our compensation committee’s determination of the target total direct compensation, mix of cash and equity and fixed and variable, “at-risk” pay opportunities was a subjective, individualized decision for each NEO. Our compensation committee reviewed and considered each element of pay in the context of the overall target total direct compensation for each NEO. When our compensation committee made changes to one element of pay, those changes were made in the context of the levels of the other elements of pay, and the resulting target total direct compensation for each NEO. As a result, the 2023 pay decisions for each NEO are presented holistically in this section.</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Summary of 2023 Compensation Decisions</w:t>
      </w:r>
    </w:p>
    <w:p>
      <w:pPr>
        <w:spacing w:after="0" w:line="14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b w:val="1"/>
          <w:bCs w:val="1"/>
          <w:color w:val="auto"/>
        </w:rPr>
        <w:t xml:space="preserve">Target Total Cash Compensation. </w:t>
      </w:r>
      <w:r>
        <w:rPr>
          <w:rFonts w:ascii="Arial" w:cs="Arial" w:eastAsia="Arial" w:hAnsi="Arial"/>
          <w:sz w:val="16"/>
          <w:szCs w:val="16"/>
          <w:color w:val="auto"/>
        </w:rPr>
        <w:t>Our compensation committee (and board, with respect to Mr. Cozadd) increased total target cash compensation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9.2% for Mr. Cozadd and in varying amounts for our other NEOs. Base salary rate increases were a result of each NEO’s individual performance, responsibilities, market data reference points and total pay opportunities, which were effective in March 2023. Our compensation committee increased the target performance bonus percentages from 2022 for four of the NEOs as described below in </w:t>
      </w:r>
      <w:r>
        <w:rPr>
          <w:rFonts w:ascii="Arial" w:cs="Arial" w:eastAsia="Arial" w:hAnsi="Arial"/>
          <w:sz w:val="16"/>
          <w:szCs w:val="16"/>
          <w:i w:val="1"/>
          <w:iCs w:val="1"/>
          <w:color w:val="auto"/>
        </w:rPr>
        <w:t>“Individual NEO Compensation Decisions.”</w:t>
      </w:r>
    </w:p>
    <w:p>
      <w:pPr>
        <w:spacing w:after="0" w:line="74"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color w:val="auto"/>
        </w:rPr>
        <w:t>Target Equity Compensation and Impact on Target Total Direct Compensation</w:t>
      </w:r>
      <w:r>
        <w:rPr>
          <w:rFonts w:ascii="Arial" w:cs="Arial" w:eastAsia="Arial" w:hAnsi="Arial"/>
          <w:sz w:val="16"/>
          <w:szCs w:val="16"/>
          <w:color w:val="auto"/>
        </w:rPr>
        <w:t>. To determine the size of 2023 equity awards, our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(and our board, with respect to Mr. Cozadd) made its decisions, after careful consideration, seeking to deliver equity awards to each executive officer based on overall equity and total compensation competitiveness to reinforce our retention and incentive objectives, to facilitate stock ownership and manage overall dilution to our shareholders. With the 2023 target equity compensation grant, our compensation committee (and our board, with respect to Mr. Cozadd) approved total target direct compensation reflecting a 1.4% increase for Mr. Cozadd. The other NEOs each received a larger increase to ensure that each NEO’s target equity opportunity was positioned competitively with the market.</w:t>
      </w:r>
    </w:p>
    <w:p>
      <w:pPr>
        <w:spacing w:after="0" w:line="78"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b w:val="1"/>
          <w:bCs w:val="1"/>
          <w:color w:val="auto"/>
        </w:rPr>
        <w:t>Long-Term Incentive Program</w:t>
      </w:r>
      <w:r>
        <w:rPr>
          <w:rFonts w:ascii="Arial" w:cs="Arial" w:eastAsia="Arial" w:hAnsi="Arial"/>
          <w:sz w:val="16"/>
          <w:szCs w:val="16"/>
          <w:color w:val="auto"/>
        </w:rPr>
        <w:t>. Our long-term incentive program is designed to align the interests of management with our shareholders and focus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management’s attention on long-term, sustained growth. For our NEOs and other executive officers, long-term incentives are delivered in equal mix of PSUs that vest based on achievement of pre-established multi-year performance goals and time-vesting RSUs. Our compensation committee believes this mix strikes the right balance between the variable nature of PSUs and the retentive nature of RSUs. The vesting terms and structure of our PSUs granted in 2023 is discussed in </w:t>
      </w:r>
      <w:r>
        <w:rPr>
          <w:rFonts w:ascii="Arial" w:cs="Arial" w:eastAsia="Arial" w:hAnsi="Arial"/>
          <w:sz w:val="16"/>
          <w:szCs w:val="16"/>
          <w:i w:val="1"/>
          <w:iCs w:val="1"/>
          <w:color w:val="auto"/>
        </w:rPr>
        <w:t>“Goals for and Achievement of 2023 Performance-Based Compensation—2023 – 2025 PSU Program”</w:t>
      </w:r>
      <w:r>
        <w:rPr>
          <w:rFonts w:ascii="Arial" w:cs="Arial" w:eastAsia="Arial" w:hAnsi="Arial"/>
          <w:sz w:val="16"/>
          <w:szCs w:val="16"/>
          <w:color w:val="auto"/>
        </w:rPr>
        <w:t xml:space="preserve"> above.</w:t>
      </w:r>
    </w:p>
    <w:p>
      <w:pPr>
        <w:spacing w:after="0" w:line="77"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The share amounts underlying the PSUs and RSUs granted to each executive officer in 2023 were determined by dividing the target fair value of the award that our compensation committee and, in the case of Mr. Cozadd, our board, intended to deliver, by our 30-day average share price immediately preceding the grant date. We used a 30-day average share price, rather than a single day share price, to provide a more stabilized share value less susceptible to possible swings in the market. The grant date fair value of the RSUs and PSUs, as reported in the Summary Compensation Table and Grants of Plan-Based Awards Table in accordance with SEC rules and Financial Accounting Standards Board Accounting Standards Codification Topic 718, Compensation—Stock Compensation, or FASB ASC 718, is based on the closing price of our ordinary shares on the grant date (with respect to RSUs) and based on a Monte Carlo simulation model (with respect to PSUs). The values for the RSUs and PSUs shown in the Summary Compensation Table and Grants of Plan-Based Awards Table differ from the intended target values and do not fully reflect the considerations of, and decisions made by, our compensation committee and our board in its determination of the equity grants in this respect.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Conclusion of Performance Period for 2021 PSUs</w:t>
      </w:r>
    </w:p>
    <w:p>
      <w:pPr>
        <w:spacing w:after="0" w:line="127" w:lineRule="exact"/>
        <w:rPr>
          <w:sz w:val="20"/>
          <w:szCs w:val="20"/>
          <w:color w:val="auto"/>
        </w:rPr>
      </w:pPr>
    </w:p>
    <w:p>
      <w:pPr>
        <w:ind w:right="100"/>
        <w:spacing w:after="0" w:line="319" w:lineRule="auto"/>
        <w:rPr>
          <w:sz w:val="20"/>
          <w:szCs w:val="20"/>
          <w:color w:val="auto"/>
        </w:rPr>
      </w:pPr>
      <w:r>
        <w:rPr>
          <w:rFonts w:ascii="Arial" w:cs="Arial" w:eastAsia="Arial" w:hAnsi="Arial"/>
          <w:sz w:val="16"/>
          <w:szCs w:val="16"/>
          <w:color w:val="auto"/>
        </w:rPr>
        <w:t>At the closing of the acquisition of GW Pharmaceuticals, which occurred on May 5, 2021, members of the combined company management team, including each of the NEOs, were granted PSUs. The performance period for these PSUs concluded on December 31, 2023. The awards were subject to vesting based upon achievement of commercial and development goals, modified by a TSR ranking versus peers, measured during the same period.</w:t>
      </w:r>
    </w:p>
    <w:p>
      <w:pPr>
        <w:spacing w:after="0" w:line="200" w:lineRule="exact"/>
        <w:rPr>
          <w:sz w:val="20"/>
          <w:szCs w:val="20"/>
          <w:color w:val="auto"/>
        </w:rPr>
      </w:pPr>
    </w:p>
    <w:p>
      <w:pPr>
        <w:spacing w:after="0" w:line="354"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5" w:right="359" w:bottom="1440" w:gutter="0" w:footer="0" w:header="0"/>
        </w:sectPr>
      </w:pPr>
    </w:p>
    <w:bookmarkStart w:id="58" w:name="page59"/>
    <w:bookmarkEnd w:id="58"/>
    <w:p>
      <w:pPr>
        <w:jc w:val="both"/>
        <w:ind w:right="120"/>
        <w:spacing w:after="0" w:line="310" w:lineRule="auto"/>
        <w:rPr>
          <w:sz w:val="20"/>
          <w:szCs w:val="20"/>
          <w:color w:val="auto"/>
        </w:rPr>
      </w:pPr>
      <w:r>
        <w:rPr>
          <w:rFonts w:ascii="Arial" w:cs="Arial" w:eastAsia="Arial" w:hAnsi="Arial"/>
          <w:sz w:val="16"/>
          <w:szCs w:val="16"/>
          <w:color w:val="auto"/>
        </w:rPr>
        <w:t>As shown in the table and accompanying footnotes below, the commercial and development objectives were achieved at 96% of target. However, our TSR ranked in the 26th percentile against peers, which reduced the payout by 24% based on the schedule that was established by our compensation committee at the time of grant. As a result, the final payout of the 2021-2023 PSU award cycle was 73% of target.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80" w:type="dxa"/>
            <w:vAlign w:val="bottom"/>
            <w:shd w:val="clear" w:color="auto" w:fill="852166"/>
          </w:tcPr>
          <w:p>
            <w:pPr>
              <w:spacing w:after="0"/>
              <w:rPr>
                <w:sz w:val="22"/>
                <w:szCs w:val="22"/>
                <w:color w:val="auto"/>
              </w:rPr>
            </w:pPr>
          </w:p>
        </w:tc>
        <w:tc>
          <w:tcPr>
            <w:tcW w:w="2300" w:type="dxa"/>
            <w:vAlign w:val="bottom"/>
            <w:shd w:val="clear" w:color="auto" w:fill="852166"/>
          </w:tcPr>
          <w:p>
            <w:pPr>
              <w:spacing w:after="0"/>
              <w:rPr>
                <w:sz w:val="22"/>
                <w:szCs w:val="22"/>
                <w:color w:val="auto"/>
              </w:rPr>
            </w:pPr>
          </w:p>
        </w:tc>
        <w:tc>
          <w:tcPr>
            <w:tcW w:w="1840" w:type="dxa"/>
            <w:vAlign w:val="bottom"/>
            <w:shd w:val="clear" w:color="auto" w:fill="852166"/>
          </w:tcPr>
          <w:p>
            <w:pPr>
              <w:spacing w:after="0"/>
              <w:rPr>
                <w:sz w:val="22"/>
                <w:szCs w:val="22"/>
                <w:color w:val="auto"/>
              </w:rPr>
            </w:pPr>
          </w:p>
        </w:tc>
        <w:tc>
          <w:tcPr>
            <w:tcW w:w="180" w:type="dxa"/>
            <w:vAlign w:val="bottom"/>
            <w:shd w:val="clear" w:color="auto" w:fill="852166"/>
          </w:tcPr>
          <w:p>
            <w:pPr>
              <w:spacing w:after="0"/>
              <w:rPr>
                <w:sz w:val="22"/>
                <w:szCs w:val="22"/>
                <w:color w:val="auto"/>
              </w:rPr>
            </w:pPr>
          </w:p>
        </w:tc>
        <w:tc>
          <w:tcPr>
            <w:tcW w:w="1160" w:type="dxa"/>
            <w:vAlign w:val="bottom"/>
            <w:shd w:val="clear" w:color="auto" w:fill="852166"/>
          </w:tcPr>
          <w:p>
            <w:pPr>
              <w:spacing w:after="0"/>
              <w:rPr>
                <w:sz w:val="22"/>
                <w:szCs w:val="22"/>
                <w:color w:val="auto"/>
              </w:rPr>
            </w:pPr>
          </w:p>
        </w:tc>
        <w:tc>
          <w:tcPr>
            <w:tcW w:w="1320" w:type="dxa"/>
            <w:vAlign w:val="bottom"/>
            <w:shd w:val="clear" w:color="auto" w:fill="852166"/>
          </w:tcPr>
          <w:p>
            <w:pPr>
              <w:jc w:val="right"/>
              <w:ind w:right="408"/>
              <w:spacing w:after="0"/>
              <w:rPr>
                <w:sz w:val="20"/>
                <w:szCs w:val="20"/>
                <w:color w:val="auto"/>
              </w:rPr>
            </w:pPr>
            <w:r>
              <w:rPr>
                <w:rFonts w:ascii="Arial" w:cs="Arial" w:eastAsia="Arial" w:hAnsi="Arial"/>
                <w:sz w:val="14"/>
                <w:szCs w:val="14"/>
                <w:b w:val="1"/>
                <w:bCs w:val="1"/>
                <w:color w:val="FFFFFF"/>
              </w:rPr>
              <w:t>Goals</w:t>
            </w:r>
          </w:p>
        </w:tc>
        <w:tc>
          <w:tcPr>
            <w:tcW w:w="1120" w:type="dxa"/>
            <w:vAlign w:val="bottom"/>
            <w:shd w:val="clear" w:color="auto" w:fill="852166"/>
          </w:tcPr>
          <w:p>
            <w:pPr>
              <w:spacing w:after="0"/>
              <w:rPr>
                <w:sz w:val="22"/>
                <w:szCs w:val="22"/>
                <w:color w:val="auto"/>
              </w:rPr>
            </w:pPr>
          </w:p>
        </w:tc>
        <w:tc>
          <w:tcPr>
            <w:tcW w:w="1920" w:type="dxa"/>
            <w:vAlign w:val="bottom"/>
            <w:shd w:val="clear" w:color="auto" w:fill="852166"/>
          </w:tcPr>
          <w:p>
            <w:pPr>
              <w:spacing w:after="0"/>
              <w:rPr>
                <w:sz w:val="22"/>
                <w:szCs w:val="22"/>
                <w:color w:val="auto"/>
              </w:rPr>
            </w:pPr>
          </w:p>
        </w:tc>
        <w:tc>
          <w:tcPr>
            <w:tcW w:w="1320" w:type="dxa"/>
            <w:vAlign w:val="bottom"/>
            <w:shd w:val="clear" w:color="auto" w:fill="852166"/>
          </w:tcPr>
          <w:p>
            <w:pPr>
              <w:spacing w:after="0"/>
              <w:rPr>
                <w:sz w:val="22"/>
                <w:szCs w:val="22"/>
                <w:color w:val="auto"/>
              </w:rPr>
            </w:pPr>
          </w:p>
        </w:tc>
        <w:tc>
          <w:tcPr>
            <w:tcW w:w="0" w:type="dxa"/>
            <w:vAlign w:val="bottom"/>
          </w:tcPr>
          <w:p>
            <w:pPr>
              <w:spacing w:after="0"/>
              <w:rPr>
                <w:sz w:val="1"/>
                <w:szCs w:val="1"/>
                <w:color w:val="auto"/>
              </w:rPr>
            </w:pPr>
          </w:p>
        </w:tc>
      </w:tr>
      <w:tr>
        <w:trPr>
          <w:trHeight w:val="317"/>
        </w:trPr>
        <w:tc>
          <w:tcPr>
            <w:tcW w:w="80" w:type="dxa"/>
            <w:vAlign w:val="bottom"/>
            <w:shd w:val="clear" w:color="auto" w:fill="852166"/>
          </w:tcPr>
          <w:p>
            <w:pPr>
              <w:spacing w:after="0"/>
              <w:rPr>
                <w:sz w:val="24"/>
                <w:szCs w:val="24"/>
                <w:color w:val="auto"/>
              </w:rPr>
            </w:pPr>
          </w:p>
        </w:tc>
        <w:tc>
          <w:tcPr>
            <w:tcW w:w="2300" w:type="dxa"/>
            <w:vAlign w:val="bottom"/>
            <w:shd w:val="clear" w:color="auto" w:fill="852166"/>
          </w:tcPr>
          <w:p>
            <w:pPr>
              <w:spacing w:after="0"/>
              <w:rPr>
                <w:sz w:val="24"/>
                <w:szCs w:val="24"/>
                <w:color w:val="auto"/>
              </w:rPr>
            </w:pPr>
          </w:p>
        </w:tc>
        <w:tc>
          <w:tcPr>
            <w:tcW w:w="1840" w:type="dxa"/>
            <w:vAlign w:val="bottom"/>
            <w:vMerge w:val="restart"/>
            <w:shd w:val="clear" w:color="auto" w:fill="852166"/>
          </w:tcPr>
          <w:p>
            <w:pPr>
              <w:jc w:val="right"/>
              <w:spacing w:after="0"/>
              <w:rPr>
                <w:sz w:val="20"/>
                <w:szCs w:val="20"/>
                <w:color w:val="auto"/>
              </w:rPr>
            </w:pPr>
            <w:r>
              <w:rPr>
                <w:rFonts w:ascii="Arial" w:cs="Arial" w:eastAsia="Arial" w:hAnsi="Arial"/>
                <w:sz w:val="14"/>
                <w:szCs w:val="14"/>
                <w:b w:val="1"/>
                <w:bCs w:val="1"/>
                <w:color w:val="FFFFFF"/>
              </w:rPr>
              <w:t>Weighting</w:t>
            </w:r>
          </w:p>
        </w:tc>
        <w:tc>
          <w:tcPr>
            <w:tcW w:w="180" w:type="dxa"/>
            <w:vAlign w:val="bottom"/>
            <w:shd w:val="clear" w:color="auto" w:fill="852166"/>
          </w:tcPr>
          <w:p>
            <w:pPr>
              <w:spacing w:after="0"/>
              <w:rPr>
                <w:sz w:val="24"/>
                <w:szCs w:val="24"/>
                <w:color w:val="auto"/>
              </w:rPr>
            </w:pPr>
          </w:p>
        </w:tc>
        <w:tc>
          <w:tcPr>
            <w:tcW w:w="1160" w:type="dxa"/>
            <w:vAlign w:val="bottom"/>
            <w:vMerge w:val="restart"/>
            <w:shd w:val="clear" w:color="auto" w:fill="852166"/>
          </w:tcPr>
          <w:p>
            <w:pPr>
              <w:jc w:val="right"/>
              <w:spacing w:after="0"/>
              <w:rPr>
                <w:sz w:val="20"/>
                <w:szCs w:val="20"/>
                <w:color w:val="auto"/>
              </w:rPr>
            </w:pPr>
            <w:r>
              <w:rPr>
                <w:rFonts w:ascii="Arial" w:cs="Arial" w:eastAsia="Arial" w:hAnsi="Arial"/>
                <w:sz w:val="14"/>
                <w:szCs w:val="14"/>
                <w:b w:val="1"/>
                <w:bCs w:val="1"/>
                <w:color w:val="FFFFFF"/>
              </w:rPr>
              <w:t>Threshold (50%</w:t>
            </w:r>
          </w:p>
        </w:tc>
        <w:tc>
          <w:tcPr>
            <w:tcW w:w="1320" w:type="dxa"/>
            <w:vAlign w:val="bottom"/>
            <w:vMerge w:val="restart"/>
            <w:shd w:val="clear" w:color="auto" w:fill="852166"/>
          </w:tcPr>
          <w:p>
            <w:pPr>
              <w:jc w:val="right"/>
              <w:ind w:right="88"/>
              <w:spacing w:after="0"/>
              <w:rPr>
                <w:sz w:val="20"/>
                <w:szCs w:val="20"/>
                <w:color w:val="auto"/>
              </w:rPr>
            </w:pPr>
            <w:r>
              <w:rPr>
                <w:rFonts w:ascii="Arial" w:cs="Arial" w:eastAsia="Arial" w:hAnsi="Arial"/>
                <w:sz w:val="14"/>
                <w:szCs w:val="14"/>
                <w:b w:val="1"/>
                <w:bCs w:val="1"/>
                <w:color w:val="FFFFFF"/>
              </w:rPr>
              <w:t>Target (100%</w:t>
            </w:r>
          </w:p>
        </w:tc>
        <w:tc>
          <w:tcPr>
            <w:tcW w:w="1120" w:type="dxa"/>
            <w:vAlign w:val="bottom"/>
            <w:vMerge w:val="restart"/>
            <w:shd w:val="clear" w:color="auto" w:fill="852166"/>
          </w:tcPr>
          <w:p>
            <w:pPr>
              <w:jc w:val="right"/>
              <w:spacing w:after="0"/>
              <w:rPr>
                <w:sz w:val="20"/>
                <w:szCs w:val="20"/>
                <w:color w:val="auto"/>
              </w:rPr>
            </w:pPr>
            <w:r>
              <w:rPr>
                <w:rFonts w:ascii="Arial" w:cs="Arial" w:eastAsia="Arial" w:hAnsi="Arial"/>
                <w:sz w:val="14"/>
                <w:szCs w:val="14"/>
                <w:b w:val="1"/>
                <w:bCs w:val="1"/>
                <w:color w:val="FFFFFF"/>
              </w:rPr>
              <w:t>Stretch (160%</w:t>
            </w:r>
          </w:p>
        </w:tc>
        <w:tc>
          <w:tcPr>
            <w:tcW w:w="1920" w:type="dxa"/>
            <w:vAlign w:val="bottom"/>
            <w:vMerge w:val="restart"/>
            <w:shd w:val="clear" w:color="auto" w:fill="852166"/>
          </w:tcPr>
          <w:p>
            <w:pPr>
              <w:jc w:val="right"/>
              <w:spacing w:after="0"/>
              <w:rPr>
                <w:sz w:val="20"/>
                <w:szCs w:val="20"/>
                <w:color w:val="auto"/>
              </w:rPr>
            </w:pPr>
            <w:r>
              <w:rPr>
                <w:rFonts w:ascii="Arial" w:cs="Arial" w:eastAsia="Arial" w:hAnsi="Arial"/>
                <w:sz w:val="14"/>
                <w:szCs w:val="14"/>
                <w:b w:val="1"/>
                <w:bCs w:val="1"/>
                <w:color w:val="FFFFFF"/>
              </w:rPr>
              <w:t>Actual Performance</w:t>
            </w:r>
          </w:p>
        </w:tc>
        <w:tc>
          <w:tcPr>
            <w:tcW w:w="1320" w:type="dxa"/>
            <w:vAlign w:val="bottom"/>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Vesting</w:t>
            </w:r>
          </w:p>
        </w:tc>
        <w:tc>
          <w:tcPr>
            <w:tcW w:w="0" w:type="dxa"/>
            <w:vAlign w:val="bottom"/>
          </w:tcPr>
          <w:p>
            <w:pPr>
              <w:spacing w:after="0"/>
              <w:rPr>
                <w:sz w:val="1"/>
                <w:szCs w:val="1"/>
                <w:color w:val="auto"/>
              </w:rPr>
            </w:pPr>
          </w:p>
        </w:tc>
      </w:tr>
      <w:tr>
        <w:trPr>
          <w:trHeight w:val="160"/>
        </w:trPr>
        <w:tc>
          <w:tcPr>
            <w:tcW w:w="80" w:type="dxa"/>
            <w:vAlign w:val="bottom"/>
            <w:shd w:val="clear" w:color="auto" w:fill="852166"/>
          </w:tcPr>
          <w:p>
            <w:pPr>
              <w:spacing w:after="0"/>
              <w:rPr>
                <w:sz w:val="13"/>
                <w:szCs w:val="13"/>
                <w:color w:val="auto"/>
              </w:rPr>
            </w:pPr>
          </w:p>
        </w:tc>
        <w:tc>
          <w:tcPr>
            <w:tcW w:w="2300" w:type="dxa"/>
            <w:vAlign w:val="bottom"/>
            <w:shd w:val="clear" w:color="auto" w:fill="852166"/>
          </w:tcPr>
          <w:p>
            <w:pPr>
              <w:spacing w:after="0"/>
              <w:rPr>
                <w:sz w:val="13"/>
                <w:szCs w:val="13"/>
                <w:color w:val="auto"/>
              </w:rPr>
            </w:pPr>
          </w:p>
        </w:tc>
        <w:tc>
          <w:tcPr>
            <w:tcW w:w="1840" w:type="dxa"/>
            <w:vAlign w:val="bottom"/>
            <w:vMerge w:val="continue"/>
            <w:shd w:val="clear" w:color="auto" w:fill="852166"/>
          </w:tcPr>
          <w:p>
            <w:pPr>
              <w:spacing w:after="0"/>
              <w:rPr>
                <w:sz w:val="13"/>
                <w:szCs w:val="13"/>
                <w:color w:val="auto"/>
              </w:rPr>
            </w:pPr>
          </w:p>
        </w:tc>
        <w:tc>
          <w:tcPr>
            <w:tcW w:w="180" w:type="dxa"/>
            <w:vAlign w:val="bottom"/>
            <w:shd w:val="clear" w:color="auto" w:fill="852166"/>
          </w:tcPr>
          <w:p>
            <w:pPr>
              <w:spacing w:after="0"/>
              <w:rPr>
                <w:sz w:val="13"/>
                <w:szCs w:val="13"/>
                <w:color w:val="auto"/>
              </w:rPr>
            </w:pPr>
          </w:p>
        </w:tc>
        <w:tc>
          <w:tcPr>
            <w:tcW w:w="1160" w:type="dxa"/>
            <w:vAlign w:val="bottom"/>
            <w:vMerge w:val="continue"/>
            <w:shd w:val="clear" w:color="auto" w:fill="852166"/>
          </w:tcPr>
          <w:p>
            <w:pPr>
              <w:spacing w:after="0"/>
              <w:rPr>
                <w:sz w:val="13"/>
                <w:szCs w:val="13"/>
                <w:color w:val="auto"/>
              </w:rPr>
            </w:pPr>
          </w:p>
        </w:tc>
        <w:tc>
          <w:tcPr>
            <w:tcW w:w="1320" w:type="dxa"/>
            <w:vAlign w:val="bottom"/>
            <w:vMerge w:val="continue"/>
            <w:shd w:val="clear" w:color="auto" w:fill="852166"/>
          </w:tcPr>
          <w:p>
            <w:pPr>
              <w:spacing w:after="0"/>
              <w:rPr>
                <w:sz w:val="13"/>
                <w:szCs w:val="13"/>
                <w:color w:val="auto"/>
              </w:rPr>
            </w:pPr>
          </w:p>
        </w:tc>
        <w:tc>
          <w:tcPr>
            <w:tcW w:w="1120" w:type="dxa"/>
            <w:vAlign w:val="bottom"/>
            <w:vMerge w:val="continue"/>
            <w:shd w:val="clear" w:color="auto" w:fill="852166"/>
          </w:tcPr>
          <w:p>
            <w:pPr>
              <w:spacing w:after="0"/>
              <w:rPr>
                <w:sz w:val="13"/>
                <w:szCs w:val="13"/>
                <w:color w:val="auto"/>
              </w:rPr>
            </w:pPr>
          </w:p>
        </w:tc>
        <w:tc>
          <w:tcPr>
            <w:tcW w:w="1920" w:type="dxa"/>
            <w:vAlign w:val="bottom"/>
            <w:vMerge w:val="continue"/>
            <w:shd w:val="clear" w:color="auto" w:fill="852166"/>
          </w:tcPr>
          <w:p>
            <w:pPr>
              <w:spacing w:after="0"/>
              <w:rPr>
                <w:sz w:val="13"/>
                <w:szCs w:val="13"/>
                <w:color w:val="auto"/>
              </w:rPr>
            </w:pPr>
          </w:p>
        </w:tc>
        <w:tc>
          <w:tcPr>
            <w:tcW w:w="1320" w:type="dxa"/>
            <w:vAlign w:val="bottom"/>
            <w:shd w:val="clear" w:color="auto" w:fill="852166"/>
          </w:tcPr>
          <w:p>
            <w:pPr>
              <w:jc w:val="right"/>
              <w:ind w:right="48"/>
              <w:spacing w:after="0" w:line="159" w:lineRule="exact"/>
              <w:rPr>
                <w:sz w:val="20"/>
                <w:szCs w:val="20"/>
                <w:color w:val="auto"/>
              </w:rPr>
            </w:pPr>
            <w:r>
              <w:rPr>
                <w:rFonts w:ascii="Arial" w:cs="Arial" w:eastAsia="Arial" w:hAnsi="Arial"/>
                <w:sz w:val="14"/>
                <w:szCs w:val="14"/>
                <w:b w:val="1"/>
                <w:bCs w:val="1"/>
                <w:color w:val="FFFFFF"/>
              </w:rPr>
              <w:t>Percentage</w:t>
            </w:r>
          </w:p>
        </w:tc>
        <w:tc>
          <w:tcPr>
            <w:tcW w:w="0" w:type="dxa"/>
            <w:vAlign w:val="bottom"/>
          </w:tcPr>
          <w:p>
            <w:pPr>
              <w:spacing w:after="0"/>
              <w:rPr>
                <w:sz w:val="1"/>
                <w:szCs w:val="1"/>
                <w:color w:val="auto"/>
              </w:rPr>
            </w:pPr>
          </w:p>
        </w:tc>
      </w:tr>
      <w:tr>
        <w:trPr>
          <w:trHeight w:val="248"/>
        </w:trPr>
        <w:tc>
          <w:tcPr>
            <w:tcW w:w="80" w:type="dxa"/>
            <w:vAlign w:val="bottom"/>
            <w:tcBorders>
              <w:bottom w:val="single" w:sz="8" w:color="852166"/>
            </w:tcBorders>
            <w:shd w:val="clear" w:color="auto" w:fill="852166"/>
          </w:tcPr>
          <w:p>
            <w:pPr>
              <w:spacing w:after="0"/>
              <w:rPr>
                <w:sz w:val="21"/>
                <w:szCs w:val="21"/>
                <w:color w:val="auto"/>
              </w:rPr>
            </w:pPr>
          </w:p>
        </w:tc>
        <w:tc>
          <w:tcPr>
            <w:tcW w:w="2300" w:type="dxa"/>
            <w:vAlign w:val="bottom"/>
            <w:tcBorders>
              <w:bottom w:val="single" w:sz="8" w:color="852166"/>
            </w:tcBorders>
            <w:shd w:val="clear" w:color="auto" w:fill="852166"/>
          </w:tcPr>
          <w:p>
            <w:pPr>
              <w:ind w:left="20"/>
              <w:spacing w:after="0"/>
              <w:rPr>
                <w:sz w:val="20"/>
                <w:szCs w:val="20"/>
                <w:color w:val="auto"/>
              </w:rPr>
            </w:pPr>
            <w:r>
              <w:rPr>
                <w:rFonts w:ascii="Arial" w:cs="Arial" w:eastAsia="Arial" w:hAnsi="Arial"/>
                <w:sz w:val="14"/>
                <w:szCs w:val="14"/>
                <w:b w:val="1"/>
                <w:bCs w:val="1"/>
                <w:color w:val="FFFFFF"/>
              </w:rPr>
              <w:t>Metric</w:t>
            </w:r>
          </w:p>
        </w:tc>
        <w:tc>
          <w:tcPr>
            <w:tcW w:w="1840" w:type="dxa"/>
            <w:vAlign w:val="bottom"/>
            <w:tcBorders>
              <w:bottom w:val="single" w:sz="8" w:color="852166"/>
            </w:tcBorders>
            <w:shd w:val="clear" w:color="auto" w:fill="852166"/>
          </w:tcPr>
          <w:p>
            <w:pPr>
              <w:jc w:val="right"/>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852166"/>
            </w:tcBorders>
            <w:shd w:val="clear" w:color="auto" w:fill="852166"/>
          </w:tcPr>
          <w:p>
            <w:pPr>
              <w:spacing w:after="0"/>
              <w:rPr>
                <w:sz w:val="21"/>
                <w:szCs w:val="21"/>
                <w:color w:val="auto"/>
              </w:rPr>
            </w:pPr>
          </w:p>
        </w:tc>
        <w:tc>
          <w:tcPr>
            <w:tcW w:w="1160" w:type="dxa"/>
            <w:vAlign w:val="bottom"/>
            <w:tcBorders>
              <w:bottom w:val="single" w:sz="8" w:color="852166"/>
            </w:tcBorders>
            <w:shd w:val="clear" w:color="auto" w:fill="852166"/>
          </w:tcPr>
          <w:p>
            <w:pPr>
              <w:jc w:val="right"/>
              <w:spacing w:after="0"/>
              <w:rPr>
                <w:sz w:val="20"/>
                <w:szCs w:val="20"/>
                <w:color w:val="auto"/>
              </w:rPr>
            </w:pPr>
            <w:r>
              <w:rPr>
                <w:rFonts w:ascii="Arial" w:cs="Arial" w:eastAsia="Arial" w:hAnsi="Arial"/>
                <w:sz w:val="14"/>
                <w:szCs w:val="14"/>
                <w:b w:val="1"/>
                <w:bCs w:val="1"/>
                <w:color w:val="FFFFFF"/>
              </w:rPr>
              <w:t>payout)</w:t>
            </w:r>
          </w:p>
        </w:tc>
        <w:tc>
          <w:tcPr>
            <w:tcW w:w="1320" w:type="dxa"/>
            <w:vAlign w:val="bottom"/>
            <w:tcBorders>
              <w:bottom w:val="single" w:sz="8" w:color="852166"/>
            </w:tcBorders>
            <w:shd w:val="clear" w:color="auto" w:fill="852166"/>
          </w:tcPr>
          <w:p>
            <w:pPr>
              <w:jc w:val="right"/>
              <w:ind w:right="88"/>
              <w:spacing w:after="0"/>
              <w:rPr>
                <w:sz w:val="20"/>
                <w:szCs w:val="20"/>
                <w:color w:val="auto"/>
              </w:rPr>
            </w:pPr>
            <w:r>
              <w:rPr>
                <w:rFonts w:ascii="Arial" w:cs="Arial" w:eastAsia="Arial" w:hAnsi="Arial"/>
                <w:sz w:val="14"/>
                <w:szCs w:val="14"/>
                <w:b w:val="1"/>
                <w:bCs w:val="1"/>
                <w:color w:val="FFFFFF"/>
              </w:rPr>
              <w:t>payout)</w:t>
            </w:r>
          </w:p>
        </w:tc>
        <w:tc>
          <w:tcPr>
            <w:tcW w:w="1120" w:type="dxa"/>
            <w:vAlign w:val="bottom"/>
            <w:tcBorders>
              <w:bottom w:val="single" w:sz="8" w:color="852166"/>
            </w:tcBorders>
            <w:shd w:val="clear" w:color="auto" w:fill="852166"/>
          </w:tcPr>
          <w:p>
            <w:pPr>
              <w:jc w:val="right"/>
              <w:spacing w:after="0"/>
              <w:rPr>
                <w:sz w:val="20"/>
                <w:szCs w:val="20"/>
                <w:color w:val="auto"/>
              </w:rPr>
            </w:pPr>
            <w:r>
              <w:rPr>
                <w:rFonts w:ascii="Arial" w:cs="Arial" w:eastAsia="Arial" w:hAnsi="Arial"/>
                <w:sz w:val="14"/>
                <w:szCs w:val="14"/>
                <w:b w:val="1"/>
                <w:bCs w:val="1"/>
                <w:color w:val="FFFFFF"/>
              </w:rPr>
              <w:t>payout)</w:t>
            </w:r>
          </w:p>
        </w:tc>
        <w:tc>
          <w:tcPr>
            <w:tcW w:w="1920" w:type="dxa"/>
            <w:vAlign w:val="bottom"/>
            <w:tcBorders>
              <w:bottom w:val="single" w:sz="8" w:color="852166"/>
            </w:tcBorders>
            <w:shd w:val="clear" w:color="auto" w:fill="852166"/>
          </w:tcPr>
          <w:p>
            <w:pPr>
              <w:jc w:val="right"/>
              <w:spacing w:after="0"/>
              <w:rPr>
                <w:sz w:val="20"/>
                <w:szCs w:val="20"/>
                <w:color w:val="auto"/>
              </w:rPr>
            </w:pPr>
            <w:r>
              <w:rPr>
                <w:rFonts w:ascii="Arial" w:cs="Arial" w:eastAsia="Arial" w:hAnsi="Arial"/>
                <w:sz w:val="14"/>
                <w:szCs w:val="14"/>
                <w:b w:val="1"/>
                <w:bCs w:val="1"/>
                <w:color w:val="FFFFFF"/>
              </w:rPr>
              <w:t>Result</w:t>
            </w:r>
            <w:r>
              <w:rPr>
                <w:rFonts w:ascii="Arial" w:cs="Arial" w:eastAsia="Arial" w:hAnsi="Arial"/>
                <w:sz w:val="18"/>
                <w:szCs w:val="18"/>
                <w:b w:val="1"/>
                <w:bCs w:val="1"/>
                <w:color w:val="FFFFFF"/>
                <w:vertAlign w:val="superscript"/>
              </w:rPr>
              <w:t>(1)</w:t>
            </w:r>
          </w:p>
        </w:tc>
        <w:tc>
          <w:tcPr>
            <w:tcW w:w="1320" w:type="dxa"/>
            <w:vAlign w:val="bottom"/>
            <w:tcBorders>
              <w:bottom w:val="single" w:sz="8" w:color="852166"/>
            </w:tcBorders>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b w:val="1"/>
                <w:bCs w:val="1"/>
                <w:color w:val="auto"/>
              </w:rPr>
              <w:t>Percent of US oxybate Patients</w:t>
            </w: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300" w:type="dxa"/>
            <w:vAlign w:val="bottom"/>
          </w:tcPr>
          <w:p>
            <w:pPr>
              <w:ind w:left="20"/>
              <w:spacing w:after="0"/>
              <w:rPr>
                <w:sz w:val="20"/>
                <w:szCs w:val="20"/>
                <w:color w:val="auto"/>
              </w:rPr>
            </w:pPr>
            <w:r>
              <w:rPr>
                <w:rFonts w:ascii="Arial" w:cs="Arial" w:eastAsia="Arial" w:hAnsi="Arial"/>
                <w:sz w:val="14"/>
                <w:szCs w:val="14"/>
                <w:b w:val="1"/>
                <w:bCs w:val="1"/>
                <w:color w:val="auto"/>
              </w:rPr>
              <w:t>on Xywav by December 31,</w:t>
            </w:r>
          </w:p>
        </w:tc>
        <w:tc>
          <w:tcPr>
            <w:tcW w:w="1840" w:type="dxa"/>
            <w:vAlign w:val="bottom"/>
          </w:tcPr>
          <w:p>
            <w:pPr>
              <w:jc w:val="right"/>
              <w:spacing w:after="0"/>
              <w:rPr>
                <w:sz w:val="20"/>
                <w:szCs w:val="20"/>
                <w:color w:val="auto"/>
              </w:rPr>
            </w:pPr>
            <w:r>
              <w:rPr>
                <w:rFonts w:ascii="Arial" w:cs="Arial" w:eastAsia="Arial" w:hAnsi="Arial"/>
                <w:sz w:val="14"/>
                <w:szCs w:val="14"/>
                <w:color w:val="auto"/>
              </w:rPr>
              <w:t>25%</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&gt;50%</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60%</w:t>
            </w:r>
          </w:p>
        </w:tc>
        <w:tc>
          <w:tcPr>
            <w:tcW w:w="1120" w:type="dxa"/>
            <w:vAlign w:val="bottom"/>
          </w:tcPr>
          <w:p>
            <w:pPr>
              <w:jc w:val="right"/>
              <w:spacing w:after="0"/>
              <w:rPr>
                <w:sz w:val="20"/>
                <w:szCs w:val="20"/>
                <w:color w:val="auto"/>
              </w:rPr>
            </w:pPr>
            <w:r>
              <w:rPr>
                <w:rFonts w:ascii="Arial" w:cs="Arial" w:eastAsia="Arial" w:hAnsi="Arial"/>
                <w:sz w:val="14"/>
                <w:szCs w:val="14"/>
                <w:color w:val="auto"/>
              </w:rPr>
              <w:t>65%</w:t>
            </w:r>
          </w:p>
        </w:tc>
        <w:tc>
          <w:tcPr>
            <w:tcW w:w="1920" w:type="dxa"/>
            <w:vAlign w:val="bottom"/>
          </w:tcPr>
          <w:p>
            <w:pPr>
              <w:jc w:val="right"/>
              <w:spacing w:after="0"/>
              <w:rPr>
                <w:sz w:val="20"/>
                <w:szCs w:val="20"/>
                <w:color w:val="auto"/>
              </w:rPr>
            </w:pPr>
            <w:r>
              <w:rPr>
                <w:rFonts w:ascii="Arial" w:cs="Arial" w:eastAsia="Arial" w:hAnsi="Arial"/>
                <w:sz w:val="14"/>
                <w:szCs w:val="14"/>
                <w:color w:val="auto"/>
              </w:rPr>
              <w:t>61%</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96"/>
        </w:trPr>
        <w:tc>
          <w:tcPr>
            <w:tcW w:w="2380" w:type="dxa"/>
            <w:vAlign w:val="bottom"/>
            <w:gridSpan w:val="2"/>
          </w:tcPr>
          <w:p>
            <w:pPr>
              <w:ind w:left="100"/>
              <w:spacing w:after="0"/>
              <w:rPr>
                <w:sz w:val="20"/>
                <w:szCs w:val="20"/>
                <w:color w:val="auto"/>
              </w:rPr>
            </w:pPr>
            <w:r>
              <w:rPr>
                <w:rFonts w:ascii="Arial" w:cs="Arial" w:eastAsia="Arial" w:hAnsi="Arial"/>
                <w:sz w:val="14"/>
                <w:szCs w:val="14"/>
                <w:b w:val="1"/>
                <w:bCs w:val="1"/>
                <w:color w:val="auto"/>
              </w:rPr>
              <w:t>2023</w:t>
            </w:r>
            <w:r>
              <w:rPr>
                <w:rFonts w:ascii="Arial" w:cs="Arial" w:eastAsia="Arial" w:hAnsi="Arial"/>
                <w:sz w:val="9"/>
                <w:szCs w:val="9"/>
                <w:b w:val="1"/>
                <w:bCs w:val="1"/>
                <w:color w:val="auto"/>
              </w:rPr>
              <w:t>(2)</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8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0" w:type="dxa"/>
            <w:vAlign w:val="bottom"/>
            <w:shd w:val="clear" w:color="auto" w:fill="EAEAEA"/>
          </w:tcPr>
          <w:p>
            <w:pPr>
              <w:spacing w:after="0"/>
              <w:rPr>
                <w:sz w:val="16"/>
                <w:szCs w:val="16"/>
                <w:color w:val="auto"/>
              </w:rPr>
            </w:pPr>
          </w:p>
        </w:tc>
        <w:tc>
          <w:tcPr>
            <w:tcW w:w="2300" w:type="dxa"/>
            <w:vAlign w:val="bottom"/>
            <w:shd w:val="clear" w:color="auto" w:fill="EAEAEA"/>
          </w:tcPr>
          <w:p>
            <w:pPr>
              <w:ind w:left="20"/>
              <w:spacing w:after="0"/>
              <w:rPr>
                <w:sz w:val="20"/>
                <w:szCs w:val="20"/>
                <w:color w:val="auto"/>
              </w:rPr>
            </w:pPr>
            <w:r>
              <w:rPr>
                <w:rFonts w:ascii="Arial" w:cs="Arial" w:eastAsia="Arial" w:hAnsi="Arial"/>
                <w:sz w:val="14"/>
                <w:szCs w:val="14"/>
                <w:b w:val="1"/>
                <w:bCs w:val="1"/>
                <w:color w:val="auto"/>
              </w:rPr>
              <w:t>Percent of Revenue in 2022 from</w:t>
            </w:r>
          </w:p>
        </w:tc>
        <w:tc>
          <w:tcPr>
            <w:tcW w:w="1840" w:type="dxa"/>
            <w:vAlign w:val="bottom"/>
            <w:vMerge w:val="restart"/>
            <w:shd w:val="clear" w:color="auto" w:fill="EAEAEB"/>
          </w:tcPr>
          <w:p>
            <w:pPr>
              <w:jc w:val="right"/>
              <w:spacing w:after="0"/>
              <w:rPr>
                <w:sz w:val="20"/>
                <w:szCs w:val="20"/>
                <w:color w:val="auto"/>
              </w:rPr>
            </w:pPr>
            <w:r>
              <w:rPr>
                <w:rFonts w:ascii="Arial" w:cs="Arial" w:eastAsia="Arial" w:hAnsi="Arial"/>
                <w:sz w:val="14"/>
                <w:szCs w:val="14"/>
                <w:color w:val="auto"/>
              </w:rPr>
              <w:t>30%</w:t>
            </w:r>
          </w:p>
        </w:tc>
        <w:tc>
          <w:tcPr>
            <w:tcW w:w="1340" w:type="dxa"/>
            <w:vAlign w:val="bottom"/>
            <w:gridSpan w:val="2"/>
            <w:vMerge w:val="restart"/>
            <w:shd w:val="clear" w:color="auto" w:fill="EAEAEA"/>
          </w:tcPr>
          <w:p>
            <w:pPr>
              <w:jc w:val="right"/>
              <w:spacing w:after="0"/>
              <w:rPr>
                <w:sz w:val="20"/>
                <w:szCs w:val="20"/>
                <w:color w:val="auto"/>
              </w:rPr>
            </w:pPr>
            <w:r>
              <w:rPr>
                <w:rFonts w:ascii="Arial" w:cs="Arial" w:eastAsia="Arial" w:hAnsi="Arial"/>
                <w:sz w:val="14"/>
                <w:szCs w:val="14"/>
                <w:color w:val="auto"/>
              </w:rPr>
              <w:t>40%</w:t>
            </w:r>
          </w:p>
        </w:tc>
        <w:tc>
          <w:tcPr>
            <w:tcW w:w="1320" w:type="dxa"/>
            <w:vAlign w:val="bottom"/>
            <w:vMerge w:val="restart"/>
            <w:shd w:val="clear" w:color="auto" w:fill="EAEAEA"/>
          </w:tcPr>
          <w:p>
            <w:pPr>
              <w:jc w:val="right"/>
              <w:ind w:right="88"/>
              <w:spacing w:after="0"/>
              <w:rPr>
                <w:sz w:val="20"/>
                <w:szCs w:val="20"/>
                <w:color w:val="auto"/>
              </w:rPr>
            </w:pPr>
            <w:r>
              <w:rPr>
                <w:rFonts w:ascii="Arial" w:cs="Arial" w:eastAsia="Arial" w:hAnsi="Arial"/>
                <w:sz w:val="14"/>
                <w:szCs w:val="14"/>
                <w:color w:val="auto"/>
              </w:rPr>
              <w:t>45-50%</w:t>
            </w:r>
          </w:p>
        </w:tc>
        <w:tc>
          <w:tcPr>
            <w:tcW w:w="1120" w:type="dxa"/>
            <w:vAlign w:val="bottom"/>
            <w:vMerge w:val="restart"/>
            <w:shd w:val="clear" w:color="auto" w:fill="EAEAEA"/>
          </w:tcPr>
          <w:p>
            <w:pPr>
              <w:jc w:val="right"/>
              <w:spacing w:after="0"/>
              <w:rPr>
                <w:sz w:val="20"/>
                <w:szCs w:val="20"/>
                <w:color w:val="auto"/>
              </w:rPr>
            </w:pPr>
            <w:r>
              <w:rPr>
                <w:rFonts w:ascii="Arial" w:cs="Arial" w:eastAsia="Arial" w:hAnsi="Arial"/>
                <w:sz w:val="14"/>
                <w:szCs w:val="14"/>
                <w:color w:val="auto"/>
              </w:rPr>
              <w:t>55%</w:t>
            </w:r>
          </w:p>
        </w:tc>
        <w:tc>
          <w:tcPr>
            <w:tcW w:w="1920" w:type="dxa"/>
            <w:vAlign w:val="bottom"/>
            <w:vMerge w:val="restart"/>
            <w:shd w:val="clear" w:color="auto" w:fill="EAEAEA"/>
          </w:tcPr>
          <w:p>
            <w:pPr>
              <w:jc w:val="right"/>
              <w:spacing w:after="0"/>
              <w:rPr>
                <w:sz w:val="20"/>
                <w:szCs w:val="20"/>
                <w:color w:val="auto"/>
              </w:rPr>
            </w:pPr>
            <w:r>
              <w:rPr>
                <w:rFonts w:ascii="Arial" w:cs="Arial" w:eastAsia="Arial" w:hAnsi="Arial"/>
                <w:sz w:val="14"/>
                <w:szCs w:val="14"/>
                <w:color w:val="auto"/>
              </w:rPr>
              <w:t>53%</w:t>
            </w:r>
          </w:p>
        </w:tc>
        <w:tc>
          <w:tcPr>
            <w:tcW w:w="1320" w:type="dxa"/>
            <w:vAlign w:val="bottom"/>
            <w:vMerge w:val="restart"/>
            <w:shd w:val="clear" w:color="auto" w:fill="EAEAEA"/>
          </w:tcPr>
          <w:p>
            <w:pPr>
              <w:jc w:val="right"/>
              <w:ind w:right="48"/>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68"/>
        </w:trPr>
        <w:tc>
          <w:tcPr>
            <w:tcW w:w="80" w:type="dxa"/>
            <w:vAlign w:val="bottom"/>
            <w:shd w:val="clear" w:color="auto" w:fill="EAEAEA"/>
          </w:tcPr>
          <w:p>
            <w:pPr>
              <w:spacing w:after="0"/>
              <w:rPr>
                <w:sz w:val="23"/>
                <w:szCs w:val="23"/>
                <w:color w:val="auto"/>
              </w:rPr>
            </w:pPr>
          </w:p>
        </w:tc>
        <w:tc>
          <w:tcPr>
            <w:tcW w:w="2300" w:type="dxa"/>
            <w:vAlign w:val="bottom"/>
            <w:shd w:val="clear" w:color="auto" w:fill="EAEAEA"/>
          </w:tcPr>
          <w:p>
            <w:pPr>
              <w:ind w:left="20"/>
              <w:spacing w:after="0"/>
              <w:rPr>
                <w:sz w:val="20"/>
                <w:szCs w:val="20"/>
                <w:color w:val="auto"/>
              </w:rPr>
            </w:pPr>
            <w:r>
              <w:rPr>
                <w:rFonts w:ascii="Arial" w:cs="Arial" w:eastAsia="Arial" w:hAnsi="Arial"/>
                <w:sz w:val="14"/>
                <w:szCs w:val="14"/>
                <w:b w:val="1"/>
                <w:bCs w:val="1"/>
                <w:color w:val="auto"/>
              </w:rPr>
              <w:t>New Product Launches</w:t>
            </w:r>
            <w:r>
              <w:rPr>
                <w:rFonts w:ascii="Arial" w:cs="Arial" w:eastAsia="Arial" w:hAnsi="Arial"/>
                <w:sz w:val="18"/>
                <w:szCs w:val="18"/>
                <w:b w:val="1"/>
                <w:bCs w:val="1"/>
                <w:color w:val="auto"/>
                <w:vertAlign w:val="superscript"/>
              </w:rPr>
              <w:t>(3)</w:t>
            </w:r>
          </w:p>
        </w:tc>
        <w:tc>
          <w:tcPr>
            <w:tcW w:w="1840" w:type="dxa"/>
            <w:vAlign w:val="bottom"/>
            <w:vMerge w:val="continue"/>
            <w:shd w:val="clear" w:color="auto" w:fill="EAEAEB"/>
          </w:tcPr>
          <w:p>
            <w:pPr>
              <w:spacing w:after="0"/>
              <w:rPr>
                <w:sz w:val="23"/>
                <w:szCs w:val="23"/>
                <w:color w:val="auto"/>
              </w:rPr>
            </w:pPr>
          </w:p>
        </w:tc>
        <w:tc>
          <w:tcPr>
            <w:tcW w:w="1340" w:type="dxa"/>
            <w:vAlign w:val="bottom"/>
            <w:gridSpan w:val="2"/>
            <w:vMerge w:val="continue"/>
            <w:shd w:val="clear" w:color="auto" w:fill="EAEAEA"/>
          </w:tcPr>
          <w:p>
            <w:pPr>
              <w:spacing w:after="0"/>
              <w:rPr>
                <w:sz w:val="23"/>
                <w:szCs w:val="23"/>
                <w:color w:val="auto"/>
              </w:rPr>
            </w:pPr>
          </w:p>
        </w:tc>
        <w:tc>
          <w:tcPr>
            <w:tcW w:w="1320" w:type="dxa"/>
            <w:vAlign w:val="bottom"/>
            <w:vMerge w:val="continue"/>
            <w:shd w:val="clear" w:color="auto" w:fill="EAEAEA"/>
          </w:tcPr>
          <w:p>
            <w:pPr>
              <w:spacing w:after="0"/>
              <w:rPr>
                <w:sz w:val="23"/>
                <w:szCs w:val="23"/>
                <w:color w:val="auto"/>
              </w:rPr>
            </w:pPr>
          </w:p>
        </w:tc>
        <w:tc>
          <w:tcPr>
            <w:tcW w:w="1120" w:type="dxa"/>
            <w:vAlign w:val="bottom"/>
            <w:vMerge w:val="continue"/>
            <w:shd w:val="clear" w:color="auto" w:fill="EAEAEA"/>
          </w:tcPr>
          <w:p>
            <w:pPr>
              <w:spacing w:after="0"/>
              <w:rPr>
                <w:sz w:val="23"/>
                <w:szCs w:val="23"/>
                <w:color w:val="auto"/>
              </w:rPr>
            </w:pPr>
          </w:p>
        </w:tc>
        <w:tc>
          <w:tcPr>
            <w:tcW w:w="1920" w:type="dxa"/>
            <w:vAlign w:val="bottom"/>
            <w:vMerge w:val="continue"/>
            <w:shd w:val="clear" w:color="auto" w:fill="EAEAEA"/>
          </w:tcPr>
          <w:p>
            <w:pPr>
              <w:spacing w:after="0"/>
              <w:rPr>
                <w:sz w:val="23"/>
                <w:szCs w:val="23"/>
                <w:color w:val="auto"/>
              </w:rPr>
            </w:pPr>
          </w:p>
        </w:tc>
        <w:tc>
          <w:tcPr>
            <w:tcW w:w="1320" w:type="dxa"/>
            <w:vAlign w:val="bottom"/>
            <w:vMerge w:val="continue"/>
            <w:shd w:val="clear" w:color="auto" w:fill="EAEAEA"/>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80" w:type="dxa"/>
            <w:vAlign w:val="bottom"/>
          </w:tcPr>
          <w:p>
            <w:pPr>
              <w:spacing w:after="0"/>
              <w:rPr>
                <w:sz w:val="24"/>
                <w:szCs w:val="24"/>
                <w:color w:val="auto"/>
              </w:rPr>
            </w:pPr>
          </w:p>
        </w:tc>
        <w:tc>
          <w:tcPr>
            <w:tcW w:w="2300" w:type="dxa"/>
            <w:vAlign w:val="bottom"/>
          </w:tcPr>
          <w:p>
            <w:pPr>
              <w:ind w:left="20"/>
              <w:spacing w:after="0"/>
              <w:rPr>
                <w:sz w:val="20"/>
                <w:szCs w:val="20"/>
                <w:color w:val="auto"/>
              </w:rPr>
            </w:pPr>
            <w:r>
              <w:rPr>
                <w:rFonts w:ascii="Arial" w:cs="Arial" w:eastAsia="Arial" w:hAnsi="Arial"/>
                <w:sz w:val="14"/>
                <w:szCs w:val="14"/>
                <w:b w:val="1"/>
                <w:bCs w:val="1"/>
                <w:color w:val="auto"/>
              </w:rPr>
              <w:t>Epidiolex 2023 Revenue</w:t>
            </w:r>
            <w:r>
              <w:rPr>
                <w:rFonts w:ascii="Arial" w:cs="Arial" w:eastAsia="Arial" w:hAnsi="Arial"/>
                <w:sz w:val="18"/>
                <w:szCs w:val="18"/>
                <w:b w:val="1"/>
                <w:bCs w:val="1"/>
                <w:color w:val="auto"/>
                <w:vertAlign w:val="superscript"/>
              </w:rPr>
              <w:t>(4)</w:t>
            </w:r>
          </w:p>
        </w:tc>
        <w:tc>
          <w:tcPr>
            <w:tcW w:w="1840" w:type="dxa"/>
            <w:vAlign w:val="bottom"/>
          </w:tcPr>
          <w:p>
            <w:pPr>
              <w:jc w:val="right"/>
              <w:spacing w:after="0"/>
              <w:rPr>
                <w:sz w:val="20"/>
                <w:szCs w:val="20"/>
                <w:color w:val="auto"/>
              </w:rPr>
            </w:pPr>
            <w:r>
              <w:rPr>
                <w:rFonts w:ascii="Arial" w:cs="Arial" w:eastAsia="Arial" w:hAnsi="Arial"/>
                <w:sz w:val="14"/>
                <w:szCs w:val="14"/>
                <w:color w:val="auto"/>
              </w:rPr>
              <w:t>20%</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$845M</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37"/>
        </w:trPr>
        <w:tc>
          <w:tcPr>
            <w:tcW w:w="80" w:type="dxa"/>
            <w:vAlign w:val="bottom"/>
            <w:tcBorders>
              <w:bottom w:val="single" w:sz="8" w:color="852166"/>
            </w:tcBorders>
            <w:shd w:val="clear" w:color="auto" w:fill="EAEAEA"/>
          </w:tcPr>
          <w:p>
            <w:pPr>
              <w:spacing w:after="0"/>
              <w:rPr>
                <w:sz w:val="20"/>
                <w:szCs w:val="20"/>
                <w:color w:val="auto"/>
              </w:rPr>
            </w:pPr>
          </w:p>
        </w:tc>
        <w:tc>
          <w:tcPr>
            <w:tcW w:w="2300" w:type="dxa"/>
            <w:vAlign w:val="bottom"/>
            <w:tcBorders>
              <w:bottom w:val="single" w:sz="8" w:color="852166"/>
            </w:tcBorders>
            <w:shd w:val="clear" w:color="auto" w:fill="EAEAEA"/>
          </w:tcPr>
          <w:p>
            <w:pPr>
              <w:ind w:left="20"/>
              <w:spacing w:after="0"/>
              <w:rPr>
                <w:sz w:val="20"/>
                <w:szCs w:val="20"/>
                <w:color w:val="auto"/>
              </w:rPr>
            </w:pPr>
            <w:r>
              <w:rPr>
                <w:rFonts w:ascii="Arial" w:cs="Arial" w:eastAsia="Arial" w:hAnsi="Arial"/>
                <w:sz w:val="14"/>
                <w:szCs w:val="14"/>
                <w:b w:val="1"/>
                <w:bCs w:val="1"/>
                <w:color w:val="auto"/>
              </w:rPr>
              <w:t>Pipeline Success Scorecard</w:t>
            </w:r>
            <w:r>
              <w:rPr>
                <w:rFonts w:ascii="Arial" w:cs="Arial" w:eastAsia="Arial" w:hAnsi="Arial"/>
                <w:sz w:val="18"/>
                <w:szCs w:val="18"/>
                <w:b w:val="1"/>
                <w:bCs w:val="1"/>
                <w:color w:val="auto"/>
                <w:vertAlign w:val="superscript"/>
              </w:rPr>
              <w:t>(5)</w:t>
            </w:r>
          </w:p>
        </w:tc>
        <w:tc>
          <w:tcPr>
            <w:tcW w:w="1840" w:type="dxa"/>
            <w:vAlign w:val="bottom"/>
            <w:tcBorders>
              <w:bottom w:val="single" w:sz="8" w:color="852166"/>
            </w:tcBorders>
            <w:shd w:val="clear" w:color="auto" w:fill="EAEAEA"/>
          </w:tcPr>
          <w:p>
            <w:pPr>
              <w:jc w:val="right"/>
              <w:spacing w:after="0"/>
              <w:rPr>
                <w:sz w:val="20"/>
                <w:szCs w:val="20"/>
                <w:color w:val="auto"/>
              </w:rPr>
            </w:pPr>
            <w:r>
              <w:rPr>
                <w:rFonts w:ascii="Arial" w:cs="Arial" w:eastAsia="Arial" w:hAnsi="Arial"/>
                <w:sz w:val="14"/>
                <w:szCs w:val="14"/>
                <w:color w:val="auto"/>
              </w:rPr>
              <w:t>25%</w:t>
            </w:r>
          </w:p>
        </w:tc>
        <w:tc>
          <w:tcPr>
            <w:tcW w:w="180" w:type="dxa"/>
            <w:vAlign w:val="bottom"/>
            <w:tcBorders>
              <w:bottom w:val="single" w:sz="8" w:color="852166"/>
            </w:tcBorders>
            <w:shd w:val="clear" w:color="auto" w:fill="EAEAEA"/>
          </w:tcPr>
          <w:p>
            <w:pPr>
              <w:spacing w:after="0"/>
              <w:rPr>
                <w:sz w:val="20"/>
                <w:szCs w:val="20"/>
                <w:color w:val="auto"/>
              </w:rPr>
            </w:pPr>
          </w:p>
        </w:tc>
        <w:tc>
          <w:tcPr>
            <w:tcW w:w="1160" w:type="dxa"/>
            <w:vAlign w:val="bottom"/>
            <w:tcBorders>
              <w:bottom w:val="single" w:sz="8" w:color="852166"/>
            </w:tcBorders>
            <w:shd w:val="clear" w:color="auto" w:fill="EAEAEA"/>
          </w:tcPr>
          <w:p>
            <w:pPr>
              <w:jc w:val="right"/>
              <w:spacing w:after="0"/>
              <w:rPr>
                <w:sz w:val="20"/>
                <w:szCs w:val="20"/>
                <w:color w:val="auto"/>
              </w:rPr>
            </w:pPr>
            <w:r>
              <w:rPr>
                <w:rFonts w:ascii="Arial" w:cs="Arial" w:eastAsia="Arial" w:hAnsi="Arial"/>
                <w:sz w:val="14"/>
                <w:szCs w:val="14"/>
                <w:color w:val="auto"/>
              </w:rPr>
              <w:t>10 points</w:t>
            </w:r>
          </w:p>
        </w:tc>
        <w:tc>
          <w:tcPr>
            <w:tcW w:w="1320" w:type="dxa"/>
            <w:vAlign w:val="bottom"/>
            <w:tcBorders>
              <w:bottom w:val="single" w:sz="8" w:color="852166"/>
            </w:tcBorders>
            <w:shd w:val="clear" w:color="auto" w:fill="EAEAEA"/>
          </w:tcPr>
          <w:p>
            <w:pPr>
              <w:jc w:val="right"/>
              <w:ind w:right="88"/>
              <w:spacing w:after="0"/>
              <w:rPr>
                <w:sz w:val="20"/>
                <w:szCs w:val="20"/>
                <w:color w:val="auto"/>
              </w:rPr>
            </w:pPr>
            <w:r>
              <w:rPr>
                <w:rFonts w:ascii="Arial" w:cs="Arial" w:eastAsia="Arial" w:hAnsi="Arial"/>
                <w:sz w:val="14"/>
                <w:szCs w:val="14"/>
                <w:color w:val="auto"/>
              </w:rPr>
              <w:t>18 points</w:t>
            </w:r>
          </w:p>
        </w:tc>
        <w:tc>
          <w:tcPr>
            <w:tcW w:w="1120" w:type="dxa"/>
            <w:vAlign w:val="bottom"/>
            <w:tcBorders>
              <w:bottom w:val="single" w:sz="8" w:color="852166"/>
            </w:tcBorders>
            <w:shd w:val="clear" w:color="auto" w:fill="EAEAEA"/>
          </w:tcPr>
          <w:p>
            <w:pPr>
              <w:jc w:val="right"/>
              <w:spacing w:after="0"/>
              <w:rPr>
                <w:sz w:val="20"/>
                <w:szCs w:val="20"/>
                <w:color w:val="auto"/>
              </w:rPr>
            </w:pPr>
            <w:r>
              <w:rPr>
                <w:rFonts w:ascii="Arial" w:cs="Arial" w:eastAsia="Arial" w:hAnsi="Arial"/>
                <w:sz w:val="14"/>
                <w:szCs w:val="14"/>
                <w:color w:val="auto"/>
              </w:rPr>
              <w:t>26 points</w:t>
            </w:r>
          </w:p>
        </w:tc>
        <w:tc>
          <w:tcPr>
            <w:tcW w:w="1920" w:type="dxa"/>
            <w:vAlign w:val="bottom"/>
            <w:tcBorders>
              <w:bottom w:val="single" w:sz="8" w:color="852166"/>
            </w:tcBorders>
            <w:shd w:val="clear" w:color="auto" w:fill="EAEAEA"/>
          </w:tcPr>
          <w:p>
            <w:pPr>
              <w:jc w:val="right"/>
              <w:spacing w:after="0"/>
              <w:rPr>
                <w:sz w:val="20"/>
                <w:szCs w:val="20"/>
                <w:color w:val="auto"/>
              </w:rPr>
            </w:pPr>
            <w:r>
              <w:rPr>
                <w:rFonts w:ascii="Arial" w:cs="Arial" w:eastAsia="Arial" w:hAnsi="Arial"/>
                <w:sz w:val="14"/>
                <w:szCs w:val="14"/>
                <w:color w:val="auto"/>
              </w:rPr>
              <w:t>18 points</w:t>
            </w:r>
          </w:p>
        </w:tc>
        <w:tc>
          <w:tcPr>
            <w:tcW w:w="1320" w:type="dxa"/>
            <w:vAlign w:val="bottom"/>
            <w:tcBorders>
              <w:bottom w:val="single" w:sz="8" w:color="852166"/>
            </w:tcBorders>
            <w:shd w:val="clear" w:color="auto" w:fill="EAEAEA"/>
          </w:tcPr>
          <w:p>
            <w:pPr>
              <w:jc w:val="right"/>
              <w:ind w:right="4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17"/>
        </w:trPr>
        <w:tc>
          <w:tcPr>
            <w:tcW w:w="80" w:type="dxa"/>
            <w:vAlign w:val="bottom"/>
            <w:tcBorders>
              <w:bottom w:val="single" w:sz="8" w:color="852166"/>
            </w:tcBorders>
          </w:tcPr>
          <w:p>
            <w:pPr>
              <w:spacing w:after="0"/>
              <w:rPr>
                <w:sz w:val="18"/>
                <w:szCs w:val="18"/>
                <w:color w:val="auto"/>
              </w:rPr>
            </w:pPr>
          </w:p>
        </w:tc>
        <w:tc>
          <w:tcPr>
            <w:tcW w:w="2300" w:type="dxa"/>
            <w:vAlign w:val="bottom"/>
            <w:tcBorders>
              <w:bottom w:val="single" w:sz="8" w:color="852166"/>
            </w:tcBorders>
          </w:tcPr>
          <w:p>
            <w:pPr>
              <w:spacing w:after="0"/>
              <w:rPr>
                <w:sz w:val="18"/>
                <w:szCs w:val="18"/>
                <w:color w:val="auto"/>
              </w:rPr>
            </w:pPr>
          </w:p>
        </w:tc>
        <w:tc>
          <w:tcPr>
            <w:tcW w:w="1840" w:type="dxa"/>
            <w:vAlign w:val="bottom"/>
            <w:tcBorders>
              <w:bottom w:val="single" w:sz="8" w:color="852166"/>
            </w:tcBorders>
          </w:tcPr>
          <w:p>
            <w:pPr>
              <w:spacing w:after="0"/>
              <w:rPr>
                <w:sz w:val="18"/>
                <w:szCs w:val="18"/>
                <w:color w:val="auto"/>
              </w:rPr>
            </w:pPr>
          </w:p>
        </w:tc>
        <w:tc>
          <w:tcPr>
            <w:tcW w:w="180" w:type="dxa"/>
            <w:vAlign w:val="bottom"/>
            <w:tcBorders>
              <w:bottom w:val="single" w:sz="8" w:color="852166"/>
            </w:tcBorders>
          </w:tcPr>
          <w:p>
            <w:pPr>
              <w:spacing w:after="0"/>
              <w:rPr>
                <w:sz w:val="18"/>
                <w:szCs w:val="18"/>
                <w:color w:val="auto"/>
              </w:rPr>
            </w:pPr>
          </w:p>
        </w:tc>
        <w:tc>
          <w:tcPr>
            <w:tcW w:w="1160" w:type="dxa"/>
            <w:vAlign w:val="bottom"/>
            <w:tcBorders>
              <w:bottom w:val="single" w:sz="8" w:color="852166"/>
            </w:tcBorders>
          </w:tcPr>
          <w:p>
            <w:pPr>
              <w:spacing w:after="0"/>
              <w:rPr>
                <w:sz w:val="18"/>
                <w:szCs w:val="18"/>
                <w:color w:val="auto"/>
              </w:rPr>
            </w:pPr>
          </w:p>
        </w:tc>
        <w:tc>
          <w:tcPr>
            <w:tcW w:w="1320" w:type="dxa"/>
            <w:vAlign w:val="bottom"/>
            <w:tcBorders>
              <w:bottom w:val="single" w:sz="8" w:color="852166"/>
            </w:tcBorders>
          </w:tcPr>
          <w:p>
            <w:pPr>
              <w:spacing w:after="0"/>
              <w:rPr>
                <w:sz w:val="18"/>
                <w:szCs w:val="18"/>
                <w:color w:val="auto"/>
              </w:rPr>
            </w:pPr>
          </w:p>
        </w:tc>
        <w:tc>
          <w:tcPr>
            <w:tcW w:w="3040" w:type="dxa"/>
            <w:vAlign w:val="bottom"/>
            <w:tcBorders>
              <w:bottom w:val="single" w:sz="8" w:color="852166"/>
            </w:tcBorders>
            <w:gridSpan w:val="2"/>
          </w:tcPr>
          <w:p>
            <w:pPr>
              <w:jc w:val="right"/>
              <w:spacing w:after="0"/>
              <w:rPr>
                <w:sz w:val="20"/>
                <w:szCs w:val="20"/>
                <w:color w:val="auto"/>
              </w:rPr>
            </w:pPr>
            <w:r>
              <w:rPr>
                <w:rFonts w:ascii="Arial" w:cs="Arial" w:eastAsia="Arial" w:hAnsi="Arial"/>
                <w:sz w:val="14"/>
                <w:szCs w:val="14"/>
                <w:b w:val="1"/>
                <w:bCs w:val="1"/>
                <w:color w:val="auto"/>
              </w:rPr>
              <w:t>Total Preliminary Results (Weighted)</w:t>
            </w:r>
          </w:p>
        </w:tc>
        <w:tc>
          <w:tcPr>
            <w:tcW w:w="132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b w:val="1"/>
                <w:bCs w:val="1"/>
                <w:color w:val="auto"/>
              </w:rPr>
              <w:t>96%</w:t>
            </w:r>
          </w:p>
        </w:tc>
        <w:tc>
          <w:tcPr>
            <w:tcW w:w="0" w:type="dxa"/>
            <w:vAlign w:val="bottom"/>
          </w:tcPr>
          <w:p>
            <w:pPr>
              <w:spacing w:after="0"/>
              <w:rPr>
                <w:sz w:val="1"/>
                <w:szCs w:val="1"/>
                <w:color w:val="auto"/>
              </w:rPr>
            </w:pPr>
          </w:p>
        </w:tc>
      </w:tr>
      <w:tr>
        <w:trPr>
          <w:trHeight w:val="229"/>
        </w:trPr>
        <w:tc>
          <w:tcPr>
            <w:tcW w:w="80" w:type="dxa"/>
            <w:vAlign w:val="bottom"/>
            <w:shd w:val="clear" w:color="auto" w:fill="EAEAEB"/>
          </w:tcPr>
          <w:p>
            <w:pPr>
              <w:spacing w:after="0"/>
              <w:rPr>
                <w:sz w:val="19"/>
                <w:szCs w:val="19"/>
                <w:color w:val="auto"/>
              </w:rPr>
            </w:pPr>
          </w:p>
        </w:tc>
        <w:tc>
          <w:tcPr>
            <w:tcW w:w="2300" w:type="dxa"/>
            <w:vAlign w:val="bottom"/>
            <w:shd w:val="clear" w:color="auto" w:fill="EAEAEB"/>
          </w:tcPr>
          <w:p>
            <w:pPr>
              <w:spacing w:after="0"/>
              <w:rPr>
                <w:sz w:val="19"/>
                <w:szCs w:val="19"/>
                <w:color w:val="auto"/>
              </w:rPr>
            </w:pPr>
          </w:p>
        </w:tc>
        <w:tc>
          <w:tcPr>
            <w:tcW w:w="1840" w:type="dxa"/>
            <w:vAlign w:val="bottom"/>
            <w:shd w:val="clear" w:color="auto" w:fill="EAEAEB"/>
          </w:tcPr>
          <w:p>
            <w:pPr>
              <w:spacing w:after="0"/>
              <w:rPr>
                <w:sz w:val="19"/>
                <w:szCs w:val="19"/>
                <w:color w:val="auto"/>
              </w:rPr>
            </w:pPr>
          </w:p>
        </w:tc>
        <w:tc>
          <w:tcPr>
            <w:tcW w:w="180" w:type="dxa"/>
            <w:vAlign w:val="bottom"/>
            <w:shd w:val="clear" w:color="auto" w:fill="EAEAEB"/>
          </w:tcPr>
          <w:p>
            <w:pPr>
              <w:spacing w:after="0"/>
              <w:rPr>
                <w:sz w:val="19"/>
                <w:szCs w:val="19"/>
                <w:color w:val="auto"/>
              </w:rPr>
            </w:pPr>
          </w:p>
        </w:tc>
        <w:tc>
          <w:tcPr>
            <w:tcW w:w="1160" w:type="dxa"/>
            <w:vAlign w:val="bottom"/>
            <w:shd w:val="clear" w:color="auto" w:fill="EAEAEB"/>
          </w:tcPr>
          <w:p>
            <w:pPr>
              <w:spacing w:after="0"/>
              <w:rPr>
                <w:sz w:val="19"/>
                <w:szCs w:val="19"/>
                <w:color w:val="auto"/>
              </w:rPr>
            </w:pPr>
          </w:p>
        </w:tc>
        <w:tc>
          <w:tcPr>
            <w:tcW w:w="1320" w:type="dxa"/>
            <w:vAlign w:val="bottom"/>
            <w:shd w:val="clear" w:color="auto" w:fill="EAEAEB"/>
          </w:tcPr>
          <w:p>
            <w:pPr>
              <w:spacing w:after="0"/>
              <w:rPr>
                <w:sz w:val="19"/>
                <w:szCs w:val="19"/>
                <w:color w:val="auto"/>
              </w:rPr>
            </w:pPr>
          </w:p>
        </w:tc>
        <w:tc>
          <w:tcPr>
            <w:tcW w:w="1120" w:type="dxa"/>
            <w:vAlign w:val="bottom"/>
            <w:shd w:val="clear" w:color="auto" w:fill="EAEAEB"/>
          </w:tcPr>
          <w:p>
            <w:pPr>
              <w:spacing w:after="0"/>
              <w:rPr>
                <w:sz w:val="19"/>
                <w:szCs w:val="19"/>
                <w:color w:val="auto"/>
              </w:rPr>
            </w:pPr>
          </w:p>
        </w:tc>
        <w:tc>
          <w:tcPr>
            <w:tcW w:w="1920" w:type="dxa"/>
            <w:vAlign w:val="bottom"/>
            <w:shd w:val="clear" w:color="auto" w:fill="EAEAEB"/>
          </w:tcPr>
          <w:p>
            <w:pPr>
              <w:jc w:val="right"/>
              <w:spacing w:after="0"/>
              <w:rPr>
                <w:sz w:val="20"/>
                <w:szCs w:val="20"/>
                <w:color w:val="auto"/>
              </w:rPr>
            </w:pPr>
            <w:r>
              <w:rPr>
                <w:rFonts w:ascii="Arial" w:cs="Arial" w:eastAsia="Arial" w:hAnsi="Arial"/>
                <w:sz w:val="14"/>
                <w:szCs w:val="14"/>
                <w:b w:val="1"/>
                <w:bCs w:val="1"/>
                <w:color w:val="auto"/>
              </w:rPr>
              <w:t>Actual Performance Result</w:t>
            </w:r>
          </w:p>
        </w:tc>
        <w:tc>
          <w:tcPr>
            <w:tcW w:w="1320" w:type="dxa"/>
            <w:vAlign w:val="bottom"/>
            <w:shd w:val="clear" w:color="auto" w:fill="EAEAEB"/>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80" w:type="dxa"/>
            <w:vAlign w:val="bottom"/>
          </w:tcPr>
          <w:p>
            <w:pPr>
              <w:spacing w:after="0"/>
              <w:rPr>
                <w:sz w:val="24"/>
                <w:szCs w:val="24"/>
                <w:color w:val="auto"/>
              </w:rPr>
            </w:pPr>
          </w:p>
        </w:tc>
        <w:tc>
          <w:tcPr>
            <w:tcW w:w="2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Relative TSR Modifier</w:t>
            </w:r>
          </w:p>
        </w:tc>
        <w:tc>
          <w:tcPr>
            <w:tcW w:w="1840" w:type="dxa"/>
            <w:vAlign w:val="bottom"/>
          </w:tcPr>
          <w:p>
            <w:pPr>
              <w:jc w:val="right"/>
              <w:spacing w:after="0"/>
              <w:rPr>
                <w:sz w:val="20"/>
                <w:szCs w:val="20"/>
                <w:color w:val="auto"/>
              </w:rPr>
            </w:pPr>
            <w:r>
              <w:rPr>
                <w:rFonts w:ascii="Arial" w:cs="Arial" w:eastAsia="Arial" w:hAnsi="Arial"/>
                <w:sz w:val="14"/>
                <w:szCs w:val="14"/>
                <w:color w:val="auto"/>
              </w:rPr>
              <w:t>Peer Group Percentile Rank</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 25th</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50th</w:t>
            </w:r>
          </w:p>
        </w:tc>
        <w:tc>
          <w:tcPr>
            <w:tcW w:w="1120" w:type="dxa"/>
            <w:vAlign w:val="bottom"/>
          </w:tcPr>
          <w:p>
            <w:pPr>
              <w:jc w:val="right"/>
              <w:spacing w:after="0"/>
              <w:rPr>
                <w:sz w:val="20"/>
                <w:szCs w:val="20"/>
                <w:color w:val="auto"/>
              </w:rPr>
            </w:pPr>
            <w:r>
              <w:rPr>
                <w:rFonts w:ascii="Arial" w:cs="Arial" w:eastAsia="Arial" w:hAnsi="Arial"/>
                <w:sz w:val="14"/>
                <w:szCs w:val="14"/>
                <w:color w:val="auto"/>
              </w:rPr>
              <w:t>≥ 75th</w:t>
            </w:r>
          </w:p>
        </w:tc>
        <w:tc>
          <w:tcPr>
            <w:tcW w:w="1920" w:type="dxa"/>
            <w:vAlign w:val="bottom"/>
          </w:tcPr>
          <w:p>
            <w:pPr>
              <w:jc w:val="right"/>
              <w:spacing w:after="0"/>
              <w:rPr>
                <w:sz w:val="20"/>
                <w:szCs w:val="20"/>
                <w:color w:val="auto"/>
              </w:rPr>
            </w:pPr>
            <w:r>
              <w:rPr>
                <w:rFonts w:ascii="Arial" w:cs="Arial" w:eastAsia="Arial" w:hAnsi="Arial"/>
                <w:sz w:val="14"/>
                <w:szCs w:val="14"/>
                <w:color w:val="auto"/>
              </w:rPr>
              <w:t>26th</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80" w:type="dxa"/>
            <w:vAlign w:val="bottom"/>
            <w:tcBorders>
              <w:bottom w:val="single" w:sz="8" w:color="852166"/>
            </w:tcBorders>
          </w:tcPr>
          <w:p>
            <w:pPr>
              <w:spacing w:after="0"/>
              <w:rPr>
                <w:sz w:val="24"/>
                <w:szCs w:val="24"/>
                <w:color w:val="auto"/>
              </w:rPr>
            </w:pPr>
          </w:p>
        </w:tc>
        <w:tc>
          <w:tcPr>
            <w:tcW w:w="2300" w:type="dxa"/>
            <w:vAlign w:val="bottom"/>
            <w:tcBorders>
              <w:bottom w:val="single" w:sz="8" w:color="852166"/>
            </w:tcBorders>
          </w:tcPr>
          <w:p>
            <w:pPr>
              <w:spacing w:after="0"/>
              <w:rPr>
                <w:sz w:val="24"/>
                <w:szCs w:val="24"/>
                <w:color w:val="auto"/>
              </w:rPr>
            </w:pPr>
          </w:p>
        </w:tc>
        <w:tc>
          <w:tcPr>
            <w:tcW w:w="1840" w:type="dxa"/>
            <w:vAlign w:val="bottom"/>
            <w:tcBorders>
              <w:bottom w:val="single" w:sz="8" w:color="852166"/>
            </w:tcBorders>
          </w:tcPr>
          <w:p>
            <w:pPr>
              <w:jc w:val="right"/>
              <w:spacing w:after="0"/>
              <w:rPr>
                <w:sz w:val="20"/>
                <w:szCs w:val="20"/>
                <w:color w:val="auto"/>
              </w:rPr>
            </w:pPr>
            <w:r>
              <w:rPr>
                <w:rFonts w:ascii="Arial" w:cs="Arial" w:eastAsia="Arial" w:hAnsi="Arial"/>
                <w:sz w:val="14"/>
                <w:szCs w:val="14"/>
                <w:color w:val="auto"/>
              </w:rPr>
              <w:t>Payout Modifier</w:t>
            </w:r>
            <w:r>
              <w:rPr>
                <w:rFonts w:ascii="Arial" w:cs="Arial" w:eastAsia="Arial" w:hAnsi="Arial"/>
                <w:sz w:val="18"/>
                <w:szCs w:val="18"/>
                <w:color w:val="auto"/>
                <w:vertAlign w:val="superscript"/>
              </w:rPr>
              <w:t>(6)</w:t>
            </w:r>
          </w:p>
        </w:tc>
        <w:tc>
          <w:tcPr>
            <w:tcW w:w="1340" w:type="dxa"/>
            <w:vAlign w:val="bottom"/>
            <w:tcBorders>
              <w:bottom w:val="single" w:sz="8" w:color="852166"/>
            </w:tcBorders>
            <w:gridSpan w:val="2"/>
          </w:tcPr>
          <w:p>
            <w:pPr>
              <w:jc w:val="right"/>
              <w:spacing w:after="0"/>
              <w:rPr>
                <w:sz w:val="20"/>
                <w:szCs w:val="20"/>
                <w:color w:val="auto"/>
              </w:rPr>
            </w:pPr>
            <w:r>
              <w:rPr>
                <w:rFonts w:ascii="Arial" w:cs="Arial" w:eastAsia="Arial" w:hAnsi="Arial"/>
                <w:sz w:val="14"/>
                <w:szCs w:val="14"/>
                <w:color w:val="auto"/>
              </w:rPr>
              <w:t>75%</w:t>
            </w:r>
          </w:p>
        </w:tc>
        <w:tc>
          <w:tcPr>
            <w:tcW w:w="1320" w:type="dxa"/>
            <w:vAlign w:val="bottom"/>
            <w:tcBorders>
              <w:bottom w:val="single" w:sz="8" w:color="852166"/>
            </w:tcBorders>
          </w:tcPr>
          <w:p>
            <w:pPr>
              <w:jc w:val="right"/>
              <w:ind w:right="88"/>
              <w:spacing w:after="0"/>
              <w:rPr>
                <w:sz w:val="20"/>
                <w:szCs w:val="20"/>
                <w:color w:val="auto"/>
              </w:rPr>
            </w:pPr>
            <w:r>
              <w:rPr>
                <w:rFonts w:ascii="Arial" w:cs="Arial" w:eastAsia="Arial" w:hAnsi="Arial"/>
                <w:sz w:val="14"/>
                <w:szCs w:val="14"/>
                <w:color w:val="auto"/>
              </w:rPr>
              <w:t>100%</w:t>
            </w:r>
          </w:p>
        </w:tc>
        <w:tc>
          <w:tcPr>
            <w:tcW w:w="1120" w:type="dxa"/>
            <w:vAlign w:val="bottom"/>
            <w:tcBorders>
              <w:bottom w:val="single" w:sz="8" w:color="852166"/>
            </w:tcBorders>
          </w:tcPr>
          <w:p>
            <w:pPr>
              <w:jc w:val="right"/>
              <w:spacing w:after="0"/>
              <w:rPr>
                <w:sz w:val="20"/>
                <w:szCs w:val="20"/>
                <w:color w:val="auto"/>
              </w:rPr>
            </w:pPr>
            <w:r>
              <w:rPr>
                <w:rFonts w:ascii="Arial" w:cs="Arial" w:eastAsia="Arial" w:hAnsi="Arial"/>
                <w:sz w:val="14"/>
                <w:szCs w:val="14"/>
                <w:color w:val="auto"/>
              </w:rPr>
              <w:t>125%</w:t>
            </w:r>
          </w:p>
        </w:tc>
        <w:tc>
          <w:tcPr>
            <w:tcW w:w="1920" w:type="dxa"/>
            <w:vAlign w:val="bottom"/>
            <w:tcBorders>
              <w:bottom w:val="single" w:sz="8" w:color="852166"/>
            </w:tcBorders>
          </w:tcPr>
          <w:p>
            <w:pPr>
              <w:jc w:val="right"/>
              <w:spacing w:after="0"/>
              <w:rPr>
                <w:sz w:val="20"/>
                <w:szCs w:val="20"/>
                <w:color w:val="auto"/>
              </w:rPr>
            </w:pPr>
            <w:r>
              <w:rPr>
                <w:rFonts w:ascii="Arial" w:cs="Arial" w:eastAsia="Arial" w:hAnsi="Arial"/>
                <w:sz w:val="14"/>
                <w:szCs w:val="14"/>
                <w:b w:val="1"/>
                <w:bCs w:val="1"/>
                <w:color w:val="auto"/>
              </w:rPr>
              <w:t>76%</w:t>
            </w:r>
          </w:p>
        </w:tc>
        <w:tc>
          <w:tcPr>
            <w:tcW w:w="1320" w:type="dxa"/>
            <w:vAlign w:val="bottom"/>
            <w:tcBorders>
              <w:bottom w:val="single" w:sz="8" w:color="852166"/>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0" w:type="dxa"/>
            <w:vAlign w:val="bottom"/>
            <w:tcBorders>
              <w:bottom w:val="single" w:sz="8" w:color="852166"/>
            </w:tcBorders>
            <w:shd w:val="clear" w:color="auto" w:fill="EAEAEB"/>
          </w:tcPr>
          <w:p>
            <w:pPr>
              <w:spacing w:after="0"/>
              <w:rPr>
                <w:sz w:val="19"/>
                <w:szCs w:val="19"/>
                <w:color w:val="auto"/>
              </w:rPr>
            </w:pPr>
          </w:p>
        </w:tc>
        <w:tc>
          <w:tcPr>
            <w:tcW w:w="2300" w:type="dxa"/>
            <w:vAlign w:val="bottom"/>
            <w:tcBorders>
              <w:bottom w:val="single" w:sz="8" w:color="852166"/>
            </w:tcBorders>
            <w:shd w:val="clear" w:color="auto" w:fill="EAEAEB"/>
          </w:tcPr>
          <w:p>
            <w:pPr>
              <w:spacing w:after="0"/>
              <w:rPr>
                <w:sz w:val="19"/>
                <w:szCs w:val="19"/>
                <w:color w:val="auto"/>
              </w:rPr>
            </w:pPr>
          </w:p>
        </w:tc>
        <w:tc>
          <w:tcPr>
            <w:tcW w:w="1840" w:type="dxa"/>
            <w:vAlign w:val="bottom"/>
            <w:tcBorders>
              <w:bottom w:val="single" w:sz="8" w:color="852166"/>
            </w:tcBorders>
            <w:shd w:val="clear" w:color="auto" w:fill="EAEAEB"/>
          </w:tcPr>
          <w:p>
            <w:pPr>
              <w:spacing w:after="0"/>
              <w:rPr>
                <w:sz w:val="19"/>
                <w:szCs w:val="19"/>
                <w:color w:val="auto"/>
              </w:rPr>
            </w:pPr>
          </w:p>
        </w:tc>
        <w:tc>
          <w:tcPr>
            <w:tcW w:w="180" w:type="dxa"/>
            <w:vAlign w:val="bottom"/>
            <w:tcBorders>
              <w:bottom w:val="single" w:sz="8" w:color="852166"/>
            </w:tcBorders>
            <w:shd w:val="clear" w:color="auto" w:fill="EAEAEB"/>
          </w:tcPr>
          <w:p>
            <w:pPr>
              <w:spacing w:after="0"/>
              <w:rPr>
                <w:sz w:val="19"/>
                <w:szCs w:val="19"/>
                <w:color w:val="auto"/>
              </w:rPr>
            </w:pPr>
          </w:p>
        </w:tc>
        <w:tc>
          <w:tcPr>
            <w:tcW w:w="1160" w:type="dxa"/>
            <w:vAlign w:val="bottom"/>
            <w:tcBorders>
              <w:bottom w:val="single" w:sz="8" w:color="852166"/>
            </w:tcBorders>
            <w:shd w:val="clear" w:color="auto" w:fill="EAEAEB"/>
          </w:tcPr>
          <w:p>
            <w:pPr>
              <w:spacing w:after="0"/>
              <w:rPr>
                <w:sz w:val="19"/>
                <w:szCs w:val="19"/>
                <w:color w:val="auto"/>
              </w:rPr>
            </w:pPr>
          </w:p>
        </w:tc>
        <w:tc>
          <w:tcPr>
            <w:tcW w:w="1320" w:type="dxa"/>
            <w:vAlign w:val="bottom"/>
            <w:tcBorders>
              <w:bottom w:val="single" w:sz="8" w:color="852166"/>
            </w:tcBorders>
            <w:shd w:val="clear" w:color="auto" w:fill="EAEAEB"/>
          </w:tcPr>
          <w:p>
            <w:pPr>
              <w:spacing w:after="0"/>
              <w:rPr>
                <w:sz w:val="19"/>
                <w:szCs w:val="19"/>
                <w:color w:val="auto"/>
              </w:rPr>
            </w:pPr>
          </w:p>
        </w:tc>
        <w:tc>
          <w:tcPr>
            <w:tcW w:w="1120" w:type="dxa"/>
            <w:vAlign w:val="bottom"/>
            <w:tcBorders>
              <w:bottom w:val="single" w:sz="8" w:color="852166"/>
            </w:tcBorders>
            <w:shd w:val="clear" w:color="auto" w:fill="EAEAEB"/>
          </w:tcPr>
          <w:p>
            <w:pPr>
              <w:spacing w:after="0"/>
              <w:rPr>
                <w:sz w:val="19"/>
                <w:szCs w:val="19"/>
                <w:color w:val="auto"/>
              </w:rPr>
            </w:pPr>
          </w:p>
        </w:tc>
        <w:tc>
          <w:tcPr>
            <w:tcW w:w="1920" w:type="dxa"/>
            <w:vAlign w:val="bottom"/>
            <w:tcBorders>
              <w:bottom w:val="single" w:sz="8" w:color="852166"/>
            </w:tcBorders>
            <w:shd w:val="clear" w:color="auto" w:fill="EAEAEB"/>
          </w:tcPr>
          <w:p>
            <w:pPr>
              <w:jc w:val="right"/>
              <w:spacing w:after="0"/>
              <w:rPr>
                <w:sz w:val="20"/>
                <w:szCs w:val="20"/>
                <w:color w:val="auto"/>
              </w:rPr>
            </w:pPr>
            <w:r>
              <w:rPr>
                <w:rFonts w:ascii="Arial" w:cs="Arial" w:eastAsia="Arial" w:hAnsi="Arial"/>
                <w:sz w:val="14"/>
                <w:szCs w:val="14"/>
                <w:b w:val="1"/>
                <w:bCs w:val="1"/>
                <w:color w:val="auto"/>
              </w:rPr>
              <w:t>Final Results (96% x 76%)</w:t>
            </w:r>
          </w:p>
        </w:tc>
        <w:tc>
          <w:tcPr>
            <w:tcW w:w="1320" w:type="dxa"/>
            <w:vAlign w:val="bottom"/>
            <w:tcBorders>
              <w:bottom w:val="single" w:sz="8" w:color="852166"/>
            </w:tcBorders>
            <w:shd w:val="clear" w:color="auto" w:fill="EAEAEB"/>
          </w:tcPr>
          <w:p>
            <w:pPr>
              <w:jc w:val="right"/>
              <w:ind w:right="48"/>
              <w:spacing w:after="0"/>
              <w:rPr>
                <w:sz w:val="20"/>
                <w:szCs w:val="20"/>
                <w:color w:val="auto"/>
              </w:rPr>
            </w:pPr>
            <w:r>
              <w:rPr>
                <w:rFonts w:ascii="Arial" w:cs="Arial" w:eastAsia="Arial" w:hAnsi="Arial"/>
                <w:sz w:val="14"/>
                <w:szCs w:val="14"/>
                <w:b w:val="1"/>
                <w:bCs w:val="1"/>
                <w:color w:val="auto"/>
              </w:rPr>
              <w:t>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-2468245</wp:posOffset>
            </wp:positionV>
            <wp:extent cx="22885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19"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performance result is calculated by linear interpolation between payout goals.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Relative to total patients on Xywav, Xyrem and authorized generic versions of Xyrem.</w:t>
      </w:r>
    </w:p>
    <w:p>
      <w:pPr>
        <w:spacing w:after="0" w:line="82" w:lineRule="exact"/>
        <w:rPr>
          <w:rFonts w:ascii="Arial" w:cs="Arial" w:eastAsia="Arial" w:hAnsi="Arial"/>
          <w:sz w:val="14"/>
          <w:szCs w:val="14"/>
          <w:color w:val="auto"/>
        </w:rPr>
      </w:pP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New product launches include Xywav (all indications), Zepzelca, Rylaze and Sunosi.</w:t>
      </w:r>
    </w:p>
    <w:p>
      <w:pPr>
        <w:spacing w:after="0" w:line="82" w:lineRule="exact"/>
        <w:rPr>
          <w:rFonts w:ascii="Arial" w:cs="Arial" w:eastAsia="Arial" w:hAnsi="Arial"/>
          <w:sz w:val="14"/>
          <w:szCs w:val="14"/>
          <w:color w:val="auto"/>
        </w:rPr>
      </w:pPr>
    </w:p>
    <w:p>
      <w:pPr>
        <w:ind w:left="340" w:right="200" w:hanging="332"/>
        <w:spacing w:after="0" w:line="296" w:lineRule="auto"/>
        <w:tabs>
          <w:tab w:leader="none" w:pos="349"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target 2023 revenue set by our compensation committee in 2021, the year we acquired Epidiolex as part of our acquisition of GW Pharmaceuticals plc, is not being disclosed as it represents confidential commercial and financial information, the disclosure of which would result in competitive harm to us. Our compensation committee believed that it had set performance goals at rigorous and challenging levels that would require significant effort and achievement by our executives to be attained. Such goals were established in light of our internal forecast at the time as well as macroeconomic and industry environments.</w:t>
      </w:r>
    </w:p>
    <w:p>
      <w:pPr>
        <w:spacing w:after="0" w:line="15" w:lineRule="exact"/>
        <w:rPr>
          <w:rFonts w:ascii="Arial" w:cs="Arial" w:eastAsia="Arial" w:hAnsi="Arial"/>
          <w:sz w:val="14"/>
          <w:szCs w:val="14"/>
          <w:color w:val="auto"/>
        </w:rPr>
      </w:pPr>
    </w:p>
    <w:p>
      <w:pPr>
        <w:ind w:left="340" w:right="80" w:hanging="332"/>
        <w:spacing w:after="0" w:line="293" w:lineRule="auto"/>
        <w:tabs>
          <w:tab w:leader="none" w:pos="352" w:val="left"/>
        </w:tabs>
        <w:numPr>
          <w:ilvl w:val="0"/>
          <w:numId w:val="62"/>
        </w:numPr>
        <w:rPr>
          <w:rFonts w:ascii="Arial" w:cs="Arial" w:eastAsia="Arial" w:hAnsi="Arial"/>
          <w:sz w:val="14"/>
          <w:szCs w:val="14"/>
          <w:color w:val="auto"/>
        </w:rPr>
      </w:pPr>
      <w:r>
        <w:rPr>
          <w:rFonts w:ascii="Arial" w:cs="Arial" w:eastAsia="Arial" w:hAnsi="Arial"/>
          <w:sz w:val="14"/>
          <w:szCs w:val="14"/>
          <w:color w:val="auto"/>
        </w:rPr>
        <w:t>One point awarded for each successful INDs; four points awarded for each successful proof of concept study; and six points awarded for each successful pivotal study and/or product approval occurring during the performance period. During the performance period, we achieved the following: six INDs (JZP815, JZP341, JZP541, JZP505, JZP898, and JZP441); one successful pivotal study (JZP598) and one product approval (JZP458).</w:t>
      </w:r>
    </w:p>
    <w:p>
      <w:pPr>
        <w:spacing w:after="0" w:line="17" w:lineRule="exact"/>
        <w:rPr>
          <w:rFonts w:ascii="Arial" w:cs="Arial" w:eastAsia="Arial" w:hAnsi="Arial"/>
          <w:sz w:val="14"/>
          <w:szCs w:val="14"/>
          <w:color w:val="auto"/>
        </w:rPr>
      </w:pPr>
    </w:p>
    <w:p>
      <w:pPr>
        <w:ind w:left="340" w:right="440" w:hanging="332"/>
        <w:spacing w:after="0" w:line="325" w:lineRule="auto"/>
        <w:tabs>
          <w:tab w:leader="none" w:pos="352" w:val="left"/>
        </w:tabs>
        <w:numPr>
          <w:ilvl w:val="0"/>
          <w:numId w:val="62"/>
        </w:numPr>
        <w:rPr>
          <w:rFonts w:ascii="Arial" w:cs="Arial" w:eastAsia="Arial" w:hAnsi="Arial"/>
          <w:sz w:val="14"/>
          <w:szCs w:val="14"/>
          <w:color w:val="auto"/>
        </w:rPr>
      </w:pPr>
      <w:r>
        <w:rPr>
          <w:rFonts w:ascii="Arial" w:cs="Arial" w:eastAsia="Arial" w:hAnsi="Arial"/>
          <w:sz w:val="14"/>
          <w:szCs w:val="14"/>
          <w:color w:val="auto"/>
        </w:rPr>
        <w:t>For every percentile rank between 50th and 25th the payout modifier is decreased by 1% to a maximum of 75%; for every percentile rank between 50th and 75th the payout modifier is increased by 1% up to a maximum of 125%.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407"/>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t>The table below sets forth the total number of 2021 PSUs that vested for each of the NEOs.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shd w:val="clear" w:color="auto" w:fill="852166"/>
          </w:tcPr>
          <w:p>
            <w:pPr>
              <w:ind w:left="100"/>
              <w:spacing w:after="0"/>
              <w:rPr>
                <w:sz w:val="20"/>
                <w:szCs w:val="20"/>
                <w:color w:val="auto"/>
              </w:rPr>
            </w:pPr>
            <w:r>
              <w:rPr>
                <w:rFonts w:ascii="Arial" w:cs="Arial" w:eastAsia="Arial" w:hAnsi="Arial"/>
                <w:sz w:val="14"/>
                <w:szCs w:val="14"/>
                <w:b w:val="1"/>
                <w:bCs w:val="1"/>
                <w:color w:val="FFFFFF"/>
              </w:rPr>
              <w:t>Name</w:t>
            </w:r>
          </w:p>
        </w:tc>
        <w:tc>
          <w:tcPr>
            <w:tcW w:w="4300" w:type="dxa"/>
            <w:vAlign w:val="bottom"/>
            <w:shd w:val="clear" w:color="auto" w:fill="852166"/>
          </w:tcPr>
          <w:p>
            <w:pPr>
              <w:ind w:left="1180"/>
              <w:spacing w:after="0"/>
              <w:rPr>
                <w:sz w:val="20"/>
                <w:szCs w:val="20"/>
                <w:color w:val="auto"/>
              </w:rPr>
            </w:pPr>
            <w:r>
              <w:rPr>
                <w:rFonts w:ascii="Arial" w:cs="Arial" w:eastAsia="Arial" w:hAnsi="Arial"/>
                <w:sz w:val="14"/>
                <w:szCs w:val="14"/>
                <w:b w:val="1"/>
                <w:bCs w:val="1"/>
                <w:color w:val="FFFFFF"/>
              </w:rPr>
              <w:t>Target Number of PSUs Granted</w:t>
            </w:r>
          </w:p>
        </w:tc>
        <w:tc>
          <w:tcPr>
            <w:tcW w:w="4200" w:type="dxa"/>
            <w:vAlign w:val="bottom"/>
            <w:shd w:val="clear" w:color="auto" w:fill="852166"/>
          </w:tcPr>
          <w:p>
            <w:pPr>
              <w:ind w:left="920"/>
              <w:spacing w:after="0"/>
              <w:rPr>
                <w:sz w:val="20"/>
                <w:szCs w:val="20"/>
                <w:color w:val="auto"/>
              </w:rPr>
            </w:pPr>
            <w:r>
              <w:rPr>
                <w:rFonts w:ascii="Arial" w:cs="Arial" w:eastAsia="Arial" w:hAnsi="Arial"/>
                <w:sz w:val="14"/>
                <w:szCs w:val="14"/>
                <w:b w:val="1"/>
                <w:bCs w:val="1"/>
                <w:color w:val="FFFFFF"/>
              </w:rPr>
              <w:t>Actual Number of PSUs Vested</w:t>
            </w:r>
            <w:r>
              <w:rPr>
                <w:rFonts w:ascii="Arial" w:cs="Arial" w:eastAsia="Arial" w:hAnsi="Arial"/>
                <w:sz w:val="9"/>
                <w:szCs w:val="9"/>
                <w:b w:val="1"/>
                <w:bCs w:val="1"/>
                <w:color w:val="FFFFFF"/>
              </w:rPr>
              <w:t>(1)</w:t>
            </w:r>
          </w:p>
        </w:tc>
      </w:tr>
      <w:tr>
        <w:trPr>
          <w:trHeight w:val="67"/>
        </w:trPr>
        <w:tc>
          <w:tcPr>
            <w:tcW w:w="2740" w:type="dxa"/>
            <w:vAlign w:val="bottom"/>
            <w:shd w:val="clear" w:color="auto" w:fill="852166"/>
          </w:tcPr>
          <w:p>
            <w:pPr>
              <w:spacing w:after="0"/>
              <w:rPr>
                <w:sz w:val="5"/>
                <w:szCs w:val="5"/>
                <w:color w:val="auto"/>
              </w:rPr>
            </w:pPr>
          </w:p>
        </w:tc>
        <w:tc>
          <w:tcPr>
            <w:tcW w:w="4300" w:type="dxa"/>
            <w:vAlign w:val="bottom"/>
            <w:shd w:val="clear" w:color="auto" w:fill="852166"/>
          </w:tcPr>
          <w:p>
            <w:pPr>
              <w:spacing w:after="0"/>
              <w:rPr>
                <w:sz w:val="5"/>
                <w:szCs w:val="5"/>
                <w:color w:val="auto"/>
              </w:rPr>
            </w:pPr>
          </w:p>
        </w:tc>
        <w:tc>
          <w:tcPr>
            <w:tcW w:w="4200" w:type="dxa"/>
            <w:vAlign w:val="bottom"/>
            <w:shd w:val="clear" w:color="auto" w:fill="852166"/>
          </w:tcPr>
          <w:p>
            <w:pPr>
              <w:spacing w:after="0"/>
              <w:rPr>
                <w:sz w:val="5"/>
                <w:szCs w:val="5"/>
                <w:color w:val="auto"/>
              </w:rPr>
            </w:pPr>
          </w:p>
        </w:tc>
      </w:tr>
      <w:tr>
        <w:trPr>
          <w:trHeight w:val="222"/>
        </w:trPr>
        <w:tc>
          <w:tcPr>
            <w:tcW w:w="2740" w:type="dxa"/>
            <w:vAlign w:val="bottom"/>
          </w:tcPr>
          <w:p>
            <w:pPr>
              <w:ind w:left="100"/>
              <w:spacing w:after="0"/>
              <w:rPr>
                <w:sz w:val="20"/>
                <w:szCs w:val="20"/>
                <w:color w:val="auto"/>
              </w:rPr>
            </w:pPr>
            <w:r>
              <w:rPr>
                <w:rFonts w:ascii="Arial" w:cs="Arial" w:eastAsia="Arial" w:hAnsi="Arial"/>
                <w:sz w:val="14"/>
                <w:szCs w:val="14"/>
                <w:b w:val="1"/>
                <w:bCs w:val="1"/>
                <w:color w:val="auto"/>
              </w:rPr>
              <w:t>Bruce C. Cozadd</w:t>
            </w:r>
          </w:p>
        </w:tc>
        <w:tc>
          <w:tcPr>
            <w:tcW w:w="4300" w:type="dxa"/>
            <w:vAlign w:val="bottom"/>
          </w:tcPr>
          <w:p>
            <w:pPr>
              <w:jc w:val="center"/>
              <w:ind w:left="348"/>
              <w:spacing w:after="0"/>
              <w:rPr>
                <w:sz w:val="20"/>
                <w:szCs w:val="20"/>
                <w:color w:val="auto"/>
              </w:rPr>
            </w:pPr>
            <w:r>
              <w:rPr>
                <w:rFonts w:ascii="Arial" w:cs="Arial" w:eastAsia="Arial" w:hAnsi="Arial"/>
                <w:sz w:val="14"/>
                <w:szCs w:val="14"/>
                <w:color w:val="auto"/>
              </w:rPr>
              <w:t>36,365</w:t>
            </w:r>
          </w:p>
        </w:tc>
        <w:tc>
          <w:tcPr>
            <w:tcW w:w="4200" w:type="dxa"/>
            <w:vAlign w:val="bottom"/>
          </w:tcPr>
          <w:p>
            <w:pPr>
              <w:jc w:val="center"/>
              <w:spacing w:after="0"/>
              <w:rPr>
                <w:sz w:val="20"/>
                <w:szCs w:val="20"/>
                <w:color w:val="auto"/>
              </w:rPr>
            </w:pPr>
            <w:r>
              <w:rPr>
                <w:rFonts w:ascii="Arial" w:cs="Arial" w:eastAsia="Arial" w:hAnsi="Arial"/>
                <w:sz w:val="14"/>
                <w:szCs w:val="14"/>
                <w:color w:val="auto"/>
              </w:rPr>
              <w:t>26,545</w:t>
            </w:r>
          </w:p>
        </w:tc>
      </w:tr>
      <w:tr>
        <w:trPr>
          <w:trHeight w:val="237"/>
        </w:trPr>
        <w:tc>
          <w:tcPr>
            <w:tcW w:w="2740" w:type="dxa"/>
            <w:vAlign w:val="bottom"/>
            <w:shd w:val="clear" w:color="auto" w:fill="EAEAEA"/>
          </w:tcPr>
          <w:p>
            <w:pPr>
              <w:ind w:left="100"/>
              <w:spacing w:after="0"/>
              <w:rPr>
                <w:sz w:val="20"/>
                <w:szCs w:val="20"/>
                <w:color w:val="auto"/>
              </w:rPr>
            </w:pPr>
            <w:r>
              <w:rPr>
                <w:rFonts w:ascii="Arial" w:cs="Arial" w:eastAsia="Arial" w:hAnsi="Arial"/>
                <w:sz w:val="14"/>
                <w:szCs w:val="14"/>
                <w:b w:val="1"/>
                <w:bCs w:val="1"/>
                <w:color w:val="auto"/>
              </w:rPr>
              <w:t>Renée Galá</w:t>
            </w:r>
          </w:p>
        </w:tc>
        <w:tc>
          <w:tcPr>
            <w:tcW w:w="4300" w:type="dxa"/>
            <w:vAlign w:val="bottom"/>
            <w:shd w:val="clear" w:color="auto" w:fill="EAEAEA"/>
          </w:tcPr>
          <w:p>
            <w:pPr>
              <w:jc w:val="center"/>
              <w:ind w:left="348"/>
              <w:spacing w:after="0"/>
              <w:rPr>
                <w:sz w:val="20"/>
                <w:szCs w:val="20"/>
                <w:color w:val="auto"/>
              </w:rPr>
            </w:pPr>
            <w:r>
              <w:rPr>
                <w:rFonts w:ascii="Arial" w:cs="Arial" w:eastAsia="Arial" w:hAnsi="Arial"/>
                <w:sz w:val="14"/>
                <w:szCs w:val="14"/>
                <w:color w:val="auto"/>
              </w:rPr>
              <w:t>9,700</w:t>
            </w:r>
          </w:p>
        </w:tc>
        <w:tc>
          <w:tcPr>
            <w:tcW w:w="4200" w:type="dxa"/>
            <w:vAlign w:val="bottom"/>
            <w:shd w:val="clear" w:color="auto" w:fill="EAEAEA"/>
          </w:tcPr>
          <w:p>
            <w:pPr>
              <w:jc w:val="center"/>
              <w:spacing w:after="0"/>
              <w:rPr>
                <w:sz w:val="20"/>
                <w:szCs w:val="20"/>
                <w:color w:val="auto"/>
              </w:rPr>
            </w:pPr>
            <w:r>
              <w:rPr>
                <w:rFonts w:ascii="Arial" w:cs="Arial" w:eastAsia="Arial" w:hAnsi="Arial"/>
                <w:sz w:val="14"/>
                <w:szCs w:val="14"/>
                <w:color w:val="auto"/>
              </w:rPr>
              <w:t>7,079</w:t>
            </w:r>
          </w:p>
        </w:tc>
      </w:tr>
      <w:tr>
        <w:trPr>
          <w:trHeight w:val="222"/>
        </w:trPr>
        <w:tc>
          <w:tcPr>
            <w:tcW w:w="2740" w:type="dxa"/>
            <w:vAlign w:val="bottom"/>
          </w:tcPr>
          <w:p>
            <w:pPr>
              <w:ind w:left="100"/>
              <w:spacing w:after="0"/>
              <w:rPr>
                <w:sz w:val="20"/>
                <w:szCs w:val="20"/>
                <w:color w:val="auto"/>
              </w:rPr>
            </w:pPr>
            <w:r>
              <w:rPr>
                <w:rFonts w:ascii="Arial" w:cs="Arial" w:eastAsia="Arial" w:hAnsi="Arial"/>
                <w:sz w:val="14"/>
                <w:szCs w:val="14"/>
                <w:b w:val="1"/>
                <w:bCs w:val="1"/>
                <w:color w:val="auto"/>
              </w:rPr>
              <w:t>Patricia Carr</w:t>
            </w:r>
          </w:p>
        </w:tc>
        <w:tc>
          <w:tcPr>
            <w:tcW w:w="4300" w:type="dxa"/>
            <w:vAlign w:val="bottom"/>
          </w:tcPr>
          <w:p>
            <w:pPr>
              <w:jc w:val="center"/>
              <w:ind w:left="348"/>
              <w:spacing w:after="0"/>
              <w:rPr>
                <w:sz w:val="20"/>
                <w:szCs w:val="20"/>
                <w:color w:val="auto"/>
              </w:rPr>
            </w:pPr>
            <w:r>
              <w:rPr>
                <w:rFonts w:ascii="Arial" w:cs="Arial" w:eastAsia="Arial" w:hAnsi="Arial"/>
                <w:sz w:val="14"/>
                <w:szCs w:val="14"/>
                <w:color w:val="auto"/>
              </w:rPr>
              <w:t>1,820</w:t>
            </w:r>
          </w:p>
        </w:tc>
        <w:tc>
          <w:tcPr>
            <w:tcW w:w="4200" w:type="dxa"/>
            <w:vAlign w:val="bottom"/>
          </w:tcPr>
          <w:p>
            <w:pPr>
              <w:jc w:val="center"/>
              <w:spacing w:after="0"/>
              <w:rPr>
                <w:sz w:val="20"/>
                <w:szCs w:val="20"/>
                <w:color w:val="auto"/>
              </w:rPr>
            </w:pPr>
            <w:r>
              <w:rPr>
                <w:rFonts w:ascii="Arial" w:cs="Arial" w:eastAsia="Arial" w:hAnsi="Arial"/>
                <w:sz w:val="14"/>
                <w:szCs w:val="14"/>
                <w:color w:val="auto"/>
              </w:rPr>
              <w:t>1,327</w:t>
            </w:r>
          </w:p>
        </w:tc>
      </w:tr>
      <w:tr>
        <w:trPr>
          <w:trHeight w:val="237"/>
        </w:trPr>
        <w:tc>
          <w:tcPr>
            <w:tcW w:w="2740" w:type="dxa"/>
            <w:vAlign w:val="bottom"/>
            <w:shd w:val="clear" w:color="auto" w:fill="EAEAEA"/>
          </w:tcPr>
          <w:p>
            <w:pPr>
              <w:ind w:left="100"/>
              <w:spacing w:after="0"/>
              <w:rPr>
                <w:sz w:val="20"/>
                <w:szCs w:val="20"/>
                <w:color w:val="auto"/>
              </w:rPr>
            </w:pPr>
            <w:r>
              <w:rPr>
                <w:rFonts w:ascii="Arial" w:cs="Arial" w:eastAsia="Arial" w:hAnsi="Arial"/>
                <w:sz w:val="14"/>
                <w:szCs w:val="14"/>
                <w:b w:val="1"/>
                <w:bCs w:val="1"/>
                <w:color w:val="auto"/>
              </w:rPr>
              <w:t>Robert Iannone</w:t>
            </w:r>
          </w:p>
        </w:tc>
        <w:tc>
          <w:tcPr>
            <w:tcW w:w="4300" w:type="dxa"/>
            <w:vAlign w:val="bottom"/>
            <w:shd w:val="clear" w:color="auto" w:fill="EAEAEA"/>
          </w:tcPr>
          <w:p>
            <w:pPr>
              <w:jc w:val="center"/>
              <w:ind w:left="348"/>
              <w:spacing w:after="0"/>
              <w:rPr>
                <w:sz w:val="20"/>
                <w:szCs w:val="20"/>
                <w:color w:val="auto"/>
              </w:rPr>
            </w:pPr>
            <w:r>
              <w:rPr>
                <w:rFonts w:ascii="Arial" w:cs="Arial" w:eastAsia="Arial" w:hAnsi="Arial"/>
                <w:sz w:val="14"/>
                <w:szCs w:val="14"/>
                <w:color w:val="auto"/>
              </w:rPr>
              <w:t>8,180</w:t>
            </w:r>
          </w:p>
        </w:tc>
        <w:tc>
          <w:tcPr>
            <w:tcW w:w="4200" w:type="dxa"/>
            <w:vAlign w:val="bottom"/>
            <w:shd w:val="clear" w:color="auto" w:fill="EAEAEA"/>
          </w:tcPr>
          <w:p>
            <w:pPr>
              <w:jc w:val="center"/>
              <w:spacing w:after="0"/>
              <w:rPr>
                <w:sz w:val="20"/>
                <w:szCs w:val="20"/>
                <w:color w:val="auto"/>
              </w:rPr>
            </w:pPr>
            <w:r>
              <w:rPr>
                <w:rFonts w:ascii="Arial" w:cs="Arial" w:eastAsia="Arial" w:hAnsi="Arial"/>
                <w:sz w:val="14"/>
                <w:szCs w:val="14"/>
                <w:color w:val="auto"/>
              </w:rPr>
              <w:t>5,970</w:t>
            </w:r>
          </w:p>
        </w:tc>
      </w:tr>
      <w:tr>
        <w:trPr>
          <w:trHeight w:val="222"/>
        </w:trPr>
        <w:tc>
          <w:tcPr>
            <w:tcW w:w="2740" w:type="dxa"/>
            <w:vAlign w:val="bottom"/>
          </w:tcPr>
          <w:p>
            <w:pPr>
              <w:ind w:left="100"/>
              <w:spacing w:after="0"/>
              <w:rPr>
                <w:sz w:val="20"/>
                <w:szCs w:val="20"/>
                <w:color w:val="auto"/>
              </w:rPr>
            </w:pPr>
            <w:r>
              <w:rPr>
                <w:rFonts w:ascii="Arial" w:cs="Arial" w:eastAsia="Arial" w:hAnsi="Arial"/>
                <w:sz w:val="14"/>
                <w:szCs w:val="14"/>
                <w:b w:val="1"/>
                <w:bCs w:val="1"/>
                <w:color w:val="auto"/>
              </w:rPr>
              <w:t>Neena M. Patil</w:t>
            </w:r>
          </w:p>
        </w:tc>
        <w:tc>
          <w:tcPr>
            <w:tcW w:w="4300" w:type="dxa"/>
            <w:vAlign w:val="bottom"/>
          </w:tcPr>
          <w:p>
            <w:pPr>
              <w:jc w:val="center"/>
              <w:ind w:left="348"/>
              <w:spacing w:after="0"/>
              <w:rPr>
                <w:sz w:val="20"/>
                <w:szCs w:val="20"/>
                <w:color w:val="auto"/>
              </w:rPr>
            </w:pPr>
            <w:r>
              <w:rPr>
                <w:rFonts w:ascii="Arial" w:cs="Arial" w:eastAsia="Arial" w:hAnsi="Arial"/>
                <w:sz w:val="14"/>
                <w:szCs w:val="14"/>
                <w:color w:val="auto"/>
              </w:rPr>
              <w:t>6,970</w:t>
            </w:r>
          </w:p>
        </w:tc>
        <w:tc>
          <w:tcPr>
            <w:tcW w:w="4200" w:type="dxa"/>
            <w:vAlign w:val="bottom"/>
          </w:tcPr>
          <w:p>
            <w:pPr>
              <w:jc w:val="center"/>
              <w:spacing w:after="0"/>
              <w:rPr>
                <w:sz w:val="20"/>
                <w:szCs w:val="20"/>
                <w:color w:val="auto"/>
              </w:rPr>
            </w:pPr>
            <w:r>
              <w:rPr>
                <w:rFonts w:ascii="Arial" w:cs="Arial" w:eastAsia="Arial" w:hAnsi="Arial"/>
                <w:sz w:val="14"/>
                <w:szCs w:val="14"/>
                <w:color w:val="auto"/>
              </w:rPr>
              <w:t>5,087</w:t>
            </w:r>
          </w:p>
        </w:tc>
      </w:tr>
      <w:tr>
        <w:trPr>
          <w:trHeight w:val="237"/>
        </w:trPr>
        <w:tc>
          <w:tcPr>
            <w:tcW w:w="2740" w:type="dxa"/>
            <w:vAlign w:val="bottom"/>
            <w:shd w:val="clear" w:color="auto" w:fill="EAEAEA"/>
          </w:tcPr>
          <w:p>
            <w:pPr>
              <w:ind w:left="100"/>
              <w:spacing w:after="0"/>
              <w:rPr>
                <w:sz w:val="20"/>
                <w:szCs w:val="20"/>
                <w:color w:val="auto"/>
              </w:rPr>
            </w:pPr>
            <w:r>
              <w:rPr>
                <w:rFonts w:ascii="Arial" w:cs="Arial" w:eastAsia="Arial" w:hAnsi="Arial"/>
                <w:sz w:val="14"/>
                <w:szCs w:val="14"/>
                <w:b w:val="1"/>
                <w:bCs w:val="1"/>
                <w:color w:val="auto"/>
              </w:rPr>
              <w:t>Daniel N. Swisher, Jr.</w:t>
            </w:r>
          </w:p>
        </w:tc>
        <w:tc>
          <w:tcPr>
            <w:tcW w:w="4300" w:type="dxa"/>
            <w:vAlign w:val="bottom"/>
            <w:shd w:val="clear" w:color="auto" w:fill="EAEAEA"/>
          </w:tcPr>
          <w:p>
            <w:pPr>
              <w:jc w:val="center"/>
              <w:ind w:left="348"/>
              <w:spacing w:after="0"/>
              <w:rPr>
                <w:sz w:val="20"/>
                <w:szCs w:val="20"/>
                <w:color w:val="auto"/>
              </w:rPr>
            </w:pPr>
            <w:r>
              <w:rPr>
                <w:rFonts w:ascii="Arial" w:cs="Arial" w:eastAsia="Arial" w:hAnsi="Arial"/>
                <w:sz w:val="14"/>
                <w:szCs w:val="14"/>
                <w:color w:val="auto"/>
              </w:rPr>
              <w:t>10,891</w:t>
            </w:r>
          </w:p>
        </w:tc>
        <w:tc>
          <w:tcPr>
            <w:tcW w:w="4200" w:type="dxa"/>
            <w:vAlign w:val="bottom"/>
            <w:shd w:val="clear" w:color="auto" w:fill="EAEAEA"/>
          </w:tcPr>
          <w:p>
            <w:pPr>
              <w:jc w:val="center"/>
              <w:spacing w:after="0"/>
              <w:rPr>
                <w:sz w:val="20"/>
                <w:szCs w:val="20"/>
                <w:color w:val="auto"/>
              </w:rPr>
            </w:pPr>
            <w:r>
              <w:rPr>
                <w:rFonts w:ascii="Arial" w:cs="Arial" w:eastAsia="Arial" w:hAnsi="Arial"/>
                <w:sz w:val="14"/>
                <w:szCs w:val="14"/>
                <w:color w:val="auto"/>
              </w:rPr>
              <w:t>7,949</w:t>
            </w:r>
          </w:p>
        </w:tc>
      </w:tr>
      <w:tr>
        <w:trPr>
          <w:trHeight w:val="223"/>
        </w:trPr>
        <w:tc>
          <w:tcPr>
            <w:tcW w:w="2740" w:type="dxa"/>
            <w:vAlign w:val="bottom"/>
            <w:tcBorders>
              <w:bottom w:val="single" w:sz="8" w:color="95427B"/>
            </w:tcBorders>
          </w:tcPr>
          <w:p>
            <w:pPr>
              <w:ind w:left="100"/>
              <w:spacing w:after="0"/>
              <w:rPr>
                <w:sz w:val="20"/>
                <w:szCs w:val="20"/>
                <w:color w:val="auto"/>
              </w:rPr>
            </w:pPr>
            <w:r>
              <w:rPr>
                <w:rFonts w:ascii="Arial" w:cs="Arial" w:eastAsia="Arial" w:hAnsi="Arial"/>
                <w:sz w:val="14"/>
                <w:szCs w:val="14"/>
                <w:b w:val="1"/>
                <w:bCs w:val="1"/>
                <w:color w:val="auto"/>
              </w:rPr>
              <w:t>Kim Sablich</w:t>
            </w:r>
          </w:p>
        </w:tc>
        <w:tc>
          <w:tcPr>
            <w:tcW w:w="4300" w:type="dxa"/>
            <w:vAlign w:val="bottom"/>
            <w:tcBorders>
              <w:bottom w:val="single" w:sz="8" w:color="95427B"/>
            </w:tcBorders>
          </w:tcPr>
          <w:p>
            <w:pPr>
              <w:jc w:val="center"/>
              <w:ind w:left="348"/>
              <w:spacing w:after="0"/>
              <w:rPr>
                <w:sz w:val="20"/>
                <w:szCs w:val="20"/>
                <w:color w:val="auto"/>
              </w:rPr>
            </w:pPr>
            <w:r>
              <w:rPr>
                <w:rFonts w:ascii="Arial" w:cs="Arial" w:eastAsia="Arial" w:hAnsi="Arial"/>
                <w:sz w:val="14"/>
                <w:szCs w:val="14"/>
                <w:color w:val="auto"/>
              </w:rPr>
              <w:t>8,180</w:t>
            </w:r>
          </w:p>
        </w:tc>
        <w:tc>
          <w:tcPr>
            <w:tcW w:w="4200" w:type="dxa"/>
            <w:vAlign w:val="bottom"/>
            <w:tcBorders>
              <w:bottom w:val="single" w:sz="8" w:color="95427B"/>
            </w:tcBorders>
          </w:tcPr>
          <w:p>
            <w:pPr>
              <w:jc w:val="center"/>
              <w:spacing w:after="0"/>
              <w:rPr>
                <w:sz w:val="20"/>
                <w:szCs w:val="20"/>
                <w:color w:val="auto"/>
              </w:rPr>
            </w:pPr>
            <w:r>
              <w:rPr>
                <w:rFonts w:ascii="Arial" w:cs="Arial" w:eastAsia="Arial" w:hAnsi="Arial"/>
                <w:sz w:val="14"/>
                <w:szCs w:val="14"/>
                <w:color w:val="auto"/>
              </w:rPr>
              <w:t>5,970</w:t>
            </w:r>
          </w:p>
        </w:tc>
      </w:tr>
    </w:tbl>
    <w:p>
      <w:pPr>
        <w:spacing w:after="0" w:line="139"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PSUs vested on January 17, 2024.</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Individual NEO Compensation Decisions</w:t>
      </w:r>
    </w:p>
    <w:p>
      <w:pPr>
        <w:spacing w:after="0" w:line="12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Below are summaries, for each NEO individually, of our compensation committee’s (and, as applicable, our board’s) decisions about 2023 target total direct compensation and the changes from each NEO’s 2022 target total direct compensation. As described above, when making the 2023 compensation decisions, our compensation committee (or our board, as applicable) focused primarily on the target total direct compensation for each NEO while considering the factors set forth in the section titled </w:t>
      </w:r>
      <w:r>
        <w:rPr>
          <w:rFonts w:ascii="Arial" w:cs="Arial" w:eastAsia="Arial" w:hAnsi="Arial"/>
          <w:sz w:val="16"/>
          <w:szCs w:val="16"/>
          <w:i w:val="1"/>
          <w:iCs w:val="1"/>
          <w:color w:val="auto"/>
        </w:rPr>
        <w:t>“How We Determine Executive Compensation—Factors Used in Determining Executive Compensation”</w:t>
      </w:r>
      <w:r>
        <w:rPr>
          <w:rFonts w:ascii="Arial" w:cs="Arial" w:eastAsia="Arial" w:hAnsi="Arial"/>
          <w:sz w:val="16"/>
          <w:szCs w:val="16"/>
          <w:color w:val="auto"/>
        </w:rPr>
        <w:t xml:space="preserve"> and our compensation committee’s specific compensation objectives for 2023. The footnotes to the tables also include the actual performance bonus paid to each of the NEOs for 2023 and how that actual bonus compared to each NEO’s target bonus. Additionally, for each NEO, the target equity compensation presented in the charts below reflect the target dollar value approved by our compensation committee (and, with respect to Mr. Cozadd, our board), which is different from the grant date fair value as reported in the Summary Compensation Table and Grants of Plan-Based Awards Table, as further described under </w:t>
      </w:r>
      <w:r>
        <w:rPr>
          <w:rFonts w:ascii="Arial" w:cs="Arial" w:eastAsia="Arial" w:hAnsi="Arial"/>
          <w:sz w:val="16"/>
          <w:szCs w:val="16"/>
          <w:i w:val="1"/>
          <w:iCs w:val="1"/>
          <w:color w:val="auto"/>
        </w:rPr>
        <w:t xml:space="preserve">“Summary of 2023 Compensation Decisions—Long-Term Incentive Program” </w:t>
      </w:r>
      <w:r>
        <w:rPr>
          <w:rFonts w:ascii="Arial" w:cs="Arial" w:eastAsia="Arial" w:hAnsi="Arial"/>
          <w:sz w:val="16"/>
          <w:szCs w:val="16"/>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color w:val="852166"/>
        </w:rPr>
        <w:t>Bruce C. Cozadd, Chairperson and CEO</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20" w:type="dxa"/>
            <w:vAlign w:val="bottom"/>
            <w:shd w:val="clear" w:color="auto" w:fill="852166"/>
          </w:tcPr>
          <w:p>
            <w:pPr>
              <w:spacing w:after="0"/>
              <w:rPr>
                <w:sz w:val="16"/>
                <w:szCs w:val="16"/>
                <w:color w:val="auto"/>
              </w:rPr>
            </w:pPr>
          </w:p>
        </w:tc>
        <w:tc>
          <w:tcPr>
            <w:tcW w:w="3560" w:type="dxa"/>
            <w:vAlign w:val="bottom"/>
            <w:shd w:val="clear" w:color="auto" w:fill="852166"/>
          </w:tcPr>
          <w:p>
            <w:pPr>
              <w:jc w:val="right"/>
              <w:ind w:right="248"/>
              <w:spacing w:after="0"/>
              <w:rPr>
                <w:sz w:val="20"/>
                <w:szCs w:val="20"/>
                <w:color w:val="auto"/>
              </w:rPr>
            </w:pPr>
            <w:r>
              <w:rPr>
                <w:rFonts w:ascii="Arial" w:cs="Arial" w:eastAsia="Arial" w:hAnsi="Arial"/>
                <w:sz w:val="14"/>
                <w:szCs w:val="14"/>
                <w:b w:val="1"/>
                <w:bCs w:val="1"/>
                <w:color w:val="FFFFFF"/>
              </w:rPr>
              <w:t>2022 Pay</w:t>
            </w:r>
          </w:p>
        </w:tc>
        <w:tc>
          <w:tcPr>
            <w:tcW w:w="1540" w:type="dxa"/>
            <w:vAlign w:val="bottom"/>
            <w:shd w:val="clear" w:color="auto" w:fill="852166"/>
          </w:tcPr>
          <w:p>
            <w:pPr>
              <w:jc w:val="right"/>
              <w:ind w:right="428"/>
              <w:spacing w:after="0"/>
              <w:rPr>
                <w:sz w:val="20"/>
                <w:szCs w:val="20"/>
                <w:color w:val="auto"/>
              </w:rPr>
            </w:pPr>
            <w:r>
              <w:rPr>
                <w:rFonts w:ascii="Arial" w:cs="Arial" w:eastAsia="Arial" w:hAnsi="Arial"/>
                <w:sz w:val="14"/>
                <w:szCs w:val="14"/>
                <w:b w:val="1"/>
                <w:bCs w:val="1"/>
                <w:color w:val="FFFFFF"/>
              </w:rPr>
              <w:t>2023 Pay</w:t>
            </w:r>
          </w:p>
        </w:tc>
        <w:tc>
          <w:tcPr>
            <w:tcW w:w="1120" w:type="dxa"/>
            <w:vAlign w:val="bottom"/>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Change</w:t>
            </w:r>
          </w:p>
        </w:tc>
      </w:tr>
      <w:tr>
        <w:trPr>
          <w:trHeight w:val="196"/>
        </w:trPr>
        <w:tc>
          <w:tcPr>
            <w:tcW w:w="5020" w:type="dxa"/>
            <w:vAlign w:val="bottom"/>
            <w:shd w:val="clear" w:color="auto" w:fill="852166"/>
          </w:tcPr>
          <w:p>
            <w:pPr>
              <w:spacing w:after="0"/>
              <w:rPr>
                <w:sz w:val="17"/>
                <w:szCs w:val="17"/>
                <w:color w:val="auto"/>
              </w:rPr>
            </w:pPr>
          </w:p>
        </w:tc>
        <w:tc>
          <w:tcPr>
            <w:tcW w:w="3560" w:type="dxa"/>
            <w:vAlign w:val="bottom"/>
            <w:shd w:val="clear" w:color="auto" w:fill="852166"/>
          </w:tcPr>
          <w:p>
            <w:pPr>
              <w:jc w:val="right"/>
              <w:ind w:right="248"/>
              <w:spacing w:after="0"/>
              <w:rPr>
                <w:sz w:val="20"/>
                <w:szCs w:val="20"/>
                <w:color w:val="auto"/>
              </w:rPr>
            </w:pPr>
            <w:r>
              <w:rPr>
                <w:rFonts w:ascii="Arial" w:cs="Arial" w:eastAsia="Arial" w:hAnsi="Arial"/>
                <w:sz w:val="14"/>
                <w:szCs w:val="14"/>
                <w:b w:val="1"/>
                <w:bCs w:val="1"/>
                <w:color w:val="FFFFFF"/>
              </w:rPr>
              <w:t>($)</w:t>
            </w:r>
          </w:p>
        </w:tc>
        <w:tc>
          <w:tcPr>
            <w:tcW w:w="1540" w:type="dxa"/>
            <w:vAlign w:val="bottom"/>
            <w:shd w:val="clear" w:color="auto" w:fill="852166"/>
          </w:tcPr>
          <w:p>
            <w:pPr>
              <w:jc w:val="right"/>
              <w:ind w:right="428"/>
              <w:spacing w:after="0"/>
              <w:rPr>
                <w:sz w:val="20"/>
                <w:szCs w:val="20"/>
                <w:color w:val="auto"/>
              </w:rPr>
            </w:pPr>
            <w:r>
              <w:rPr>
                <w:rFonts w:ascii="Arial" w:cs="Arial" w:eastAsia="Arial" w:hAnsi="Arial"/>
                <w:sz w:val="14"/>
                <w:szCs w:val="14"/>
                <w:b w:val="1"/>
                <w:bCs w:val="1"/>
                <w:color w:val="FFFFFF"/>
              </w:rPr>
              <w:t>($)</w:t>
            </w:r>
          </w:p>
        </w:tc>
        <w:tc>
          <w:tcPr>
            <w:tcW w:w="1120" w:type="dxa"/>
            <w:vAlign w:val="bottom"/>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70"/>
        </w:trPr>
        <w:tc>
          <w:tcPr>
            <w:tcW w:w="5020" w:type="dxa"/>
            <w:vAlign w:val="bottom"/>
            <w:shd w:val="clear" w:color="auto" w:fill="852166"/>
          </w:tcPr>
          <w:p>
            <w:pPr>
              <w:spacing w:after="0"/>
              <w:rPr>
                <w:sz w:val="6"/>
                <w:szCs w:val="6"/>
                <w:color w:val="auto"/>
              </w:rPr>
            </w:pPr>
          </w:p>
        </w:tc>
        <w:tc>
          <w:tcPr>
            <w:tcW w:w="3560" w:type="dxa"/>
            <w:vAlign w:val="bottom"/>
            <w:shd w:val="clear" w:color="auto" w:fill="852166"/>
          </w:tcPr>
          <w:p>
            <w:pPr>
              <w:spacing w:after="0"/>
              <w:rPr>
                <w:sz w:val="6"/>
                <w:szCs w:val="6"/>
                <w:color w:val="auto"/>
              </w:rPr>
            </w:pPr>
          </w:p>
        </w:tc>
        <w:tc>
          <w:tcPr>
            <w:tcW w:w="1540" w:type="dxa"/>
            <w:vAlign w:val="bottom"/>
            <w:shd w:val="clear" w:color="auto" w:fill="852166"/>
          </w:tcPr>
          <w:p>
            <w:pPr>
              <w:spacing w:after="0"/>
              <w:rPr>
                <w:sz w:val="6"/>
                <w:szCs w:val="6"/>
                <w:color w:val="auto"/>
              </w:rPr>
            </w:pPr>
          </w:p>
        </w:tc>
        <w:tc>
          <w:tcPr>
            <w:tcW w:w="1120" w:type="dxa"/>
            <w:vAlign w:val="bottom"/>
            <w:shd w:val="clear" w:color="auto" w:fill="852166"/>
          </w:tcPr>
          <w:p>
            <w:pPr>
              <w:spacing w:after="0"/>
              <w:rPr>
                <w:sz w:val="6"/>
                <w:szCs w:val="6"/>
                <w:color w:val="auto"/>
              </w:rPr>
            </w:pPr>
          </w:p>
        </w:tc>
      </w:tr>
      <w:tr>
        <w:trPr>
          <w:trHeight w:val="229"/>
        </w:trPr>
        <w:tc>
          <w:tcPr>
            <w:tcW w:w="5020" w:type="dxa"/>
            <w:vAlign w:val="bottom"/>
            <w:shd w:val="clear" w:color="auto" w:fill="EAEAEA"/>
          </w:tcPr>
          <w:p>
            <w:pPr>
              <w:ind w:left="100"/>
              <w:spacing w:after="0"/>
              <w:rPr>
                <w:sz w:val="20"/>
                <w:szCs w:val="20"/>
                <w:color w:val="auto"/>
              </w:rPr>
            </w:pPr>
            <w:r>
              <w:rPr>
                <w:rFonts w:ascii="Arial" w:cs="Arial" w:eastAsia="Arial" w:hAnsi="Arial"/>
                <w:sz w:val="14"/>
                <w:szCs w:val="14"/>
                <w:b w:val="1"/>
                <w:bCs w:val="1"/>
                <w:color w:val="auto"/>
              </w:rPr>
              <w:t>Target Total Cash Compensation</w:t>
            </w:r>
          </w:p>
        </w:tc>
        <w:tc>
          <w:tcPr>
            <w:tcW w:w="3560" w:type="dxa"/>
            <w:vAlign w:val="bottom"/>
            <w:shd w:val="clear" w:color="auto" w:fill="EAEAEA"/>
          </w:tcPr>
          <w:p>
            <w:pPr>
              <w:jc w:val="right"/>
              <w:ind w:right="248"/>
              <w:spacing w:after="0"/>
              <w:rPr>
                <w:sz w:val="20"/>
                <w:szCs w:val="20"/>
                <w:color w:val="auto"/>
              </w:rPr>
            </w:pPr>
            <w:r>
              <w:rPr>
                <w:rFonts w:ascii="Arial" w:cs="Arial" w:eastAsia="Arial" w:hAnsi="Arial"/>
                <w:sz w:val="14"/>
                <w:szCs w:val="14"/>
                <w:b w:val="1"/>
                <w:bCs w:val="1"/>
                <w:color w:val="auto"/>
              </w:rPr>
              <w:t>2,240,200</w:t>
            </w:r>
          </w:p>
        </w:tc>
        <w:tc>
          <w:tcPr>
            <w:tcW w:w="1540" w:type="dxa"/>
            <w:vAlign w:val="bottom"/>
            <w:shd w:val="clear" w:color="auto" w:fill="EAEAEA"/>
          </w:tcPr>
          <w:p>
            <w:pPr>
              <w:jc w:val="right"/>
              <w:ind w:right="428"/>
              <w:spacing w:after="0"/>
              <w:rPr>
                <w:sz w:val="20"/>
                <w:szCs w:val="20"/>
                <w:color w:val="auto"/>
              </w:rPr>
            </w:pPr>
            <w:r>
              <w:rPr>
                <w:rFonts w:ascii="Arial" w:cs="Arial" w:eastAsia="Arial" w:hAnsi="Arial"/>
                <w:sz w:val="14"/>
                <w:szCs w:val="14"/>
                <w:b w:val="1"/>
                <w:bCs w:val="1"/>
                <w:color w:val="auto"/>
              </w:rPr>
              <w:t>2,446,080</w:t>
            </w:r>
          </w:p>
        </w:tc>
        <w:tc>
          <w:tcPr>
            <w:tcW w:w="1120" w:type="dxa"/>
            <w:vAlign w:val="bottom"/>
            <w:shd w:val="clear" w:color="auto" w:fill="EAEAEA"/>
          </w:tcPr>
          <w:p>
            <w:pPr>
              <w:jc w:val="right"/>
              <w:ind w:right="48"/>
              <w:spacing w:after="0"/>
              <w:rPr>
                <w:sz w:val="20"/>
                <w:szCs w:val="20"/>
                <w:color w:val="auto"/>
              </w:rPr>
            </w:pPr>
            <w:r>
              <w:rPr>
                <w:rFonts w:ascii="Arial" w:cs="Arial" w:eastAsia="Arial" w:hAnsi="Arial"/>
                <w:sz w:val="14"/>
                <w:szCs w:val="14"/>
                <w:b w:val="1"/>
                <w:bCs w:val="1"/>
                <w:color w:val="auto"/>
              </w:rPr>
              <w:t>9.2 %</w:t>
            </w:r>
          </w:p>
        </w:tc>
      </w:tr>
      <w:tr>
        <w:trPr>
          <w:trHeight w:val="277"/>
        </w:trPr>
        <w:tc>
          <w:tcPr>
            <w:tcW w:w="502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Base Salary</w:t>
            </w:r>
            <w:r>
              <w:rPr>
                <w:rFonts w:ascii="Arial" w:cs="Arial" w:eastAsia="Arial" w:hAnsi="Arial"/>
                <w:sz w:val="18"/>
                <w:szCs w:val="18"/>
                <w:color w:val="auto"/>
                <w:vertAlign w:val="superscript"/>
              </w:rPr>
              <w:t>(1)</w:t>
            </w:r>
          </w:p>
        </w:tc>
        <w:tc>
          <w:tcPr>
            <w:tcW w:w="35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1,120,100</w:t>
            </w:r>
          </w:p>
        </w:tc>
        <w:tc>
          <w:tcPr>
            <w:tcW w:w="15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1,164,800</w:t>
            </w:r>
          </w:p>
        </w:tc>
        <w:tc>
          <w:tcPr>
            <w:tcW w:w="1120" w:type="dxa"/>
            <w:vAlign w:val="bottom"/>
            <w:tcBorders>
              <w:bottom w:val="single" w:sz="8" w:color="auto"/>
            </w:tcBorders>
          </w:tcPr>
          <w:p>
            <w:pPr>
              <w:spacing w:after="0"/>
              <w:rPr>
                <w:sz w:val="24"/>
                <w:szCs w:val="24"/>
                <w:color w:val="auto"/>
              </w:rPr>
            </w:pPr>
          </w:p>
        </w:tc>
      </w:tr>
      <w:tr>
        <w:trPr>
          <w:trHeight w:val="274"/>
        </w:trPr>
        <w:tc>
          <w:tcPr>
            <w:tcW w:w="5020" w:type="dxa"/>
            <w:vAlign w:val="bottom"/>
          </w:tcPr>
          <w:p>
            <w:pPr>
              <w:ind w:left="440"/>
              <w:spacing w:after="0"/>
              <w:rPr>
                <w:sz w:val="20"/>
                <w:szCs w:val="20"/>
                <w:color w:val="auto"/>
              </w:rPr>
            </w:pPr>
            <w:r>
              <w:rPr>
                <w:rFonts w:ascii="Arial" w:cs="Arial" w:eastAsia="Arial" w:hAnsi="Arial"/>
                <w:sz w:val="14"/>
                <w:szCs w:val="14"/>
                <w:color w:val="auto"/>
              </w:rPr>
              <w:t>Target Performance Bonus</w:t>
            </w:r>
            <w:r>
              <w:rPr>
                <w:rFonts w:ascii="Arial" w:cs="Arial" w:eastAsia="Arial" w:hAnsi="Arial"/>
                <w:sz w:val="18"/>
                <w:szCs w:val="18"/>
                <w:color w:val="auto"/>
                <w:vertAlign w:val="superscript"/>
              </w:rPr>
              <w:t>(2)</w:t>
            </w:r>
          </w:p>
        </w:tc>
        <w:tc>
          <w:tcPr>
            <w:tcW w:w="3560" w:type="dxa"/>
            <w:vAlign w:val="bottom"/>
          </w:tcPr>
          <w:p>
            <w:pPr>
              <w:jc w:val="right"/>
              <w:ind w:right="248"/>
              <w:spacing w:after="0"/>
              <w:rPr>
                <w:sz w:val="20"/>
                <w:szCs w:val="20"/>
                <w:color w:val="auto"/>
              </w:rPr>
            </w:pPr>
            <w:r>
              <w:rPr>
                <w:rFonts w:ascii="Arial" w:cs="Arial" w:eastAsia="Arial" w:hAnsi="Arial"/>
                <w:sz w:val="14"/>
                <w:szCs w:val="14"/>
                <w:color w:val="auto"/>
              </w:rPr>
              <w:t>1,120,100</w:t>
            </w:r>
          </w:p>
        </w:tc>
        <w:tc>
          <w:tcPr>
            <w:tcW w:w="1540" w:type="dxa"/>
            <w:vAlign w:val="bottom"/>
          </w:tcPr>
          <w:p>
            <w:pPr>
              <w:jc w:val="right"/>
              <w:ind w:right="468"/>
              <w:spacing w:after="0"/>
              <w:rPr>
                <w:sz w:val="20"/>
                <w:szCs w:val="20"/>
                <w:color w:val="auto"/>
              </w:rPr>
            </w:pPr>
            <w:r>
              <w:rPr>
                <w:rFonts w:ascii="Arial" w:cs="Arial" w:eastAsia="Arial" w:hAnsi="Arial"/>
                <w:sz w:val="14"/>
                <w:szCs w:val="14"/>
                <w:color w:val="auto"/>
              </w:rPr>
              <w:t>1,281,280</w:t>
            </w:r>
          </w:p>
        </w:tc>
        <w:tc>
          <w:tcPr>
            <w:tcW w:w="1120" w:type="dxa"/>
            <w:vAlign w:val="bottom"/>
          </w:tcPr>
          <w:p>
            <w:pPr>
              <w:spacing w:after="0"/>
              <w:rPr>
                <w:sz w:val="23"/>
                <w:szCs w:val="23"/>
                <w:color w:val="auto"/>
              </w:rPr>
            </w:pPr>
          </w:p>
        </w:tc>
      </w:tr>
      <w:tr>
        <w:trPr>
          <w:trHeight w:val="239"/>
        </w:trPr>
        <w:tc>
          <w:tcPr>
            <w:tcW w:w="5020" w:type="dxa"/>
            <w:vAlign w:val="bottom"/>
            <w:tcBorders>
              <w:bottom w:val="single" w:sz="8" w:color="852166"/>
            </w:tcBorders>
            <w:shd w:val="clear" w:color="auto" w:fill="EAEAEA"/>
          </w:tcPr>
          <w:p>
            <w:pPr>
              <w:ind w:left="100"/>
              <w:spacing w:after="0"/>
              <w:rPr>
                <w:sz w:val="20"/>
                <w:szCs w:val="20"/>
                <w:color w:val="auto"/>
              </w:rPr>
            </w:pPr>
            <w:r>
              <w:rPr>
                <w:rFonts w:ascii="Arial" w:cs="Arial" w:eastAsia="Arial" w:hAnsi="Arial"/>
                <w:sz w:val="14"/>
                <w:szCs w:val="14"/>
                <w:b w:val="1"/>
                <w:bCs w:val="1"/>
                <w:color w:val="auto"/>
              </w:rPr>
              <w:t>Target Equity Compensation</w:t>
            </w:r>
            <w:r>
              <w:rPr>
                <w:rFonts w:ascii="Arial" w:cs="Arial" w:eastAsia="Arial" w:hAnsi="Arial"/>
                <w:sz w:val="18"/>
                <w:szCs w:val="18"/>
                <w:b w:val="1"/>
                <w:bCs w:val="1"/>
                <w:color w:val="auto"/>
                <w:vertAlign w:val="superscript"/>
              </w:rPr>
              <w:t>(3)</w:t>
            </w:r>
          </w:p>
        </w:tc>
        <w:tc>
          <w:tcPr>
            <w:tcW w:w="3560" w:type="dxa"/>
            <w:vAlign w:val="bottom"/>
            <w:tcBorders>
              <w:bottom w:val="single" w:sz="8" w:color="852166"/>
            </w:tcBorders>
            <w:shd w:val="clear" w:color="auto" w:fill="EAEAEA"/>
          </w:tcPr>
          <w:p>
            <w:pPr>
              <w:jc w:val="right"/>
              <w:ind w:right="248"/>
              <w:spacing w:after="0"/>
              <w:rPr>
                <w:sz w:val="20"/>
                <w:szCs w:val="20"/>
                <w:color w:val="auto"/>
              </w:rPr>
            </w:pPr>
            <w:r>
              <w:rPr>
                <w:rFonts w:ascii="Arial" w:cs="Arial" w:eastAsia="Arial" w:hAnsi="Arial"/>
                <w:sz w:val="14"/>
                <w:szCs w:val="14"/>
                <w:b w:val="1"/>
                <w:bCs w:val="1"/>
                <w:color w:val="auto"/>
              </w:rPr>
              <w:t>12,600,000</w:t>
            </w:r>
          </w:p>
        </w:tc>
        <w:tc>
          <w:tcPr>
            <w:tcW w:w="1540" w:type="dxa"/>
            <w:vAlign w:val="bottom"/>
            <w:tcBorders>
              <w:bottom w:val="single" w:sz="8" w:color="852166"/>
            </w:tcBorders>
            <w:shd w:val="clear" w:color="auto" w:fill="EAEAEA"/>
          </w:tcPr>
          <w:p>
            <w:pPr>
              <w:jc w:val="right"/>
              <w:ind w:right="428"/>
              <w:spacing w:after="0"/>
              <w:rPr>
                <w:sz w:val="20"/>
                <w:szCs w:val="20"/>
                <w:color w:val="auto"/>
              </w:rPr>
            </w:pPr>
            <w:r>
              <w:rPr>
                <w:rFonts w:ascii="Arial" w:cs="Arial" w:eastAsia="Arial" w:hAnsi="Arial"/>
                <w:sz w:val="14"/>
                <w:szCs w:val="14"/>
                <w:b w:val="1"/>
                <w:bCs w:val="1"/>
                <w:color w:val="auto"/>
              </w:rPr>
              <w:t>12,600,000</w:t>
            </w:r>
          </w:p>
        </w:tc>
        <w:tc>
          <w:tcPr>
            <w:tcW w:w="1120" w:type="dxa"/>
            <w:vAlign w:val="bottom"/>
            <w:tcBorders>
              <w:bottom w:val="single" w:sz="8" w:color="852166"/>
            </w:tcBorders>
            <w:shd w:val="clear" w:color="auto" w:fill="EAEAEA"/>
          </w:tcPr>
          <w:p>
            <w:pPr>
              <w:jc w:val="right"/>
              <w:ind w:right="48"/>
              <w:spacing w:after="0"/>
              <w:rPr>
                <w:sz w:val="20"/>
                <w:szCs w:val="20"/>
                <w:color w:val="auto"/>
              </w:rPr>
            </w:pPr>
            <w:r>
              <w:rPr>
                <w:rFonts w:ascii="Arial" w:cs="Arial" w:eastAsia="Arial" w:hAnsi="Arial"/>
                <w:sz w:val="14"/>
                <w:szCs w:val="14"/>
                <w:b w:val="1"/>
                <w:bCs w:val="1"/>
                <w:color w:val="auto"/>
              </w:rPr>
              <w:t>0.0%</w:t>
            </w:r>
          </w:p>
        </w:tc>
      </w:tr>
      <w:tr>
        <w:trPr>
          <w:trHeight w:val="223"/>
        </w:trPr>
        <w:tc>
          <w:tcPr>
            <w:tcW w:w="5020" w:type="dxa"/>
            <w:vAlign w:val="bottom"/>
            <w:tcBorders>
              <w:bottom w:val="single" w:sz="8" w:color="852166"/>
            </w:tcBorders>
            <w:shd w:val="clear" w:color="auto" w:fill="EAEAEA"/>
          </w:tcPr>
          <w:p>
            <w:pPr>
              <w:ind w:left="100"/>
              <w:spacing w:after="0"/>
              <w:rPr>
                <w:sz w:val="20"/>
                <w:szCs w:val="20"/>
                <w:color w:val="auto"/>
              </w:rPr>
            </w:pPr>
            <w:r>
              <w:rPr>
                <w:rFonts w:ascii="Arial" w:cs="Arial" w:eastAsia="Arial" w:hAnsi="Arial"/>
                <w:sz w:val="14"/>
                <w:szCs w:val="14"/>
                <w:b w:val="1"/>
                <w:bCs w:val="1"/>
                <w:color w:val="auto"/>
              </w:rPr>
              <w:t>Target Total Direct Compensation</w:t>
            </w:r>
            <w:r>
              <w:rPr>
                <w:rFonts w:ascii="Arial" w:cs="Arial" w:eastAsia="Arial" w:hAnsi="Arial"/>
                <w:sz w:val="18"/>
                <w:szCs w:val="18"/>
                <w:b w:val="1"/>
                <w:bCs w:val="1"/>
                <w:color w:val="auto"/>
                <w:vertAlign w:val="superscript"/>
              </w:rPr>
              <w:t>(4)</w:t>
            </w:r>
          </w:p>
        </w:tc>
        <w:tc>
          <w:tcPr>
            <w:tcW w:w="3560" w:type="dxa"/>
            <w:vAlign w:val="bottom"/>
            <w:tcBorders>
              <w:bottom w:val="single" w:sz="8" w:color="852166"/>
            </w:tcBorders>
            <w:shd w:val="clear" w:color="auto" w:fill="EAEAEA"/>
          </w:tcPr>
          <w:p>
            <w:pPr>
              <w:jc w:val="right"/>
              <w:ind w:right="248"/>
              <w:spacing w:after="0"/>
              <w:rPr>
                <w:sz w:val="20"/>
                <w:szCs w:val="20"/>
                <w:color w:val="auto"/>
              </w:rPr>
            </w:pPr>
            <w:r>
              <w:rPr>
                <w:rFonts w:ascii="Arial" w:cs="Arial" w:eastAsia="Arial" w:hAnsi="Arial"/>
                <w:sz w:val="14"/>
                <w:szCs w:val="14"/>
                <w:b w:val="1"/>
                <w:bCs w:val="1"/>
                <w:color w:val="auto"/>
              </w:rPr>
              <w:t>14,840,200</w:t>
            </w:r>
          </w:p>
        </w:tc>
        <w:tc>
          <w:tcPr>
            <w:tcW w:w="1540" w:type="dxa"/>
            <w:vAlign w:val="bottom"/>
            <w:tcBorders>
              <w:bottom w:val="single" w:sz="8" w:color="852166"/>
            </w:tcBorders>
            <w:shd w:val="clear" w:color="auto" w:fill="EAEAEA"/>
          </w:tcPr>
          <w:p>
            <w:pPr>
              <w:jc w:val="right"/>
              <w:ind w:right="428"/>
              <w:spacing w:after="0"/>
              <w:rPr>
                <w:sz w:val="20"/>
                <w:szCs w:val="20"/>
                <w:color w:val="auto"/>
              </w:rPr>
            </w:pPr>
            <w:r>
              <w:rPr>
                <w:rFonts w:ascii="Arial" w:cs="Arial" w:eastAsia="Arial" w:hAnsi="Arial"/>
                <w:sz w:val="14"/>
                <w:szCs w:val="14"/>
                <w:b w:val="1"/>
                <w:bCs w:val="1"/>
                <w:color w:val="auto"/>
              </w:rPr>
              <w:t>15,046,080</w:t>
            </w:r>
          </w:p>
        </w:tc>
        <w:tc>
          <w:tcPr>
            <w:tcW w:w="1120" w:type="dxa"/>
            <w:vAlign w:val="bottom"/>
            <w:tcBorders>
              <w:bottom w:val="single" w:sz="8" w:color="852166"/>
            </w:tcBorders>
            <w:shd w:val="clear" w:color="auto" w:fill="EAEAEA"/>
          </w:tcPr>
          <w:p>
            <w:pPr>
              <w:jc w:val="right"/>
              <w:ind w:right="48"/>
              <w:spacing w:after="0"/>
              <w:rPr>
                <w:sz w:val="20"/>
                <w:szCs w:val="20"/>
                <w:color w:val="auto"/>
              </w:rPr>
            </w:pPr>
            <w:r>
              <w:rPr>
                <w:rFonts w:ascii="Arial" w:cs="Arial" w:eastAsia="Arial" w:hAnsi="Arial"/>
                <w:sz w:val="14"/>
                <w:szCs w:val="14"/>
                <w:b w:val="1"/>
                <w:bCs w:val="1"/>
                <w:color w:val="auto"/>
              </w:rPr>
              <w:t>1.4%</w:t>
            </w:r>
          </w:p>
        </w:tc>
      </w:tr>
    </w:tbl>
    <w:p>
      <w:pPr>
        <w:spacing w:after="0" w:line="139" w:lineRule="exact"/>
        <w:rPr>
          <w:sz w:val="20"/>
          <w:szCs w:val="20"/>
          <w:color w:val="auto"/>
        </w:rPr>
      </w:pPr>
    </w:p>
    <w:p>
      <w:pPr>
        <w:ind w:left="320" w:hanging="312"/>
        <w:spacing w:after="0"/>
        <w:tabs>
          <w:tab w:leader="none" w:pos="3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Represents annual base salary rate for the applicable year. 2023 base salary became effective in March 2023.</w:t>
      </w:r>
    </w:p>
    <w:p>
      <w:pPr>
        <w:spacing w:after="0" w:line="82" w:lineRule="exact"/>
        <w:rPr>
          <w:rFonts w:ascii="Arial" w:cs="Arial" w:eastAsia="Arial" w:hAnsi="Arial"/>
          <w:sz w:val="14"/>
          <w:szCs w:val="14"/>
          <w:color w:val="auto"/>
        </w:rPr>
      </w:pPr>
    </w:p>
    <w:p>
      <w:pPr>
        <w:ind w:left="340" w:right="20" w:hanging="332"/>
        <w:spacing w:after="0" w:line="286" w:lineRule="auto"/>
        <w:tabs>
          <w:tab w:leader="none" w:pos="327"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2023 amount reflects a target performance bonus of 110% of base salary rate as of December 31, 2023, an increase from 100% in 2022. Our compensation committee and our board determined that an increase to Mr. Cozadd’s target bonus opportunity was appropriate given his sustained performance, the desire to increase the mix of variable, at-risk compensation and to ensure alignment to the market, consistent with our executive compensation philosophy. The actual 2023 performance bonus paid was $1,217,216, reflecting 95% of the target performance bonus, based entirely on the 95% overall achievement of the 2023 corporate performance objectives. Our compensation committee (with approval from our board) determined that the overall 2023 corporate achievement percentage of 95% was applicable to Mr. Cozadd, because, as CEO, Mr. Cozadd is responsible for meeting our objectives.</w:t>
      </w:r>
    </w:p>
    <w:p>
      <w:pPr>
        <w:spacing w:after="0" w:line="23" w:lineRule="exact"/>
        <w:rPr>
          <w:rFonts w:ascii="Arial" w:cs="Arial" w:eastAsia="Arial" w:hAnsi="Arial"/>
          <w:sz w:val="14"/>
          <w:szCs w:val="14"/>
          <w:color w:val="auto"/>
        </w:rPr>
      </w:pPr>
    </w:p>
    <w:p>
      <w:pPr>
        <w:ind w:left="340" w:right="140" w:hanging="332"/>
        <w:spacing w:after="0" w:line="301" w:lineRule="auto"/>
        <w:tabs>
          <w:tab w:leader="none" w:pos="327"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target equity compensation presented in the chart above reflects the target dollar value recommended by our compensation committee and approved by our board; this value differs from the values required to be shown in the Summary Compensation Table and Grants of Plan-Based Awards Table for 2022 and 2023, as applicable as further described above in “</w:t>
      </w:r>
      <w:r>
        <w:rPr>
          <w:rFonts w:ascii="Arial" w:cs="Arial" w:eastAsia="Arial" w:hAnsi="Arial"/>
          <w:sz w:val="14"/>
          <w:szCs w:val="14"/>
          <w:i w:val="1"/>
          <w:iCs w:val="1"/>
          <w:color w:val="auto"/>
        </w:rPr>
        <w:t>Summary of 2023 Compensation Decisions—Long-Term Incentive Program</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340" w:right="80" w:hanging="332"/>
        <w:spacing w:after="0" w:line="290" w:lineRule="auto"/>
        <w:tabs>
          <w:tab w:leader="none" w:pos="327" w:val="left"/>
        </w:tabs>
        <w:numPr>
          <w:ilvl w:val="0"/>
          <w:numId w:val="64"/>
        </w:numPr>
        <w:rPr>
          <w:rFonts w:ascii="Arial" w:cs="Arial" w:eastAsia="Arial" w:hAnsi="Arial"/>
          <w:sz w:val="14"/>
          <w:szCs w:val="14"/>
          <w:color w:val="auto"/>
        </w:rPr>
      </w:pPr>
      <w:r>
        <w:rPr>
          <w:rFonts w:ascii="Arial" w:cs="Arial" w:eastAsia="Arial" w:hAnsi="Arial"/>
          <w:sz w:val="14"/>
          <w:szCs w:val="14"/>
          <w:color w:val="auto"/>
        </w:rPr>
        <w:t>Our compensation committee and our board designed Mr. Cozadd’s target total direct compensation to be competitive as compared to the market data, as described in more detail above in “</w:t>
      </w:r>
      <w:r>
        <w:rPr>
          <w:rFonts w:ascii="Arial" w:cs="Arial" w:eastAsia="Arial" w:hAnsi="Arial"/>
          <w:sz w:val="14"/>
          <w:szCs w:val="14"/>
          <w:i w:val="1"/>
          <w:iCs w:val="1"/>
          <w:color w:val="auto"/>
        </w:rPr>
        <w:t>How We Determine Executive Compensation—Competitive Assessment of Compensation – Peer Companies and Market Data,”</w:t>
      </w:r>
      <w:r>
        <w:rPr>
          <w:rFonts w:ascii="Arial" w:cs="Arial" w:eastAsia="Arial" w:hAnsi="Arial"/>
          <w:sz w:val="14"/>
          <w:szCs w:val="14"/>
          <w:color w:val="auto"/>
        </w:rPr>
        <w:t xml:space="preserve"> appropriate from an internal equity perspective and more heavily weighted towards equity compensation, in line with our pay-for-performance philosophy. Our compensation committee believed it was appropriate to provide an increase to his base salary and target performance bonus percentage in 2023 in recognition of his individual performance, the company’s performance under his leadership and to remain in line with general market increases. Based on our compensation committee’s and our board’s professional experience and judgment, our compensation committee and our board determined Mr. Cozadd’s target total direct compensation to be competitive and appropriate.</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407"/>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color w:val="852166"/>
        </w:rPr>
        <w:t>Renée Galá, President and COO</w:t>
      </w:r>
      <w:r>
        <w:rPr>
          <w:rFonts w:ascii="Arial" w:cs="Arial" w:eastAsia="Arial" w:hAnsi="Arial"/>
          <w:sz w:val="21"/>
          <w:szCs w:val="21"/>
          <w:b w:val="1"/>
          <w:bCs w:val="1"/>
          <w:color w:val="852166"/>
          <w:vertAlign w:val="superscript"/>
        </w:rPr>
        <w:t>(1)</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00" w:type="dxa"/>
            <w:vAlign w:val="bottom"/>
            <w:shd w:val="clear" w:color="auto" w:fill="852166"/>
          </w:tcPr>
          <w:p>
            <w:pPr>
              <w:spacing w:after="0"/>
              <w:rPr>
                <w:sz w:val="16"/>
                <w:szCs w:val="16"/>
                <w:color w:val="auto"/>
              </w:rPr>
            </w:pPr>
          </w:p>
        </w:tc>
        <w:tc>
          <w:tcPr>
            <w:tcW w:w="3620" w:type="dxa"/>
            <w:vAlign w:val="bottom"/>
            <w:shd w:val="clear" w:color="auto" w:fill="852166"/>
          </w:tcPr>
          <w:p>
            <w:pPr>
              <w:jc w:val="right"/>
              <w:ind w:right="308"/>
              <w:spacing w:after="0"/>
              <w:rPr>
                <w:sz w:val="20"/>
                <w:szCs w:val="20"/>
                <w:color w:val="auto"/>
              </w:rPr>
            </w:pPr>
            <w:r>
              <w:rPr>
                <w:rFonts w:ascii="Arial" w:cs="Arial" w:eastAsia="Arial" w:hAnsi="Arial"/>
                <w:sz w:val="14"/>
                <w:szCs w:val="14"/>
                <w:b w:val="1"/>
                <w:bCs w:val="1"/>
                <w:color w:val="FFFFFF"/>
              </w:rPr>
              <w:t>2022 Pay</w:t>
            </w:r>
          </w:p>
        </w:tc>
        <w:tc>
          <w:tcPr>
            <w:tcW w:w="1440" w:type="dxa"/>
            <w:vAlign w:val="bottom"/>
            <w:shd w:val="clear" w:color="auto" w:fill="852166"/>
          </w:tcPr>
          <w:p>
            <w:pPr>
              <w:jc w:val="right"/>
              <w:ind w:right="348"/>
              <w:spacing w:after="0"/>
              <w:rPr>
                <w:sz w:val="20"/>
                <w:szCs w:val="20"/>
                <w:color w:val="auto"/>
              </w:rPr>
            </w:pPr>
            <w:r>
              <w:rPr>
                <w:rFonts w:ascii="Arial" w:cs="Arial" w:eastAsia="Arial" w:hAnsi="Arial"/>
                <w:sz w:val="14"/>
                <w:szCs w:val="14"/>
                <w:b w:val="1"/>
                <w:bCs w:val="1"/>
                <w:color w:val="FFFFFF"/>
              </w:rPr>
              <w:t>2023 Pay</w:t>
            </w:r>
          </w:p>
        </w:tc>
        <w:tc>
          <w:tcPr>
            <w:tcW w:w="1080" w:type="dxa"/>
            <w:vAlign w:val="bottom"/>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Change</w:t>
            </w:r>
          </w:p>
        </w:tc>
      </w:tr>
      <w:tr>
        <w:trPr>
          <w:trHeight w:val="196"/>
        </w:trPr>
        <w:tc>
          <w:tcPr>
            <w:tcW w:w="5100" w:type="dxa"/>
            <w:vAlign w:val="bottom"/>
            <w:shd w:val="clear" w:color="auto" w:fill="852166"/>
          </w:tcPr>
          <w:p>
            <w:pPr>
              <w:spacing w:after="0"/>
              <w:rPr>
                <w:sz w:val="17"/>
                <w:szCs w:val="17"/>
                <w:color w:val="auto"/>
              </w:rPr>
            </w:pPr>
          </w:p>
        </w:tc>
        <w:tc>
          <w:tcPr>
            <w:tcW w:w="3620" w:type="dxa"/>
            <w:vAlign w:val="bottom"/>
            <w:shd w:val="clear" w:color="auto" w:fill="852166"/>
          </w:tcPr>
          <w:p>
            <w:pPr>
              <w:jc w:val="right"/>
              <w:ind w:right="308"/>
              <w:spacing w:after="0"/>
              <w:rPr>
                <w:sz w:val="20"/>
                <w:szCs w:val="20"/>
                <w:color w:val="auto"/>
              </w:rPr>
            </w:pPr>
            <w:r>
              <w:rPr>
                <w:rFonts w:ascii="Arial" w:cs="Arial" w:eastAsia="Arial" w:hAnsi="Arial"/>
                <w:sz w:val="14"/>
                <w:szCs w:val="14"/>
                <w:b w:val="1"/>
                <w:bCs w:val="1"/>
                <w:color w:val="FFFFFF"/>
              </w:rPr>
              <w:t>($)</w:t>
            </w:r>
          </w:p>
        </w:tc>
        <w:tc>
          <w:tcPr>
            <w:tcW w:w="1440" w:type="dxa"/>
            <w:vAlign w:val="bottom"/>
            <w:shd w:val="clear" w:color="auto" w:fill="852166"/>
          </w:tcPr>
          <w:p>
            <w:pPr>
              <w:jc w:val="right"/>
              <w:ind w:right="348"/>
              <w:spacing w:after="0"/>
              <w:rPr>
                <w:sz w:val="20"/>
                <w:szCs w:val="20"/>
                <w:color w:val="auto"/>
              </w:rPr>
            </w:pPr>
            <w:r>
              <w:rPr>
                <w:rFonts w:ascii="Arial" w:cs="Arial" w:eastAsia="Arial" w:hAnsi="Arial"/>
                <w:sz w:val="14"/>
                <w:szCs w:val="14"/>
                <w:b w:val="1"/>
                <w:bCs w:val="1"/>
                <w:color w:val="FFFFFF"/>
              </w:rPr>
              <w:t>($)</w:t>
            </w:r>
          </w:p>
        </w:tc>
        <w:tc>
          <w:tcPr>
            <w:tcW w:w="1080" w:type="dxa"/>
            <w:vAlign w:val="bottom"/>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70"/>
        </w:trPr>
        <w:tc>
          <w:tcPr>
            <w:tcW w:w="5100" w:type="dxa"/>
            <w:vAlign w:val="bottom"/>
            <w:shd w:val="clear" w:color="auto" w:fill="852166"/>
          </w:tcPr>
          <w:p>
            <w:pPr>
              <w:spacing w:after="0"/>
              <w:rPr>
                <w:sz w:val="6"/>
                <w:szCs w:val="6"/>
                <w:color w:val="auto"/>
              </w:rPr>
            </w:pPr>
          </w:p>
        </w:tc>
        <w:tc>
          <w:tcPr>
            <w:tcW w:w="3620" w:type="dxa"/>
            <w:vAlign w:val="bottom"/>
            <w:shd w:val="clear" w:color="auto" w:fill="852166"/>
          </w:tcPr>
          <w:p>
            <w:pPr>
              <w:spacing w:after="0"/>
              <w:rPr>
                <w:sz w:val="6"/>
                <w:szCs w:val="6"/>
                <w:color w:val="auto"/>
              </w:rPr>
            </w:pPr>
          </w:p>
        </w:tc>
        <w:tc>
          <w:tcPr>
            <w:tcW w:w="1440" w:type="dxa"/>
            <w:vAlign w:val="bottom"/>
            <w:shd w:val="clear" w:color="auto" w:fill="852166"/>
          </w:tcPr>
          <w:p>
            <w:pPr>
              <w:spacing w:after="0"/>
              <w:rPr>
                <w:sz w:val="6"/>
                <w:szCs w:val="6"/>
                <w:color w:val="auto"/>
              </w:rPr>
            </w:pPr>
          </w:p>
        </w:tc>
        <w:tc>
          <w:tcPr>
            <w:tcW w:w="1080" w:type="dxa"/>
            <w:vAlign w:val="bottom"/>
            <w:shd w:val="clear" w:color="auto" w:fill="852166"/>
          </w:tcPr>
          <w:p>
            <w:pPr>
              <w:spacing w:after="0"/>
              <w:rPr>
                <w:sz w:val="6"/>
                <w:szCs w:val="6"/>
                <w:color w:val="auto"/>
              </w:rPr>
            </w:pPr>
          </w:p>
        </w:tc>
      </w:tr>
      <w:tr>
        <w:trPr>
          <w:trHeight w:val="230"/>
        </w:trPr>
        <w:tc>
          <w:tcPr>
            <w:tcW w:w="5100" w:type="dxa"/>
            <w:vAlign w:val="bottom"/>
            <w:shd w:val="clear" w:color="auto" w:fill="EAEAEA"/>
          </w:tcPr>
          <w:p>
            <w:pPr>
              <w:ind w:left="100"/>
              <w:spacing w:after="0"/>
              <w:rPr>
                <w:sz w:val="20"/>
                <w:szCs w:val="20"/>
                <w:color w:val="auto"/>
              </w:rPr>
            </w:pPr>
            <w:r>
              <w:rPr>
                <w:rFonts w:ascii="Arial" w:cs="Arial" w:eastAsia="Arial" w:hAnsi="Arial"/>
                <w:sz w:val="14"/>
                <w:szCs w:val="14"/>
                <w:b w:val="1"/>
                <w:bCs w:val="1"/>
                <w:color w:val="auto"/>
              </w:rPr>
              <w:t>Target Total Cash Compensation</w:t>
            </w:r>
          </w:p>
        </w:tc>
        <w:tc>
          <w:tcPr>
            <w:tcW w:w="3620" w:type="dxa"/>
            <w:vAlign w:val="bottom"/>
            <w:shd w:val="clear" w:color="auto" w:fill="EAEAEA"/>
          </w:tcPr>
          <w:p>
            <w:pPr>
              <w:jc w:val="right"/>
              <w:ind w:right="308"/>
              <w:spacing w:after="0"/>
              <w:rPr>
                <w:sz w:val="20"/>
                <w:szCs w:val="20"/>
                <w:color w:val="auto"/>
              </w:rPr>
            </w:pPr>
            <w:r>
              <w:rPr>
                <w:rFonts w:ascii="Arial" w:cs="Arial" w:eastAsia="Arial" w:hAnsi="Arial"/>
                <w:sz w:val="14"/>
                <w:szCs w:val="14"/>
                <w:b w:val="1"/>
                <w:bCs w:val="1"/>
                <w:color w:val="auto"/>
              </w:rPr>
              <w:t>1,046,250</w:t>
            </w:r>
          </w:p>
        </w:tc>
        <w:tc>
          <w:tcPr>
            <w:tcW w:w="1440" w:type="dxa"/>
            <w:vAlign w:val="bottom"/>
            <w:shd w:val="clear" w:color="auto" w:fill="EAEAEA"/>
          </w:tcPr>
          <w:p>
            <w:pPr>
              <w:jc w:val="right"/>
              <w:ind w:right="348"/>
              <w:spacing w:after="0"/>
              <w:rPr>
                <w:sz w:val="20"/>
                <w:szCs w:val="20"/>
                <w:color w:val="auto"/>
              </w:rPr>
            </w:pPr>
            <w:r>
              <w:rPr>
                <w:rFonts w:ascii="Arial" w:cs="Arial" w:eastAsia="Arial" w:hAnsi="Arial"/>
                <w:sz w:val="14"/>
                <w:szCs w:val="14"/>
                <w:b w:val="1"/>
                <w:bCs w:val="1"/>
                <w:color w:val="auto"/>
              </w:rPr>
              <w:t>1,400,000</w:t>
            </w:r>
          </w:p>
        </w:tc>
        <w:tc>
          <w:tcPr>
            <w:tcW w:w="1080" w:type="dxa"/>
            <w:vAlign w:val="bottom"/>
            <w:shd w:val="clear" w:color="auto" w:fill="EAEAEA"/>
          </w:tcPr>
          <w:p>
            <w:pPr>
              <w:jc w:val="right"/>
              <w:ind w:right="48"/>
              <w:spacing w:after="0"/>
              <w:rPr>
                <w:sz w:val="20"/>
                <w:szCs w:val="20"/>
                <w:color w:val="auto"/>
              </w:rPr>
            </w:pPr>
            <w:r>
              <w:rPr>
                <w:rFonts w:ascii="Arial" w:cs="Arial" w:eastAsia="Arial" w:hAnsi="Arial"/>
                <w:sz w:val="14"/>
                <w:szCs w:val="14"/>
                <w:b w:val="1"/>
                <w:bCs w:val="1"/>
                <w:color w:val="auto"/>
              </w:rPr>
              <w:t>33.8%</w:t>
            </w:r>
          </w:p>
        </w:tc>
      </w:tr>
      <w:tr>
        <w:trPr>
          <w:trHeight w:val="277"/>
        </w:trPr>
        <w:tc>
          <w:tcPr>
            <w:tcW w:w="510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Base Salary</w:t>
            </w:r>
            <w:r>
              <w:rPr>
                <w:rFonts w:ascii="Arial" w:cs="Arial" w:eastAsia="Arial" w:hAnsi="Arial"/>
                <w:sz w:val="18"/>
                <w:szCs w:val="18"/>
                <w:color w:val="auto"/>
                <w:vertAlign w:val="superscript"/>
              </w:rPr>
              <w:t>(2)</w:t>
            </w:r>
          </w:p>
        </w:tc>
        <w:tc>
          <w:tcPr>
            <w:tcW w:w="36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675,000</w:t>
            </w:r>
          </w:p>
        </w:tc>
        <w:tc>
          <w:tcPr>
            <w:tcW w:w="14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800,000</w:t>
            </w:r>
          </w:p>
        </w:tc>
        <w:tc>
          <w:tcPr>
            <w:tcW w:w="1080" w:type="dxa"/>
            <w:vAlign w:val="bottom"/>
            <w:tcBorders>
              <w:bottom w:val="single" w:sz="8" w:color="auto"/>
            </w:tcBorders>
          </w:tcPr>
          <w:p>
            <w:pPr>
              <w:spacing w:after="0"/>
              <w:rPr>
                <w:sz w:val="24"/>
                <w:szCs w:val="24"/>
                <w:color w:val="auto"/>
              </w:rPr>
            </w:pPr>
          </w:p>
        </w:tc>
      </w:tr>
      <w:tr>
        <w:trPr>
          <w:trHeight w:val="274"/>
        </w:trPr>
        <w:tc>
          <w:tcPr>
            <w:tcW w:w="5100" w:type="dxa"/>
            <w:vAlign w:val="bottom"/>
          </w:tcPr>
          <w:p>
            <w:pPr>
              <w:ind w:left="440"/>
              <w:spacing w:after="0"/>
              <w:rPr>
                <w:sz w:val="20"/>
                <w:szCs w:val="20"/>
                <w:color w:val="auto"/>
              </w:rPr>
            </w:pPr>
            <w:r>
              <w:rPr>
                <w:rFonts w:ascii="Arial" w:cs="Arial" w:eastAsia="Arial" w:hAnsi="Arial"/>
                <w:sz w:val="14"/>
                <w:szCs w:val="14"/>
                <w:color w:val="auto"/>
              </w:rPr>
              <w:t>Target Performance Bonus</w:t>
            </w:r>
            <w:r>
              <w:rPr>
                <w:rFonts w:ascii="Arial" w:cs="Arial" w:eastAsia="Arial" w:hAnsi="Arial"/>
                <w:sz w:val="18"/>
                <w:szCs w:val="18"/>
                <w:color w:val="auto"/>
                <w:vertAlign w:val="superscript"/>
              </w:rPr>
              <w:t>(3)</w:t>
            </w:r>
          </w:p>
        </w:tc>
        <w:tc>
          <w:tcPr>
            <w:tcW w:w="3620" w:type="dxa"/>
            <w:vAlign w:val="bottom"/>
          </w:tcPr>
          <w:p>
            <w:pPr>
              <w:jc w:val="right"/>
              <w:ind w:right="308"/>
              <w:spacing w:after="0"/>
              <w:rPr>
                <w:sz w:val="20"/>
                <w:szCs w:val="20"/>
                <w:color w:val="auto"/>
              </w:rPr>
            </w:pPr>
            <w:r>
              <w:rPr>
                <w:rFonts w:ascii="Arial" w:cs="Arial" w:eastAsia="Arial" w:hAnsi="Arial"/>
                <w:sz w:val="14"/>
                <w:szCs w:val="14"/>
                <w:color w:val="auto"/>
              </w:rPr>
              <w:t>371,250</w:t>
            </w:r>
          </w:p>
        </w:tc>
        <w:tc>
          <w:tcPr>
            <w:tcW w:w="1440" w:type="dxa"/>
            <w:vAlign w:val="bottom"/>
          </w:tcPr>
          <w:p>
            <w:pPr>
              <w:jc w:val="right"/>
              <w:ind w:right="348"/>
              <w:spacing w:after="0"/>
              <w:rPr>
                <w:sz w:val="20"/>
                <w:szCs w:val="20"/>
                <w:color w:val="auto"/>
              </w:rPr>
            </w:pPr>
            <w:r>
              <w:rPr>
                <w:rFonts w:ascii="Arial" w:cs="Arial" w:eastAsia="Arial" w:hAnsi="Arial"/>
                <w:sz w:val="14"/>
                <w:szCs w:val="14"/>
                <w:color w:val="auto"/>
              </w:rPr>
              <w:t>600,000</w:t>
            </w:r>
          </w:p>
        </w:tc>
        <w:tc>
          <w:tcPr>
            <w:tcW w:w="1080" w:type="dxa"/>
            <w:vAlign w:val="bottom"/>
          </w:tcPr>
          <w:p>
            <w:pPr>
              <w:spacing w:after="0"/>
              <w:rPr>
                <w:sz w:val="23"/>
                <w:szCs w:val="23"/>
                <w:color w:val="auto"/>
              </w:rPr>
            </w:pPr>
          </w:p>
        </w:tc>
      </w:tr>
      <w:tr>
        <w:trPr>
          <w:trHeight w:val="239"/>
        </w:trPr>
        <w:tc>
          <w:tcPr>
            <w:tcW w:w="5100" w:type="dxa"/>
            <w:vAlign w:val="bottom"/>
            <w:tcBorders>
              <w:bottom w:val="single" w:sz="8" w:color="852166"/>
            </w:tcBorders>
            <w:shd w:val="clear" w:color="auto" w:fill="EAEAEA"/>
          </w:tcPr>
          <w:p>
            <w:pPr>
              <w:ind w:left="100"/>
              <w:spacing w:after="0"/>
              <w:rPr>
                <w:sz w:val="20"/>
                <w:szCs w:val="20"/>
                <w:color w:val="auto"/>
              </w:rPr>
            </w:pPr>
            <w:r>
              <w:rPr>
                <w:rFonts w:ascii="Arial" w:cs="Arial" w:eastAsia="Arial" w:hAnsi="Arial"/>
                <w:sz w:val="14"/>
                <w:szCs w:val="14"/>
                <w:b w:val="1"/>
                <w:bCs w:val="1"/>
                <w:color w:val="auto"/>
              </w:rPr>
              <w:t>Target Equity Compensation</w:t>
            </w:r>
            <w:r>
              <w:rPr>
                <w:rFonts w:ascii="Arial" w:cs="Arial" w:eastAsia="Arial" w:hAnsi="Arial"/>
                <w:sz w:val="18"/>
                <w:szCs w:val="18"/>
                <w:b w:val="1"/>
                <w:bCs w:val="1"/>
                <w:color w:val="auto"/>
                <w:vertAlign w:val="superscript"/>
              </w:rPr>
              <w:t>(4)</w:t>
            </w:r>
          </w:p>
        </w:tc>
        <w:tc>
          <w:tcPr>
            <w:tcW w:w="3620" w:type="dxa"/>
            <w:vAlign w:val="bottom"/>
            <w:tcBorders>
              <w:bottom w:val="single" w:sz="8" w:color="852166"/>
            </w:tcBorders>
            <w:shd w:val="clear" w:color="auto" w:fill="EAEAEA"/>
          </w:tcPr>
          <w:p>
            <w:pPr>
              <w:jc w:val="right"/>
              <w:ind w:right="308"/>
              <w:spacing w:after="0"/>
              <w:rPr>
                <w:sz w:val="20"/>
                <w:szCs w:val="20"/>
                <w:color w:val="auto"/>
              </w:rPr>
            </w:pPr>
            <w:r>
              <w:rPr>
                <w:rFonts w:ascii="Arial" w:cs="Arial" w:eastAsia="Arial" w:hAnsi="Arial"/>
                <w:sz w:val="14"/>
                <w:szCs w:val="14"/>
                <w:b w:val="1"/>
                <w:bCs w:val="1"/>
                <w:color w:val="auto"/>
              </w:rPr>
              <w:t>3,300,000</w:t>
            </w:r>
          </w:p>
        </w:tc>
        <w:tc>
          <w:tcPr>
            <w:tcW w:w="1440" w:type="dxa"/>
            <w:vAlign w:val="bottom"/>
            <w:tcBorders>
              <w:bottom w:val="single" w:sz="8" w:color="852166"/>
            </w:tcBorders>
            <w:shd w:val="clear" w:color="auto" w:fill="EAEAEA"/>
          </w:tcPr>
          <w:p>
            <w:pPr>
              <w:jc w:val="right"/>
              <w:ind w:right="348"/>
              <w:spacing w:after="0"/>
              <w:rPr>
                <w:sz w:val="20"/>
                <w:szCs w:val="20"/>
                <w:color w:val="auto"/>
              </w:rPr>
            </w:pPr>
            <w:r>
              <w:rPr>
                <w:rFonts w:ascii="Arial" w:cs="Arial" w:eastAsia="Arial" w:hAnsi="Arial"/>
                <w:sz w:val="14"/>
                <w:szCs w:val="14"/>
                <w:b w:val="1"/>
                <w:bCs w:val="1"/>
                <w:color w:val="auto"/>
              </w:rPr>
              <w:t>4,000,000</w:t>
            </w:r>
          </w:p>
        </w:tc>
        <w:tc>
          <w:tcPr>
            <w:tcW w:w="1080" w:type="dxa"/>
            <w:vAlign w:val="bottom"/>
            <w:tcBorders>
              <w:bottom w:val="single" w:sz="8" w:color="852166"/>
            </w:tcBorders>
            <w:shd w:val="clear" w:color="auto" w:fill="EAEAEA"/>
          </w:tcPr>
          <w:p>
            <w:pPr>
              <w:jc w:val="right"/>
              <w:ind w:right="48"/>
              <w:spacing w:after="0"/>
              <w:rPr>
                <w:sz w:val="20"/>
                <w:szCs w:val="20"/>
                <w:color w:val="auto"/>
              </w:rPr>
            </w:pPr>
            <w:r>
              <w:rPr>
                <w:rFonts w:ascii="Arial" w:cs="Arial" w:eastAsia="Arial" w:hAnsi="Arial"/>
                <w:sz w:val="14"/>
                <w:szCs w:val="14"/>
                <w:b w:val="1"/>
                <w:bCs w:val="1"/>
                <w:color w:val="auto"/>
              </w:rPr>
              <w:t>21.2%</w:t>
            </w:r>
          </w:p>
        </w:tc>
      </w:tr>
      <w:tr>
        <w:trPr>
          <w:trHeight w:val="223"/>
        </w:trPr>
        <w:tc>
          <w:tcPr>
            <w:tcW w:w="5100" w:type="dxa"/>
            <w:vAlign w:val="bottom"/>
            <w:tcBorders>
              <w:bottom w:val="single" w:sz="8" w:color="852166"/>
            </w:tcBorders>
            <w:shd w:val="clear" w:color="auto" w:fill="EAEAEA"/>
          </w:tcPr>
          <w:p>
            <w:pPr>
              <w:ind w:left="100"/>
              <w:spacing w:after="0"/>
              <w:rPr>
                <w:sz w:val="20"/>
                <w:szCs w:val="20"/>
                <w:color w:val="auto"/>
              </w:rPr>
            </w:pPr>
            <w:r>
              <w:rPr>
                <w:rFonts w:ascii="Arial" w:cs="Arial" w:eastAsia="Arial" w:hAnsi="Arial"/>
                <w:sz w:val="14"/>
                <w:szCs w:val="14"/>
                <w:b w:val="1"/>
                <w:bCs w:val="1"/>
                <w:color w:val="auto"/>
              </w:rPr>
              <w:t>Target Total Direct Compensation</w:t>
            </w:r>
            <w:r>
              <w:rPr>
                <w:rFonts w:ascii="Arial" w:cs="Arial" w:eastAsia="Arial" w:hAnsi="Arial"/>
                <w:sz w:val="18"/>
                <w:szCs w:val="18"/>
                <w:b w:val="1"/>
                <w:bCs w:val="1"/>
                <w:color w:val="auto"/>
                <w:vertAlign w:val="superscript"/>
              </w:rPr>
              <w:t>(5)</w:t>
            </w:r>
          </w:p>
        </w:tc>
        <w:tc>
          <w:tcPr>
            <w:tcW w:w="3620" w:type="dxa"/>
            <w:vAlign w:val="bottom"/>
            <w:tcBorders>
              <w:bottom w:val="single" w:sz="8" w:color="852166"/>
            </w:tcBorders>
            <w:shd w:val="clear" w:color="auto" w:fill="EAEAEA"/>
          </w:tcPr>
          <w:p>
            <w:pPr>
              <w:jc w:val="right"/>
              <w:ind w:right="308"/>
              <w:spacing w:after="0"/>
              <w:rPr>
                <w:sz w:val="20"/>
                <w:szCs w:val="20"/>
                <w:color w:val="auto"/>
              </w:rPr>
            </w:pPr>
            <w:r>
              <w:rPr>
                <w:rFonts w:ascii="Arial" w:cs="Arial" w:eastAsia="Arial" w:hAnsi="Arial"/>
                <w:sz w:val="14"/>
                <w:szCs w:val="14"/>
                <w:b w:val="1"/>
                <w:bCs w:val="1"/>
                <w:color w:val="auto"/>
              </w:rPr>
              <w:t>4,346,250</w:t>
            </w:r>
          </w:p>
        </w:tc>
        <w:tc>
          <w:tcPr>
            <w:tcW w:w="1440" w:type="dxa"/>
            <w:vAlign w:val="bottom"/>
            <w:tcBorders>
              <w:bottom w:val="single" w:sz="8" w:color="852166"/>
            </w:tcBorders>
            <w:shd w:val="clear" w:color="auto" w:fill="EAEAEA"/>
          </w:tcPr>
          <w:p>
            <w:pPr>
              <w:jc w:val="right"/>
              <w:ind w:right="348"/>
              <w:spacing w:after="0"/>
              <w:rPr>
                <w:sz w:val="20"/>
                <w:szCs w:val="20"/>
                <w:color w:val="auto"/>
              </w:rPr>
            </w:pPr>
            <w:r>
              <w:rPr>
                <w:rFonts w:ascii="Arial" w:cs="Arial" w:eastAsia="Arial" w:hAnsi="Arial"/>
                <w:sz w:val="14"/>
                <w:szCs w:val="14"/>
                <w:b w:val="1"/>
                <w:bCs w:val="1"/>
                <w:color w:val="auto"/>
              </w:rPr>
              <w:t>5,400,000</w:t>
            </w:r>
          </w:p>
        </w:tc>
        <w:tc>
          <w:tcPr>
            <w:tcW w:w="1080" w:type="dxa"/>
            <w:vAlign w:val="bottom"/>
            <w:tcBorders>
              <w:bottom w:val="single" w:sz="8" w:color="852166"/>
            </w:tcBorders>
            <w:shd w:val="clear" w:color="auto" w:fill="EAEAEA"/>
          </w:tcPr>
          <w:p>
            <w:pPr>
              <w:jc w:val="right"/>
              <w:ind w:right="48"/>
              <w:spacing w:after="0"/>
              <w:rPr>
                <w:sz w:val="20"/>
                <w:szCs w:val="20"/>
                <w:color w:val="auto"/>
              </w:rPr>
            </w:pPr>
            <w:r>
              <w:rPr>
                <w:rFonts w:ascii="Arial" w:cs="Arial" w:eastAsia="Arial" w:hAnsi="Arial"/>
                <w:sz w:val="14"/>
                <w:szCs w:val="14"/>
                <w:b w:val="1"/>
                <w:bCs w:val="1"/>
                <w:color w:val="auto"/>
              </w:rPr>
              <w:t>24.2%</w:t>
            </w:r>
          </w:p>
        </w:tc>
      </w:tr>
    </w:tbl>
    <w:p>
      <w:pPr>
        <w:spacing w:after="0" w:line="139" w:lineRule="exact"/>
        <w:rPr>
          <w:sz w:val="20"/>
          <w:szCs w:val="20"/>
          <w:color w:val="auto"/>
        </w:rPr>
      </w:pPr>
    </w:p>
    <w:p>
      <w:pPr>
        <w:ind w:left="340" w:right="40" w:hanging="332"/>
        <w:spacing w:after="0" w:line="324" w:lineRule="auto"/>
        <w:tabs>
          <w:tab w:leader="none" w:pos="327" w:val="left"/>
        </w:tabs>
        <w:numPr>
          <w:ilvl w:val="0"/>
          <w:numId w:val="65"/>
        </w:numPr>
        <w:rPr>
          <w:rFonts w:ascii="Arial" w:cs="Arial" w:eastAsia="Arial" w:hAnsi="Arial"/>
          <w:sz w:val="14"/>
          <w:szCs w:val="14"/>
          <w:color w:val="auto"/>
        </w:rPr>
      </w:pPr>
      <w:r>
        <w:rPr>
          <w:rFonts w:ascii="Arial" w:cs="Arial" w:eastAsia="Arial" w:hAnsi="Arial"/>
          <w:sz w:val="14"/>
          <w:szCs w:val="14"/>
          <w:color w:val="auto"/>
        </w:rPr>
        <w:t>Our board appointed Renée Galá as our President and COO, effective as of October 1, 2023, to succeed Mr. Swisher as our President and COO. Ms. Galá was previously our Executive Vice President and Chief Financial Officer. The amounts listed in the 2023 Pay column reflect Ms. Galá’s pay effective as of her appointment to President and COO.</w:t>
      </w:r>
    </w:p>
    <w:p>
      <w:pPr>
        <w:spacing w:after="0" w:line="172" w:lineRule="exact"/>
        <w:rPr>
          <w:rFonts w:ascii="Arial" w:cs="Arial" w:eastAsia="Arial" w:hAnsi="Arial"/>
          <w:sz w:val="14"/>
          <w:szCs w:val="14"/>
          <w:color w:val="auto"/>
        </w:rPr>
      </w:pPr>
    </w:p>
    <w:p>
      <w:pPr>
        <w:ind w:left="340" w:right="740" w:hanging="332"/>
        <w:spacing w:after="0" w:line="322" w:lineRule="auto"/>
        <w:tabs>
          <w:tab w:leader="none" w:pos="327"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annual base salary rate for the applicable year. Ms. Galá’s initial 2023 base salary of $735,000 became effective March 2023. In connection with her appointment as President and COO, our board increased Ms. Galá’s annual base salary to $800,000, effective October 1, 2023.</w:t>
      </w:r>
    </w:p>
    <w:p>
      <w:pPr>
        <w:ind w:left="340" w:hanging="332"/>
        <w:spacing w:after="0" w:line="296" w:lineRule="auto"/>
        <w:tabs>
          <w:tab w:leader="none" w:pos="327"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 connection with her appointment as President and COO, our compensation committee increased Ms. Galá’s target bonus opportunity for 2023 from 60% of her base salary to 75% of her base salary, effective as of October 1, 2023. As such, the 2023 amount reflects a target performance bonus of 75% as of December 31, 2023, an increase from 55% in 2022. The actual 2023 performance bonus paid was $570,000, reflecting 95% of target performance bonus, based on the 95% overall achievement of the 2023 corporate performance objectives.</w:t>
      </w:r>
    </w:p>
    <w:p>
      <w:pPr>
        <w:spacing w:after="0" w:line="15" w:lineRule="exact"/>
        <w:rPr>
          <w:rFonts w:ascii="Arial" w:cs="Arial" w:eastAsia="Arial" w:hAnsi="Arial"/>
          <w:sz w:val="14"/>
          <w:szCs w:val="14"/>
          <w:color w:val="auto"/>
        </w:rPr>
      </w:pPr>
    </w:p>
    <w:p>
      <w:pPr>
        <w:ind w:left="340" w:right="20" w:hanging="332"/>
        <w:spacing w:after="0" w:line="287" w:lineRule="auto"/>
        <w:tabs>
          <w:tab w:leader="none" w:pos="327" w:val="left"/>
        </w:tabs>
        <w:numPr>
          <w:ilvl w:val="0"/>
          <w:numId w:val="65"/>
        </w:numPr>
        <w:rPr>
          <w:rFonts w:ascii="Arial" w:cs="Arial" w:eastAsia="Arial" w:hAnsi="Arial"/>
          <w:sz w:val="14"/>
          <w:szCs w:val="14"/>
          <w:color w:val="auto"/>
        </w:rPr>
      </w:pPr>
      <w:r>
        <w:rPr>
          <w:rFonts w:ascii="Arial" w:cs="Arial" w:eastAsia="Arial" w:hAnsi="Arial"/>
          <w:sz w:val="14"/>
          <w:szCs w:val="14"/>
          <w:color w:val="auto"/>
        </w:rPr>
        <w:t xml:space="preserve">Ms. Galá received an annual equity grant in March 2023 with a target value of $3,800,000. In connection with her appointment as President and Chief Operating Officer, she also received an additional one-time promotion grant in November 2023, incremental to her 2023 annual equity grant, with an approximate grant date value of $200,000. The target equity compensation presented in the chart above reflects the target dollar value approved by our compensation committee; this value differs from the values required to be shown in the Summary Compensation Table and Grants of Plan-Based Awards Table for 2022 and 2023, as applicable as further described above in </w:t>
      </w:r>
      <w:r>
        <w:rPr>
          <w:rFonts w:ascii="Arial" w:cs="Arial" w:eastAsia="Arial" w:hAnsi="Arial"/>
          <w:sz w:val="14"/>
          <w:szCs w:val="14"/>
          <w:i w:val="1"/>
          <w:iCs w:val="1"/>
          <w:color w:val="auto"/>
        </w:rPr>
        <w:t>“Summary of 2023 Compensation Decisions—Long-Term Incentive Program.”</w:t>
      </w:r>
    </w:p>
    <w:p>
      <w:pPr>
        <w:spacing w:after="0" w:line="22" w:lineRule="exact"/>
        <w:rPr>
          <w:rFonts w:ascii="Arial" w:cs="Arial" w:eastAsia="Arial" w:hAnsi="Arial"/>
          <w:sz w:val="14"/>
          <w:szCs w:val="14"/>
          <w:color w:val="auto"/>
        </w:rPr>
      </w:pPr>
    </w:p>
    <w:p>
      <w:pPr>
        <w:ind w:left="340" w:right="20" w:hanging="332"/>
        <w:spacing w:after="0" w:line="286" w:lineRule="auto"/>
        <w:tabs>
          <w:tab w:leader="none" w:pos="327" w:val="left"/>
        </w:tabs>
        <w:numPr>
          <w:ilvl w:val="0"/>
          <w:numId w:val="65"/>
        </w:numPr>
        <w:rPr>
          <w:rFonts w:ascii="Arial" w:cs="Arial" w:eastAsia="Arial" w:hAnsi="Arial"/>
          <w:sz w:val="14"/>
          <w:szCs w:val="14"/>
          <w:color w:val="auto"/>
        </w:rPr>
      </w:pPr>
      <w:r>
        <w:rPr>
          <w:rFonts w:ascii="Arial" w:cs="Arial" w:eastAsia="Arial" w:hAnsi="Arial"/>
          <w:sz w:val="14"/>
          <w:szCs w:val="14"/>
          <w:color w:val="auto"/>
        </w:rPr>
        <w:t>Our compensation committee designed Ms. Galá’s target total direct compensation to be competitive as compared to the market data, as described in more detail above in “</w:t>
      </w:r>
      <w:r>
        <w:rPr>
          <w:rFonts w:ascii="Arial" w:cs="Arial" w:eastAsia="Arial" w:hAnsi="Arial"/>
          <w:sz w:val="14"/>
          <w:szCs w:val="14"/>
          <w:i w:val="1"/>
          <w:iCs w:val="1"/>
          <w:color w:val="auto"/>
        </w:rPr>
        <w:t>How We Determine Executive Compensation—Competitive Assessment of Compensation – Peer Companies and Market Data,”</w:t>
      </w:r>
      <w:r>
        <w:rPr>
          <w:rFonts w:ascii="Arial" w:cs="Arial" w:eastAsia="Arial" w:hAnsi="Arial"/>
          <w:sz w:val="14"/>
          <w:szCs w:val="14"/>
          <w:color w:val="auto"/>
        </w:rPr>
        <w:t xml:space="preserve"> appropriate from an internal equity perspective and more heavily weighted towards equity compensation, in line with our pay-for-performance philosophy. Our compensation committee determined it was appropriate to increase Ms. Galá’s base salary in an amount necessary to reflect her scope of responsibility and oversight of significant functions within the organization, as well as to maintain competitive positioning relative to the market data and the other NEOs. Based on our compensation committee’s professional experience and judgment, our compensation committee determined Ms. Galá’s target total direct compensation to be competitive and appropriate.</w:t>
      </w:r>
    </w:p>
    <w:p>
      <w:pPr>
        <w:spacing w:after="0" w:line="200" w:lineRule="exact"/>
        <w:rPr>
          <w:sz w:val="20"/>
          <w:szCs w:val="20"/>
          <w:color w:val="auto"/>
        </w:rPr>
      </w:pPr>
    </w:p>
    <w:p>
      <w:pPr>
        <w:spacing w:after="0" w:line="323"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58</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color w:val="852166"/>
        </w:rPr>
        <w:t>Patricia Carr, Senior Vice President and Chief Accounting Officer (Former Interim Principal Financial Officer)</w:t>
      </w:r>
      <w:r>
        <w:rPr>
          <w:rFonts w:ascii="Arial" w:cs="Arial" w:eastAsia="Arial" w:hAnsi="Arial"/>
          <w:sz w:val="21"/>
          <w:szCs w:val="21"/>
          <w:b w:val="1"/>
          <w:bCs w:val="1"/>
          <w:color w:val="852166"/>
          <w:vertAlign w:val="superscript"/>
        </w:rPr>
        <w:t>(1)</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00" w:type="dxa"/>
            <w:vAlign w:val="bottom"/>
            <w:shd w:val="clear" w:color="auto" w:fill="852166"/>
          </w:tcPr>
          <w:p>
            <w:pPr>
              <w:spacing w:after="0"/>
              <w:rPr>
                <w:sz w:val="16"/>
                <w:szCs w:val="16"/>
                <w:color w:val="auto"/>
              </w:rPr>
            </w:pPr>
          </w:p>
        </w:tc>
        <w:tc>
          <w:tcPr>
            <w:tcW w:w="3620" w:type="dxa"/>
            <w:vAlign w:val="bottom"/>
            <w:shd w:val="clear" w:color="auto" w:fill="852166"/>
          </w:tcPr>
          <w:p>
            <w:pPr>
              <w:jc w:val="right"/>
              <w:ind w:right="308"/>
              <w:spacing w:after="0"/>
              <w:rPr>
                <w:sz w:val="20"/>
                <w:szCs w:val="20"/>
                <w:color w:val="auto"/>
              </w:rPr>
            </w:pPr>
            <w:r>
              <w:rPr>
                <w:rFonts w:ascii="Arial" w:cs="Arial" w:eastAsia="Arial" w:hAnsi="Arial"/>
                <w:sz w:val="14"/>
                <w:szCs w:val="14"/>
                <w:b w:val="1"/>
                <w:bCs w:val="1"/>
                <w:color w:val="FFFFFF"/>
              </w:rPr>
              <w:t>2022 Pay</w:t>
            </w:r>
          </w:p>
        </w:tc>
        <w:tc>
          <w:tcPr>
            <w:tcW w:w="1440" w:type="dxa"/>
            <w:vAlign w:val="bottom"/>
            <w:shd w:val="clear" w:color="auto" w:fill="852166"/>
          </w:tcPr>
          <w:p>
            <w:pPr>
              <w:jc w:val="right"/>
              <w:ind w:right="348"/>
              <w:spacing w:after="0"/>
              <w:rPr>
                <w:sz w:val="20"/>
                <w:szCs w:val="20"/>
                <w:color w:val="auto"/>
              </w:rPr>
            </w:pPr>
            <w:r>
              <w:rPr>
                <w:rFonts w:ascii="Arial" w:cs="Arial" w:eastAsia="Arial" w:hAnsi="Arial"/>
                <w:sz w:val="14"/>
                <w:szCs w:val="14"/>
                <w:b w:val="1"/>
                <w:bCs w:val="1"/>
                <w:color w:val="FFFFFF"/>
              </w:rPr>
              <w:t>2023 Pay</w:t>
            </w:r>
          </w:p>
        </w:tc>
        <w:tc>
          <w:tcPr>
            <w:tcW w:w="1080" w:type="dxa"/>
            <w:vAlign w:val="bottom"/>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Change</w:t>
            </w:r>
          </w:p>
        </w:tc>
      </w:tr>
      <w:tr>
        <w:trPr>
          <w:trHeight w:val="196"/>
        </w:trPr>
        <w:tc>
          <w:tcPr>
            <w:tcW w:w="5100" w:type="dxa"/>
            <w:vAlign w:val="bottom"/>
            <w:shd w:val="clear" w:color="auto" w:fill="852166"/>
          </w:tcPr>
          <w:p>
            <w:pPr>
              <w:spacing w:after="0"/>
              <w:rPr>
                <w:sz w:val="17"/>
                <w:szCs w:val="17"/>
                <w:color w:val="auto"/>
              </w:rPr>
            </w:pPr>
          </w:p>
        </w:tc>
        <w:tc>
          <w:tcPr>
            <w:tcW w:w="3620" w:type="dxa"/>
            <w:vAlign w:val="bottom"/>
            <w:shd w:val="clear" w:color="auto" w:fill="852166"/>
          </w:tcPr>
          <w:p>
            <w:pPr>
              <w:jc w:val="right"/>
              <w:ind w:right="308"/>
              <w:spacing w:after="0"/>
              <w:rPr>
                <w:sz w:val="20"/>
                <w:szCs w:val="20"/>
                <w:color w:val="auto"/>
              </w:rPr>
            </w:pPr>
            <w:r>
              <w:rPr>
                <w:rFonts w:ascii="Arial" w:cs="Arial" w:eastAsia="Arial" w:hAnsi="Arial"/>
                <w:sz w:val="14"/>
                <w:szCs w:val="14"/>
                <w:b w:val="1"/>
                <w:bCs w:val="1"/>
                <w:color w:val="FFFFFF"/>
              </w:rPr>
              <w:t>($)</w:t>
            </w:r>
          </w:p>
        </w:tc>
        <w:tc>
          <w:tcPr>
            <w:tcW w:w="1440" w:type="dxa"/>
            <w:vAlign w:val="bottom"/>
            <w:shd w:val="clear" w:color="auto" w:fill="852166"/>
          </w:tcPr>
          <w:p>
            <w:pPr>
              <w:jc w:val="right"/>
              <w:ind w:right="348"/>
              <w:spacing w:after="0"/>
              <w:rPr>
                <w:sz w:val="20"/>
                <w:szCs w:val="20"/>
                <w:color w:val="auto"/>
              </w:rPr>
            </w:pPr>
            <w:r>
              <w:rPr>
                <w:rFonts w:ascii="Arial" w:cs="Arial" w:eastAsia="Arial" w:hAnsi="Arial"/>
                <w:sz w:val="14"/>
                <w:szCs w:val="14"/>
                <w:b w:val="1"/>
                <w:bCs w:val="1"/>
                <w:color w:val="FFFFFF"/>
              </w:rPr>
              <w:t>($)</w:t>
            </w:r>
          </w:p>
        </w:tc>
        <w:tc>
          <w:tcPr>
            <w:tcW w:w="1080" w:type="dxa"/>
            <w:vAlign w:val="bottom"/>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70"/>
        </w:trPr>
        <w:tc>
          <w:tcPr>
            <w:tcW w:w="5100" w:type="dxa"/>
            <w:vAlign w:val="bottom"/>
            <w:shd w:val="clear" w:color="auto" w:fill="852166"/>
          </w:tcPr>
          <w:p>
            <w:pPr>
              <w:spacing w:after="0"/>
              <w:rPr>
                <w:sz w:val="6"/>
                <w:szCs w:val="6"/>
                <w:color w:val="auto"/>
              </w:rPr>
            </w:pPr>
          </w:p>
        </w:tc>
        <w:tc>
          <w:tcPr>
            <w:tcW w:w="3620" w:type="dxa"/>
            <w:vAlign w:val="bottom"/>
            <w:shd w:val="clear" w:color="auto" w:fill="852166"/>
          </w:tcPr>
          <w:p>
            <w:pPr>
              <w:spacing w:after="0"/>
              <w:rPr>
                <w:sz w:val="6"/>
                <w:szCs w:val="6"/>
                <w:color w:val="auto"/>
              </w:rPr>
            </w:pPr>
          </w:p>
        </w:tc>
        <w:tc>
          <w:tcPr>
            <w:tcW w:w="1440" w:type="dxa"/>
            <w:vAlign w:val="bottom"/>
            <w:shd w:val="clear" w:color="auto" w:fill="852166"/>
          </w:tcPr>
          <w:p>
            <w:pPr>
              <w:spacing w:after="0"/>
              <w:rPr>
                <w:sz w:val="6"/>
                <w:szCs w:val="6"/>
                <w:color w:val="auto"/>
              </w:rPr>
            </w:pPr>
          </w:p>
        </w:tc>
        <w:tc>
          <w:tcPr>
            <w:tcW w:w="1080" w:type="dxa"/>
            <w:vAlign w:val="bottom"/>
            <w:shd w:val="clear" w:color="auto" w:fill="852166"/>
          </w:tcPr>
          <w:p>
            <w:pPr>
              <w:spacing w:after="0"/>
              <w:rPr>
                <w:sz w:val="6"/>
                <w:szCs w:val="6"/>
                <w:color w:val="auto"/>
              </w:rPr>
            </w:pPr>
          </w:p>
        </w:tc>
      </w:tr>
      <w:tr>
        <w:trPr>
          <w:trHeight w:val="230"/>
        </w:trPr>
        <w:tc>
          <w:tcPr>
            <w:tcW w:w="5100" w:type="dxa"/>
            <w:vAlign w:val="bottom"/>
            <w:shd w:val="clear" w:color="auto" w:fill="EAEAEA"/>
          </w:tcPr>
          <w:p>
            <w:pPr>
              <w:ind w:left="100"/>
              <w:spacing w:after="0"/>
              <w:rPr>
                <w:sz w:val="20"/>
                <w:szCs w:val="20"/>
                <w:color w:val="auto"/>
              </w:rPr>
            </w:pPr>
            <w:r>
              <w:rPr>
                <w:rFonts w:ascii="Arial" w:cs="Arial" w:eastAsia="Arial" w:hAnsi="Arial"/>
                <w:sz w:val="14"/>
                <w:szCs w:val="14"/>
                <w:b w:val="1"/>
                <w:bCs w:val="1"/>
                <w:color w:val="auto"/>
              </w:rPr>
              <w:t>Target Total Cash Compensation</w:t>
            </w:r>
            <w:r>
              <w:rPr>
                <w:rFonts w:ascii="Arial" w:cs="Arial" w:eastAsia="Arial" w:hAnsi="Arial"/>
                <w:sz w:val="18"/>
                <w:szCs w:val="18"/>
                <w:b w:val="1"/>
                <w:bCs w:val="1"/>
                <w:color w:val="auto"/>
                <w:vertAlign w:val="superscript"/>
              </w:rPr>
              <w:t>(2)</w:t>
            </w:r>
          </w:p>
        </w:tc>
        <w:tc>
          <w:tcPr>
            <w:tcW w:w="3620" w:type="dxa"/>
            <w:vAlign w:val="bottom"/>
            <w:shd w:val="clear" w:color="auto" w:fill="EAEAEA"/>
          </w:tcPr>
          <w:p>
            <w:pPr>
              <w:jc w:val="right"/>
              <w:ind w:right="308"/>
              <w:spacing w:after="0"/>
              <w:rPr>
                <w:sz w:val="20"/>
                <w:szCs w:val="20"/>
                <w:color w:val="auto"/>
              </w:rPr>
            </w:pPr>
            <w:r>
              <w:rPr>
                <w:rFonts w:ascii="Arial" w:cs="Arial" w:eastAsia="Arial" w:hAnsi="Arial"/>
                <w:sz w:val="14"/>
                <w:szCs w:val="14"/>
                <w:b w:val="1"/>
                <w:bCs w:val="1"/>
                <w:color w:val="auto"/>
              </w:rPr>
              <w:t>550,961</w:t>
            </w:r>
          </w:p>
        </w:tc>
        <w:tc>
          <w:tcPr>
            <w:tcW w:w="1440" w:type="dxa"/>
            <w:vAlign w:val="bottom"/>
            <w:shd w:val="clear" w:color="auto" w:fill="EAEAEA"/>
          </w:tcPr>
          <w:p>
            <w:pPr>
              <w:jc w:val="right"/>
              <w:ind w:right="348"/>
              <w:spacing w:after="0"/>
              <w:rPr>
                <w:sz w:val="20"/>
                <w:szCs w:val="20"/>
                <w:color w:val="auto"/>
              </w:rPr>
            </w:pPr>
            <w:r>
              <w:rPr>
                <w:rFonts w:ascii="Arial" w:cs="Arial" w:eastAsia="Arial" w:hAnsi="Arial"/>
                <w:sz w:val="14"/>
                <w:szCs w:val="14"/>
                <w:b w:val="1"/>
                <w:bCs w:val="1"/>
                <w:color w:val="auto"/>
              </w:rPr>
              <w:t>587,060</w:t>
            </w:r>
          </w:p>
        </w:tc>
        <w:tc>
          <w:tcPr>
            <w:tcW w:w="1080" w:type="dxa"/>
            <w:vAlign w:val="bottom"/>
            <w:shd w:val="clear" w:color="auto" w:fill="EAEAEA"/>
          </w:tcPr>
          <w:p>
            <w:pPr>
              <w:jc w:val="right"/>
              <w:ind w:right="48"/>
              <w:spacing w:after="0"/>
              <w:rPr>
                <w:sz w:val="20"/>
                <w:szCs w:val="20"/>
                <w:color w:val="auto"/>
              </w:rPr>
            </w:pPr>
            <w:r>
              <w:rPr>
                <w:rFonts w:ascii="Arial" w:cs="Arial" w:eastAsia="Arial" w:hAnsi="Arial"/>
                <w:sz w:val="14"/>
                <w:szCs w:val="14"/>
                <w:b w:val="1"/>
                <w:bCs w:val="1"/>
                <w:color w:val="auto"/>
              </w:rPr>
              <w:t>6.6%</w:t>
            </w:r>
          </w:p>
        </w:tc>
      </w:tr>
      <w:tr>
        <w:trPr>
          <w:trHeight w:val="277"/>
        </w:trPr>
        <w:tc>
          <w:tcPr>
            <w:tcW w:w="510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Base Salary</w:t>
            </w:r>
            <w:r>
              <w:rPr>
                <w:rFonts w:ascii="Arial" w:cs="Arial" w:eastAsia="Arial" w:hAnsi="Arial"/>
                <w:sz w:val="18"/>
                <w:szCs w:val="18"/>
                <w:color w:val="auto"/>
                <w:vertAlign w:val="superscript"/>
              </w:rPr>
              <w:t>(3)</w:t>
            </w:r>
          </w:p>
        </w:tc>
        <w:tc>
          <w:tcPr>
            <w:tcW w:w="36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379,973</w:t>
            </w:r>
          </w:p>
        </w:tc>
        <w:tc>
          <w:tcPr>
            <w:tcW w:w="14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404,869</w:t>
            </w:r>
          </w:p>
        </w:tc>
        <w:tc>
          <w:tcPr>
            <w:tcW w:w="1080" w:type="dxa"/>
            <w:vAlign w:val="bottom"/>
            <w:tcBorders>
              <w:bottom w:val="single" w:sz="8" w:color="auto"/>
            </w:tcBorders>
          </w:tcPr>
          <w:p>
            <w:pPr>
              <w:spacing w:after="0"/>
              <w:rPr>
                <w:sz w:val="24"/>
                <w:szCs w:val="24"/>
                <w:color w:val="auto"/>
              </w:rPr>
            </w:pPr>
          </w:p>
        </w:tc>
      </w:tr>
      <w:tr>
        <w:trPr>
          <w:trHeight w:val="274"/>
        </w:trPr>
        <w:tc>
          <w:tcPr>
            <w:tcW w:w="5100" w:type="dxa"/>
            <w:vAlign w:val="bottom"/>
          </w:tcPr>
          <w:p>
            <w:pPr>
              <w:ind w:left="440"/>
              <w:spacing w:after="0"/>
              <w:rPr>
                <w:sz w:val="20"/>
                <w:szCs w:val="20"/>
                <w:color w:val="auto"/>
              </w:rPr>
            </w:pPr>
            <w:r>
              <w:rPr>
                <w:rFonts w:ascii="Arial" w:cs="Arial" w:eastAsia="Arial" w:hAnsi="Arial"/>
                <w:sz w:val="14"/>
                <w:szCs w:val="14"/>
                <w:color w:val="auto"/>
              </w:rPr>
              <w:t>Target Performance Bonus</w:t>
            </w:r>
            <w:r>
              <w:rPr>
                <w:rFonts w:ascii="Arial" w:cs="Arial" w:eastAsia="Arial" w:hAnsi="Arial"/>
                <w:sz w:val="18"/>
                <w:szCs w:val="18"/>
                <w:color w:val="auto"/>
                <w:vertAlign w:val="superscript"/>
              </w:rPr>
              <w:t>(4)</w:t>
            </w:r>
          </w:p>
        </w:tc>
        <w:tc>
          <w:tcPr>
            <w:tcW w:w="3620" w:type="dxa"/>
            <w:vAlign w:val="bottom"/>
          </w:tcPr>
          <w:p>
            <w:pPr>
              <w:jc w:val="right"/>
              <w:ind w:right="308"/>
              <w:spacing w:after="0"/>
              <w:rPr>
                <w:sz w:val="20"/>
                <w:szCs w:val="20"/>
                <w:color w:val="auto"/>
              </w:rPr>
            </w:pPr>
            <w:r>
              <w:rPr>
                <w:rFonts w:ascii="Arial" w:cs="Arial" w:eastAsia="Arial" w:hAnsi="Arial"/>
                <w:sz w:val="14"/>
                <w:szCs w:val="14"/>
                <w:color w:val="auto"/>
              </w:rPr>
              <w:t>170,988</w:t>
            </w:r>
          </w:p>
        </w:tc>
        <w:tc>
          <w:tcPr>
            <w:tcW w:w="1440" w:type="dxa"/>
            <w:vAlign w:val="bottom"/>
          </w:tcPr>
          <w:p>
            <w:pPr>
              <w:jc w:val="right"/>
              <w:ind w:right="348"/>
              <w:spacing w:after="0"/>
              <w:rPr>
                <w:sz w:val="20"/>
                <w:szCs w:val="20"/>
                <w:color w:val="auto"/>
              </w:rPr>
            </w:pPr>
            <w:r>
              <w:rPr>
                <w:rFonts w:ascii="Arial" w:cs="Arial" w:eastAsia="Arial" w:hAnsi="Arial"/>
                <w:sz w:val="14"/>
                <w:szCs w:val="14"/>
                <w:color w:val="auto"/>
              </w:rPr>
              <w:t>182,191</w:t>
            </w:r>
          </w:p>
        </w:tc>
        <w:tc>
          <w:tcPr>
            <w:tcW w:w="1080" w:type="dxa"/>
            <w:vAlign w:val="bottom"/>
          </w:tcPr>
          <w:p>
            <w:pPr>
              <w:spacing w:after="0"/>
              <w:rPr>
                <w:sz w:val="23"/>
                <w:szCs w:val="23"/>
                <w:color w:val="auto"/>
              </w:rPr>
            </w:pPr>
          </w:p>
        </w:tc>
      </w:tr>
      <w:tr>
        <w:trPr>
          <w:trHeight w:val="239"/>
        </w:trPr>
        <w:tc>
          <w:tcPr>
            <w:tcW w:w="5100" w:type="dxa"/>
            <w:vAlign w:val="bottom"/>
            <w:tcBorders>
              <w:bottom w:val="single" w:sz="8" w:color="852166"/>
            </w:tcBorders>
            <w:shd w:val="clear" w:color="auto" w:fill="EAEAEA"/>
          </w:tcPr>
          <w:p>
            <w:pPr>
              <w:ind w:left="100"/>
              <w:spacing w:after="0"/>
              <w:rPr>
                <w:sz w:val="20"/>
                <w:szCs w:val="20"/>
                <w:color w:val="auto"/>
              </w:rPr>
            </w:pPr>
            <w:r>
              <w:rPr>
                <w:rFonts w:ascii="Arial" w:cs="Arial" w:eastAsia="Arial" w:hAnsi="Arial"/>
                <w:sz w:val="14"/>
                <w:szCs w:val="14"/>
                <w:b w:val="1"/>
                <w:bCs w:val="1"/>
                <w:color w:val="auto"/>
              </w:rPr>
              <w:t>Target Equity Compensation</w:t>
            </w:r>
            <w:r>
              <w:rPr>
                <w:rFonts w:ascii="Arial" w:cs="Arial" w:eastAsia="Arial" w:hAnsi="Arial"/>
                <w:sz w:val="18"/>
                <w:szCs w:val="18"/>
                <w:b w:val="1"/>
                <w:bCs w:val="1"/>
                <w:color w:val="auto"/>
                <w:vertAlign w:val="superscript"/>
              </w:rPr>
              <w:t>(5)</w:t>
            </w:r>
          </w:p>
        </w:tc>
        <w:tc>
          <w:tcPr>
            <w:tcW w:w="3620" w:type="dxa"/>
            <w:vAlign w:val="bottom"/>
            <w:tcBorders>
              <w:bottom w:val="single" w:sz="8" w:color="852166"/>
            </w:tcBorders>
            <w:shd w:val="clear" w:color="auto" w:fill="EAEAEA"/>
          </w:tcPr>
          <w:p>
            <w:pPr>
              <w:jc w:val="right"/>
              <w:ind w:right="308"/>
              <w:spacing w:after="0"/>
              <w:rPr>
                <w:sz w:val="20"/>
                <w:szCs w:val="20"/>
                <w:color w:val="auto"/>
              </w:rPr>
            </w:pPr>
            <w:r>
              <w:rPr>
                <w:rFonts w:ascii="Arial" w:cs="Arial" w:eastAsia="Arial" w:hAnsi="Arial"/>
                <w:sz w:val="14"/>
                <w:szCs w:val="14"/>
                <w:b w:val="1"/>
                <w:bCs w:val="1"/>
                <w:color w:val="auto"/>
              </w:rPr>
              <w:t>700,000</w:t>
            </w:r>
          </w:p>
        </w:tc>
        <w:tc>
          <w:tcPr>
            <w:tcW w:w="1440" w:type="dxa"/>
            <w:vAlign w:val="bottom"/>
            <w:tcBorders>
              <w:bottom w:val="single" w:sz="8" w:color="852166"/>
            </w:tcBorders>
            <w:shd w:val="clear" w:color="auto" w:fill="EAEAEA"/>
          </w:tcPr>
          <w:p>
            <w:pPr>
              <w:jc w:val="right"/>
              <w:ind w:right="348"/>
              <w:spacing w:after="0"/>
              <w:rPr>
                <w:sz w:val="20"/>
                <w:szCs w:val="20"/>
                <w:color w:val="auto"/>
              </w:rPr>
            </w:pPr>
            <w:r>
              <w:rPr>
                <w:rFonts w:ascii="Arial" w:cs="Arial" w:eastAsia="Arial" w:hAnsi="Arial"/>
                <w:sz w:val="14"/>
                <w:szCs w:val="14"/>
                <w:b w:val="1"/>
                <w:bCs w:val="1"/>
                <w:color w:val="auto"/>
              </w:rPr>
              <w:t>750,000</w:t>
            </w:r>
          </w:p>
        </w:tc>
        <w:tc>
          <w:tcPr>
            <w:tcW w:w="1080" w:type="dxa"/>
            <w:vAlign w:val="bottom"/>
            <w:tcBorders>
              <w:bottom w:val="single" w:sz="8" w:color="852166"/>
            </w:tcBorders>
            <w:shd w:val="clear" w:color="auto" w:fill="EAEAEA"/>
          </w:tcPr>
          <w:p>
            <w:pPr>
              <w:jc w:val="right"/>
              <w:ind w:right="48"/>
              <w:spacing w:after="0"/>
              <w:rPr>
                <w:sz w:val="20"/>
                <w:szCs w:val="20"/>
                <w:color w:val="auto"/>
              </w:rPr>
            </w:pPr>
            <w:r>
              <w:rPr>
                <w:rFonts w:ascii="Arial" w:cs="Arial" w:eastAsia="Arial" w:hAnsi="Arial"/>
                <w:sz w:val="14"/>
                <w:szCs w:val="14"/>
                <w:b w:val="1"/>
                <w:bCs w:val="1"/>
                <w:color w:val="auto"/>
              </w:rPr>
              <w:t>7.1%</w:t>
            </w:r>
          </w:p>
        </w:tc>
      </w:tr>
      <w:tr>
        <w:trPr>
          <w:trHeight w:val="223"/>
        </w:trPr>
        <w:tc>
          <w:tcPr>
            <w:tcW w:w="5100" w:type="dxa"/>
            <w:vAlign w:val="bottom"/>
            <w:tcBorders>
              <w:bottom w:val="single" w:sz="8" w:color="852166"/>
            </w:tcBorders>
            <w:shd w:val="clear" w:color="auto" w:fill="EAEAEA"/>
          </w:tcPr>
          <w:p>
            <w:pPr>
              <w:ind w:left="100"/>
              <w:spacing w:after="0"/>
              <w:rPr>
                <w:sz w:val="20"/>
                <w:szCs w:val="20"/>
                <w:color w:val="auto"/>
              </w:rPr>
            </w:pPr>
            <w:r>
              <w:rPr>
                <w:rFonts w:ascii="Arial" w:cs="Arial" w:eastAsia="Arial" w:hAnsi="Arial"/>
                <w:sz w:val="14"/>
                <w:szCs w:val="14"/>
                <w:b w:val="1"/>
                <w:bCs w:val="1"/>
                <w:color w:val="auto"/>
              </w:rPr>
              <w:t>Target Total Direct Compensation</w:t>
            </w:r>
            <w:r>
              <w:rPr>
                <w:rFonts w:ascii="Arial" w:cs="Arial" w:eastAsia="Arial" w:hAnsi="Arial"/>
                <w:sz w:val="18"/>
                <w:szCs w:val="18"/>
                <w:b w:val="1"/>
                <w:bCs w:val="1"/>
                <w:color w:val="auto"/>
                <w:vertAlign w:val="superscript"/>
              </w:rPr>
              <w:t>(6)</w:t>
            </w:r>
          </w:p>
        </w:tc>
        <w:tc>
          <w:tcPr>
            <w:tcW w:w="3620" w:type="dxa"/>
            <w:vAlign w:val="bottom"/>
            <w:tcBorders>
              <w:bottom w:val="single" w:sz="8" w:color="852166"/>
            </w:tcBorders>
            <w:shd w:val="clear" w:color="auto" w:fill="EAEAEA"/>
          </w:tcPr>
          <w:p>
            <w:pPr>
              <w:jc w:val="right"/>
              <w:ind w:right="308"/>
              <w:spacing w:after="0"/>
              <w:rPr>
                <w:sz w:val="20"/>
                <w:szCs w:val="20"/>
                <w:color w:val="auto"/>
              </w:rPr>
            </w:pPr>
            <w:r>
              <w:rPr>
                <w:rFonts w:ascii="Arial" w:cs="Arial" w:eastAsia="Arial" w:hAnsi="Arial"/>
                <w:sz w:val="14"/>
                <w:szCs w:val="14"/>
                <w:b w:val="1"/>
                <w:bCs w:val="1"/>
                <w:color w:val="auto"/>
              </w:rPr>
              <w:t>1,250,961</w:t>
            </w:r>
          </w:p>
        </w:tc>
        <w:tc>
          <w:tcPr>
            <w:tcW w:w="1440" w:type="dxa"/>
            <w:vAlign w:val="bottom"/>
            <w:tcBorders>
              <w:bottom w:val="single" w:sz="8" w:color="852166"/>
            </w:tcBorders>
            <w:shd w:val="clear" w:color="auto" w:fill="EAEAEA"/>
          </w:tcPr>
          <w:p>
            <w:pPr>
              <w:jc w:val="right"/>
              <w:ind w:right="348"/>
              <w:spacing w:after="0"/>
              <w:rPr>
                <w:sz w:val="20"/>
                <w:szCs w:val="20"/>
                <w:color w:val="auto"/>
              </w:rPr>
            </w:pPr>
            <w:r>
              <w:rPr>
                <w:rFonts w:ascii="Arial" w:cs="Arial" w:eastAsia="Arial" w:hAnsi="Arial"/>
                <w:sz w:val="14"/>
                <w:szCs w:val="14"/>
                <w:b w:val="1"/>
                <w:bCs w:val="1"/>
                <w:color w:val="auto"/>
              </w:rPr>
              <w:t>1,337,060</w:t>
            </w:r>
          </w:p>
        </w:tc>
        <w:tc>
          <w:tcPr>
            <w:tcW w:w="1080" w:type="dxa"/>
            <w:vAlign w:val="bottom"/>
            <w:tcBorders>
              <w:bottom w:val="single" w:sz="8" w:color="852166"/>
            </w:tcBorders>
            <w:shd w:val="clear" w:color="auto" w:fill="EAEAEA"/>
          </w:tcPr>
          <w:p>
            <w:pPr>
              <w:jc w:val="right"/>
              <w:ind w:right="48"/>
              <w:spacing w:after="0"/>
              <w:rPr>
                <w:sz w:val="20"/>
                <w:szCs w:val="20"/>
                <w:color w:val="auto"/>
              </w:rPr>
            </w:pPr>
            <w:r>
              <w:rPr>
                <w:rFonts w:ascii="Arial" w:cs="Arial" w:eastAsia="Arial" w:hAnsi="Arial"/>
                <w:sz w:val="14"/>
                <w:szCs w:val="14"/>
                <w:b w:val="1"/>
                <w:bCs w:val="1"/>
                <w:color w:val="auto"/>
              </w:rPr>
              <w:t>6.9%</w:t>
            </w:r>
          </w:p>
        </w:tc>
      </w:tr>
    </w:tbl>
    <w:p>
      <w:pPr>
        <w:spacing w:after="0" w:line="139" w:lineRule="exact"/>
        <w:rPr>
          <w:sz w:val="20"/>
          <w:szCs w:val="20"/>
          <w:color w:val="auto"/>
        </w:rPr>
      </w:pPr>
    </w:p>
    <w:p>
      <w:pPr>
        <w:ind w:left="320" w:hanging="312"/>
        <w:spacing w:after="0"/>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Ms. Carr served as our Interim Principal Financial Officer from October 1, 2023 to March 1, 2024.</w:t>
      </w:r>
    </w:p>
    <w:p>
      <w:pPr>
        <w:spacing w:after="0" w:line="82" w:lineRule="exact"/>
        <w:rPr>
          <w:rFonts w:ascii="Arial" w:cs="Arial" w:eastAsia="Arial" w:hAnsi="Arial"/>
          <w:sz w:val="14"/>
          <w:szCs w:val="14"/>
          <w:color w:val="auto"/>
        </w:rPr>
      </w:pPr>
    </w:p>
    <w:p>
      <w:pPr>
        <w:ind w:left="320" w:hanging="312"/>
        <w:spacing w:after="0"/>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Ms. Carr’s base salary is paid in Euros. The amounts have been converted to U.S. dollars using the conversion rates below.</w:t>
      </w:r>
    </w:p>
    <w:p>
      <w:pPr>
        <w:spacing w:after="0" w:line="82" w:lineRule="exact"/>
        <w:rPr>
          <w:rFonts w:ascii="Arial" w:cs="Arial" w:eastAsia="Arial" w:hAnsi="Arial"/>
          <w:sz w:val="14"/>
          <w:szCs w:val="14"/>
          <w:color w:val="auto"/>
        </w:rPr>
      </w:pPr>
    </w:p>
    <w:p>
      <w:pPr>
        <w:ind w:left="340" w:hanging="332"/>
        <w:spacing w:after="0" w:line="295" w:lineRule="auto"/>
        <w:tabs>
          <w:tab w:leader="none" w:pos="327"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annual base salary rate for the applicable year. 2023 base salary became effective in March 2023. Ms. Carr’s base salary for 2023 was €375,000 which has been converted to USD using a conversion rate of 1.07965 which is the average foreign exchange rate from January 1, 2023 to December 31, 2023. Ms. Carr’s base salary for 2022 was €360,000 which has been converted to USD using a conversion rate of 1.05548 which is the average foreign exchange rate from January 1, 2022 to December 31, 2022.</w:t>
      </w:r>
    </w:p>
    <w:p>
      <w:pPr>
        <w:spacing w:after="0" w:line="202" w:lineRule="exact"/>
        <w:rPr>
          <w:rFonts w:ascii="Arial" w:cs="Arial" w:eastAsia="Arial" w:hAnsi="Arial"/>
          <w:sz w:val="14"/>
          <w:szCs w:val="14"/>
          <w:color w:val="auto"/>
        </w:rPr>
      </w:pPr>
    </w:p>
    <w:p>
      <w:pPr>
        <w:ind w:left="340" w:right="100" w:hanging="332"/>
        <w:spacing w:after="0" w:line="296" w:lineRule="auto"/>
        <w:tabs>
          <w:tab w:leader="none" w:pos="327"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There was no change to the target bonus as a percentage of base salary for 2023. The 2023 amount reflects a target performance bonus of 45% of base salary rate as of December 31, 2023. The actual 2023 performance bonus paid was $194,868, reflecting 107% of target performance bonus, based on the 95% overall achievement of the 2023 corporate performance objectives and Ms. Carr’s individual contributions and leadership during the transition to a new CFO. Ms. Carr’s actual 2023 performance bonus was €180,000, which has been converted to USD using a conversion rate of 1.08260, the average foreign exchange rate for March 2024 when the bonus was paid.</w:t>
      </w:r>
    </w:p>
    <w:p>
      <w:pPr>
        <w:spacing w:after="0" w:line="2" w:lineRule="exact"/>
        <w:rPr>
          <w:rFonts w:ascii="Arial" w:cs="Arial" w:eastAsia="Arial" w:hAnsi="Arial"/>
          <w:sz w:val="14"/>
          <w:szCs w:val="14"/>
          <w:color w:val="auto"/>
        </w:rPr>
      </w:pPr>
    </w:p>
    <w:p>
      <w:pPr>
        <w:ind w:left="340" w:right="260" w:hanging="332"/>
        <w:spacing w:after="0" w:line="303" w:lineRule="auto"/>
        <w:tabs>
          <w:tab w:leader="none" w:pos="327" w:val="left"/>
        </w:tabs>
        <w:numPr>
          <w:ilvl w:val="0"/>
          <w:numId w:val="66"/>
        </w:numPr>
        <w:rPr>
          <w:rFonts w:ascii="Arial" w:cs="Arial" w:eastAsia="Arial" w:hAnsi="Arial"/>
          <w:sz w:val="14"/>
          <w:szCs w:val="14"/>
          <w:color w:val="auto"/>
        </w:rPr>
      </w:pPr>
      <w:r>
        <w:rPr>
          <w:rFonts w:ascii="Arial" w:cs="Arial" w:eastAsia="Arial" w:hAnsi="Arial"/>
          <w:sz w:val="14"/>
          <w:szCs w:val="14"/>
          <w:color w:val="auto"/>
        </w:rPr>
        <w:t xml:space="preserve">The target equity compensation presented in the chart above reflects the target dollar value approved by our compensation committee; this value differs from the values required to be shown in the Summary Compensation Table and Grants of Plan-Based Awards Table for 2022 and 2023, as applicable as further described above in </w:t>
      </w:r>
      <w:r>
        <w:rPr>
          <w:rFonts w:ascii="Arial" w:cs="Arial" w:eastAsia="Arial" w:hAnsi="Arial"/>
          <w:sz w:val="14"/>
          <w:szCs w:val="14"/>
          <w:i w:val="1"/>
          <w:iCs w:val="1"/>
          <w:color w:val="auto"/>
        </w:rPr>
        <w:t>“Summary of 2023 Compensation Decisions—Long-Term Incentive Program.”</w:t>
      </w:r>
    </w:p>
    <w:p>
      <w:pPr>
        <w:spacing w:after="0" w:line="11" w:lineRule="exact"/>
        <w:rPr>
          <w:rFonts w:ascii="Arial" w:cs="Arial" w:eastAsia="Arial" w:hAnsi="Arial"/>
          <w:sz w:val="14"/>
          <w:szCs w:val="14"/>
          <w:color w:val="auto"/>
        </w:rPr>
      </w:pPr>
    </w:p>
    <w:p>
      <w:pPr>
        <w:ind w:left="340" w:right="20" w:hanging="332"/>
        <w:spacing w:after="0" w:line="286" w:lineRule="auto"/>
        <w:tabs>
          <w:tab w:leader="none" w:pos="327" w:val="left"/>
        </w:tabs>
        <w:numPr>
          <w:ilvl w:val="0"/>
          <w:numId w:val="66"/>
        </w:numPr>
        <w:rPr>
          <w:rFonts w:ascii="Arial" w:cs="Arial" w:eastAsia="Arial" w:hAnsi="Arial"/>
          <w:sz w:val="14"/>
          <w:szCs w:val="14"/>
          <w:color w:val="auto"/>
        </w:rPr>
      </w:pPr>
      <w:r>
        <w:rPr>
          <w:rFonts w:ascii="Arial" w:cs="Arial" w:eastAsia="Arial" w:hAnsi="Arial"/>
          <w:sz w:val="14"/>
          <w:szCs w:val="14"/>
          <w:color w:val="auto"/>
        </w:rPr>
        <w:t>Our compensation committee designed Ms. Carr’s target total direct compensation to be competitive as compared to market data, as described in more detail above in “</w:t>
      </w:r>
      <w:r>
        <w:rPr>
          <w:rFonts w:ascii="Arial" w:cs="Arial" w:eastAsia="Arial" w:hAnsi="Arial"/>
          <w:sz w:val="14"/>
          <w:szCs w:val="14"/>
          <w:i w:val="1"/>
          <w:iCs w:val="1"/>
          <w:color w:val="auto"/>
        </w:rPr>
        <w:t>How We Determine Executive Compensation—Competitive Assessment of Compensation – Peer Companies and Market Data,”</w:t>
      </w:r>
      <w:r>
        <w:rPr>
          <w:rFonts w:ascii="Arial" w:cs="Arial" w:eastAsia="Arial" w:hAnsi="Arial"/>
          <w:sz w:val="14"/>
          <w:szCs w:val="14"/>
          <w:color w:val="auto"/>
        </w:rPr>
        <w:t xml:space="preserve"> appropriate from an internal equity perspective and more heavily weighted towards equity compensation, in line with our pay-for-performance philosophy. Our compensation committee determined it was appropriate to increase Ms. Carr’s base salary in an amount necessary to reflect her scope of responsibility and oversight of significant functions within the organization, as well as to maintain competitive positioning relative to the market data and the other NEOs. Based on our compensation committee’s professional experience and judgment, our compensation committee determined Ms. Carr’s target total direct compensation to be competitive and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39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color w:val="852166"/>
        </w:rPr>
        <w:t>Robert Iannone, Executive Vice President, Global Head of Research and Development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00" w:type="dxa"/>
            <w:vAlign w:val="bottom"/>
            <w:shd w:val="clear" w:color="auto" w:fill="852166"/>
          </w:tcPr>
          <w:p>
            <w:pPr>
              <w:spacing w:after="0"/>
              <w:rPr>
                <w:sz w:val="16"/>
                <w:szCs w:val="16"/>
                <w:color w:val="auto"/>
              </w:rPr>
            </w:pPr>
          </w:p>
        </w:tc>
        <w:tc>
          <w:tcPr>
            <w:tcW w:w="3620" w:type="dxa"/>
            <w:vAlign w:val="bottom"/>
            <w:shd w:val="clear" w:color="auto" w:fill="852166"/>
          </w:tcPr>
          <w:p>
            <w:pPr>
              <w:jc w:val="right"/>
              <w:ind w:right="308"/>
              <w:spacing w:after="0"/>
              <w:rPr>
                <w:sz w:val="20"/>
                <w:szCs w:val="20"/>
                <w:color w:val="auto"/>
              </w:rPr>
            </w:pPr>
            <w:r>
              <w:rPr>
                <w:rFonts w:ascii="Arial" w:cs="Arial" w:eastAsia="Arial" w:hAnsi="Arial"/>
                <w:sz w:val="14"/>
                <w:szCs w:val="14"/>
                <w:b w:val="1"/>
                <w:bCs w:val="1"/>
                <w:color w:val="FFFFFF"/>
              </w:rPr>
              <w:t>2022 Pay</w:t>
            </w:r>
          </w:p>
        </w:tc>
        <w:tc>
          <w:tcPr>
            <w:tcW w:w="1440" w:type="dxa"/>
            <w:vAlign w:val="bottom"/>
            <w:shd w:val="clear" w:color="auto" w:fill="852166"/>
          </w:tcPr>
          <w:p>
            <w:pPr>
              <w:jc w:val="right"/>
              <w:ind w:right="348"/>
              <w:spacing w:after="0"/>
              <w:rPr>
                <w:sz w:val="20"/>
                <w:szCs w:val="20"/>
                <w:color w:val="auto"/>
              </w:rPr>
            </w:pPr>
            <w:r>
              <w:rPr>
                <w:rFonts w:ascii="Arial" w:cs="Arial" w:eastAsia="Arial" w:hAnsi="Arial"/>
                <w:sz w:val="14"/>
                <w:szCs w:val="14"/>
                <w:b w:val="1"/>
                <w:bCs w:val="1"/>
                <w:color w:val="FFFFFF"/>
              </w:rPr>
              <w:t>2023 Pay</w:t>
            </w:r>
          </w:p>
        </w:tc>
        <w:tc>
          <w:tcPr>
            <w:tcW w:w="1080" w:type="dxa"/>
            <w:vAlign w:val="bottom"/>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Change</w:t>
            </w:r>
          </w:p>
        </w:tc>
      </w:tr>
      <w:tr>
        <w:trPr>
          <w:trHeight w:val="196"/>
        </w:trPr>
        <w:tc>
          <w:tcPr>
            <w:tcW w:w="5100" w:type="dxa"/>
            <w:vAlign w:val="bottom"/>
            <w:shd w:val="clear" w:color="auto" w:fill="852166"/>
          </w:tcPr>
          <w:p>
            <w:pPr>
              <w:spacing w:after="0"/>
              <w:rPr>
                <w:sz w:val="17"/>
                <w:szCs w:val="17"/>
                <w:color w:val="auto"/>
              </w:rPr>
            </w:pPr>
          </w:p>
        </w:tc>
        <w:tc>
          <w:tcPr>
            <w:tcW w:w="3620" w:type="dxa"/>
            <w:vAlign w:val="bottom"/>
            <w:shd w:val="clear" w:color="auto" w:fill="852166"/>
          </w:tcPr>
          <w:p>
            <w:pPr>
              <w:jc w:val="right"/>
              <w:ind w:right="308"/>
              <w:spacing w:after="0"/>
              <w:rPr>
                <w:sz w:val="20"/>
                <w:szCs w:val="20"/>
                <w:color w:val="auto"/>
              </w:rPr>
            </w:pPr>
            <w:r>
              <w:rPr>
                <w:rFonts w:ascii="Arial" w:cs="Arial" w:eastAsia="Arial" w:hAnsi="Arial"/>
                <w:sz w:val="14"/>
                <w:szCs w:val="14"/>
                <w:b w:val="1"/>
                <w:bCs w:val="1"/>
                <w:color w:val="FFFFFF"/>
              </w:rPr>
              <w:t>($)</w:t>
            </w:r>
          </w:p>
        </w:tc>
        <w:tc>
          <w:tcPr>
            <w:tcW w:w="1440" w:type="dxa"/>
            <w:vAlign w:val="bottom"/>
            <w:shd w:val="clear" w:color="auto" w:fill="852166"/>
          </w:tcPr>
          <w:p>
            <w:pPr>
              <w:jc w:val="right"/>
              <w:ind w:right="348"/>
              <w:spacing w:after="0"/>
              <w:rPr>
                <w:sz w:val="20"/>
                <w:szCs w:val="20"/>
                <w:color w:val="auto"/>
              </w:rPr>
            </w:pPr>
            <w:r>
              <w:rPr>
                <w:rFonts w:ascii="Arial" w:cs="Arial" w:eastAsia="Arial" w:hAnsi="Arial"/>
                <w:sz w:val="14"/>
                <w:szCs w:val="14"/>
                <w:b w:val="1"/>
                <w:bCs w:val="1"/>
                <w:color w:val="FFFFFF"/>
              </w:rPr>
              <w:t>($)</w:t>
            </w:r>
          </w:p>
        </w:tc>
        <w:tc>
          <w:tcPr>
            <w:tcW w:w="1080" w:type="dxa"/>
            <w:vAlign w:val="bottom"/>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70"/>
        </w:trPr>
        <w:tc>
          <w:tcPr>
            <w:tcW w:w="5100" w:type="dxa"/>
            <w:vAlign w:val="bottom"/>
            <w:shd w:val="clear" w:color="auto" w:fill="852166"/>
          </w:tcPr>
          <w:p>
            <w:pPr>
              <w:spacing w:after="0"/>
              <w:rPr>
                <w:sz w:val="6"/>
                <w:szCs w:val="6"/>
                <w:color w:val="auto"/>
              </w:rPr>
            </w:pPr>
          </w:p>
        </w:tc>
        <w:tc>
          <w:tcPr>
            <w:tcW w:w="3620" w:type="dxa"/>
            <w:vAlign w:val="bottom"/>
            <w:shd w:val="clear" w:color="auto" w:fill="852166"/>
          </w:tcPr>
          <w:p>
            <w:pPr>
              <w:spacing w:after="0"/>
              <w:rPr>
                <w:sz w:val="6"/>
                <w:szCs w:val="6"/>
                <w:color w:val="auto"/>
              </w:rPr>
            </w:pPr>
          </w:p>
        </w:tc>
        <w:tc>
          <w:tcPr>
            <w:tcW w:w="1440" w:type="dxa"/>
            <w:vAlign w:val="bottom"/>
            <w:shd w:val="clear" w:color="auto" w:fill="852166"/>
          </w:tcPr>
          <w:p>
            <w:pPr>
              <w:spacing w:after="0"/>
              <w:rPr>
                <w:sz w:val="6"/>
                <w:szCs w:val="6"/>
                <w:color w:val="auto"/>
              </w:rPr>
            </w:pPr>
          </w:p>
        </w:tc>
        <w:tc>
          <w:tcPr>
            <w:tcW w:w="1080" w:type="dxa"/>
            <w:vAlign w:val="bottom"/>
            <w:shd w:val="clear" w:color="auto" w:fill="852166"/>
          </w:tcPr>
          <w:p>
            <w:pPr>
              <w:spacing w:after="0"/>
              <w:rPr>
                <w:sz w:val="6"/>
                <w:szCs w:val="6"/>
                <w:color w:val="auto"/>
              </w:rPr>
            </w:pPr>
          </w:p>
        </w:tc>
      </w:tr>
      <w:tr>
        <w:trPr>
          <w:trHeight w:val="230"/>
        </w:trPr>
        <w:tc>
          <w:tcPr>
            <w:tcW w:w="5100" w:type="dxa"/>
            <w:vAlign w:val="bottom"/>
            <w:shd w:val="clear" w:color="auto" w:fill="EAEAEA"/>
          </w:tcPr>
          <w:p>
            <w:pPr>
              <w:ind w:left="100"/>
              <w:spacing w:after="0"/>
              <w:rPr>
                <w:sz w:val="20"/>
                <w:szCs w:val="20"/>
                <w:color w:val="auto"/>
              </w:rPr>
            </w:pPr>
            <w:r>
              <w:rPr>
                <w:rFonts w:ascii="Arial" w:cs="Arial" w:eastAsia="Arial" w:hAnsi="Arial"/>
                <w:sz w:val="14"/>
                <w:szCs w:val="14"/>
                <w:b w:val="1"/>
                <w:bCs w:val="1"/>
                <w:color w:val="auto"/>
              </w:rPr>
              <w:t>Target Total Cash Compensation</w:t>
            </w:r>
          </w:p>
        </w:tc>
        <w:tc>
          <w:tcPr>
            <w:tcW w:w="3620" w:type="dxa"/>
            <w:vAlign w:val="bottom"/>
            <w:shd w:val="clear" w:color="auto" w:fill="EAEAEA"/>
          </w:tcPr>
          <w:p>
            <w:pPr>
              <w:jc w:val="right"/>
              <w:ind w:right="308"/>
              <w:spacing w:after="0"/>
              <w:rPr>
                <w:sz w:val="20"/>
                <w:szCs w:val="20"/>
                <w:color w:val="auto"/>
              </w:rPr>
            </w:pPr>
            <w:r>
              <w:rPr>
                <w:rFonts w:ascii="Arial" w:cs="Arial" w:eastAsia="Arial" w:hAnsi="Arial"/>
                <w:sz w:val="14"/>
                <w:szCs w:val="14"/>
                <w:b w:val="1"/>
                <w:bCs w:val="1"/>
                <w:color w:val="auto"/>
              </w:rPr>
              <w:t>1,007,500</w:t>
            </w:r>
          </w:p>
        </w:tc>
        <w:tc>
          <w:tcPr>
            <w:tcW w:w="1440" w:type="dxa"/>
            <w:vAlign w:val="bottom"/>
            <w:shd w:val="clear" w:color="auto" w:fill="EAEAEA"/>
          </w:tcPr>
          <w:p>
            <w:pPr>
              <w:jc w:val="right"/>
              <w:ind w:right="348"/>
              <w:spacing w:after="0"/>
              <w:rPr>
                <w:sz w:val="20"/>
                <w:szCs w:val="20"/>
                <w:color w:val="auto"/>
              </w:rPr>
            </w:pPr>
            <w:r>
              <w:rPr>
                <w:rFonts w:ascii="Arial" w:cs="Arial" w:eastAsia="Arial" w:hAnsi="Arial"/>
                <w:sz w:val="14"/>
                <w:szCs w:val="14"/>
                <w:b w:val="1"/>
                <w:bCs w:val="1"/>
                <w:color w:val="auto"/>
              </w:rPr>
              <w:t>1,128,000</w:t>
            </w:r>
          </w:p>
        </w:tc>
        <w:tc>
          <w:tcPr>
            <w:tcW w:w="1080" w:type="dxa"/>
            <w:vAlign w:val="bottom"/>
            <w:shd w:val="clear" w:color="auto" w:fill="EAEAEA"/>
          </w:tcPr>
          <w:p>
            <w:pPr>
              <w:jc w:val="right"/>
              <w:ind w:right="48"/>
              <w:spacing w:after="0"/>
              <w:rPr>
                <w:sz w:val="20"/>
                <w:szCs w:val="20"/>
                <w:color w:val="auto"/>
              </w:rPr>
            </w:pPr>
            <w:r>
              <w:rPr>
                <w:rFonts w:ascii="Arial" w:cs="Arial" w:eastAsia="Arial" w:hAnsi="Arial"/>
                <w:sz w:val="14"/>
                <w:szCs w:val="14"/>
                <w:b w:val="1"/>
                <w:bCs w:val="1"/>
                <w:color w:val="auto"/>
              </w:rPr>
              <w:t>12.0%</w:t>
            </w:r>
          </w:p>
        </w:tc>
      </w:tr>
      <w:tr>
        <w:trPr>
          <w:trHeight w:val="277"/>
        </w:trPr>
        <w:tc>
          <w:tcPr>
            <w:tcW w:w="510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Base Salary</w:t>
            </w:r>
            <w:r>
              <w:rPr>
                <w:rFonts w:ascii="Arial" w:cs="Arial" w:eastAsia="Arial" w:hAnsi="Arial"/>
                <w:sz w:val="18"/>
                <w:szCs w:val="18"/>
                <w:color w:val="auto"/>
                <w:vertAlign w:val="superscript"/>
              </w:rPr>
              <w:t>(1)</w:t>
            </w:r>
          </w:p>
        </w:tc>
        <w:tc>
          <w:tcPr>
            <w:tcW w:w="36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650,000</w:t>
            </w:r>
          </w:p>
        </w:tc>
        <w:tc>
          <w:tcPr>
            <w:tcW w:w="14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705,000</w:t>
            </w:r>
          </w:p>
        </w:tc>
        <w:tc>
          <w:tcPr>
            <w:tcW w:w="1080" w:type="dxa"/>
            <w:vAlign w:val="bottom"/>
            <w:tcBorders>
              <w:bottom w:val="single" w:sz="8" w:color="auto"/>
            </w:tcBorders>
          </w:tcPr>
          <w:p>
            <w:pPr>
              <w:spacing w:after="0"/>
              <w:rPr>
                <w:sz w:val="24"/>
                <w:szCs w:val="24"/>
                <w:color w:val="auto"/>
              </w:rPr>
            </w:pPr>
          </w:p>
        </w:tc>
      </w:tr>
      <w:tr>
        <w:trPr>
          <w:trHeight w:val="274"/>
        </w:trPr>
        <w:tc>
          <w:tcPr>
            <w:tcW w:w="5100" w:type="dxa"/>
            <w:vAlign w:val="bottom"/>
          </w:tcPr>
          <w:p>
            <w:pPr>
              <w:ind w:left="440"/>
              <w:spacing w:after="0"/>
              <w:rPr>
                <w:sz w:val="20"/>
                <w:szCs w:val="20"/>
                <w:color w:val="auto"/>
              </w:rPr>
            </w:pPr>
            <w:r>
              <w:rPr>
                <w:rFonts w:ascii="Arial" w:cs="Arial" w:eastAsia="Arial" w:hAnsi="Arial"/>
                <w:sz w:val="14"/>
                <w:szCs w:val="14"/>
                <w:color w:val="auto"/>
              </w:rPr>
              <w:t>Target Performance Bonus</w:t>
            </w:r>
            <w:r>
              <w:rPr>
                <w:rFonts w:ascii="Arial" w:cs="Arial" w:eastAsia="Arial" w:hAnsi="Arial"/>
                <w:sz w:val="18"/>
                <w:szCs w:val="18"/>
                <w:color w:val="auto"/>
                <w:vertAlign w:val="superscript"/>
              </w:rPr>
              <w:t>(2)</w:t>
            </w:r>
          </w:p>
        </w:tc>
        <w:tc>
          <w:tcPr>
            <w:tcW w:w="3620" w:type="dxa"/>
            <w:vAlign w:val="bottom"/>
          </w:tcPr>
          <w:p>
            <w:pPr>
              <w:jc w:val="right"/>
              <w:ind w:right="308"/>
              <w:spacing w:after="0"/>
              <w:rPr>
                <w:sz w:val="20"/>
                <w:szCs w:val="20"/>
                <w:color w:val="auto"/>
              </w:rPr>
            </w:pPr>
            <w:r>
              <w:rPr>
                <w:rFonts w:ascii="Arial" w:cs="Arial" w:eastAsia="Arial" w:hAnsi="Arial"/>
                <w:sz w:val="14"/>
                <w:szCs w:val="14"/>
                <w:color w:val="auto"/>
              </w:rPr>
              <w:t>357,500</w:t>
            </w:r>
          </w:p>
        </w:tc>
        <w:tc>
          <w:tcPr>
            <w:tcW w:w="1440" w:type="dxa"/>
            <w:vAlign w:val="bottom"/>
          </w:tcPr>
          <w:p>
            <w:pPr>
              <w:jc w:val="right"/>
              <w:ind w:right="348"/>
              <w:spacing w:after="0"/>
              <w:rPr>
                <w:sz w:val="20"/>
                <w:szCs w:val="20"/>
                <w:color w:val="auto"/>
              </w:rPr>
            </w:pPr>
            <w:r>
              <w:rPr>
                <w:rFonts w:ascii="Arial" w:cs="Arial" w:eastAsia="Arial" w:hAnsi="Arial"/>
                <w:sz w:val="14"/>
                <w:szCs w:val="14"/>
                <w:color w:val="auto"/>
              </w:rPr>
              <w:t>423,000</w:t>
            </w:r>
          </w:p>
        </w:tc>
        <w:tc>
          <w:tcPr>
            <w:tcW w:w="1080" w:type="dxa"/>
            <w:vAlign w:val="bottom"/>
          </w:tcPr>
          <w:p>
            <w:pPr>
              <w:spacing w:after="0"/>
              <w:rPr>
                <w:sz w:val="23"/>
                <w:szCs w:val="23"/>
                <w:color w:val="auto"/>
              </w:rPr>
            </w:pPr>
          </w:p>
        </w:tc>
      </w:tr>
      <w:tr>
        <w:trPr>
          <w:trHeight w:val="239"/>
        </w:trPr>
        <w:tc>
          <w:tcPr>
            <w:tcW w:w="5100" w:type="dxa"/>
            <w:vAlign w:val="bottom"/>
            <w:tcBorders>
              <w:bottom w:val="single" w:sz="8" w:color="852166"/>
            </w:tcBorders>
            <w:shd w:val="clear" w:color="auto" w:fill="EAEAEA"/>
          </w:tcPr>
          <w:p>
            <w:pPr>
              <w:ind w:left="100"/>
              <w:spacing w:after="0"/>
              <w:rPr>
                <w:sz w:val="20"/>
                <w:szCs w:val="20"/>
                <w:color w:val="auto"/>
              </w:rPr>
            </w:pPr>
            <w:r>
              <w:rPr>
                <w:rFonts w:ascii="Arial" w:cs="Arial" w:eastAsia="Arial" w:hAnsi="Arial"/>
                <w:sz w:val="14"/>
                <w:szCs w:val="14"/>
                <w:b w:val="1"/>
                <w:bCs w:val="1"/>
                <w:color w:val="auto"/>
              </w:rPr>
              <w:t>Target Equity Compensation</w:t>
            </w:r>
            <w:r>
              <w:rPr>
                <w:rFonts w:ascii="Arial" w:cs="Arial" w:eastAsia="Arial" w:hAnsi="Arial"/>
                <w:sz w:val="18"/>
                <w:szCs w:val="18"/>
                <w:b w:val="1"/>
                <w:bCs w:val="1"/>
                <w:color w:val="auto"/>
                <w:vertAlign w:val="superscript"/>
              </w:rPr>
              <w:t>(3)</w:t>
            </w:r>
          </w:p>
        </w:tc>
        <w:tc>
          <w:tcPr>
            <w:tcW w:w="3620" w:type="dxa"/>
            <w:vAlign w:val="bottom"/>
            <w:tcBorders>
              <w:bottom w:val="single" w:sz="8" w:color="852166"/>
            </w:tcBorders>
            <w:shd w:val="clear" w:color="auto" w:fill="EAEAEA"/>
          </w:tcPr>
          <w:p>
            <w:pPr>
              <w:jc w:val="right"/>
              <w:ind w:right="308"/>
              <w:spacing w:after="0"/>
              <w:rPr>
                <w:sz w:val="20"/>
                <w:szCs w:val="20"/>
                <w:color w:val="auto"/>
              </w:rPr>
            </w:pPr>
            <w:r>
              <w:rPr>
                <w:rFonts w:ascii="Arial" w:cs="Arial" w:eastAsia="Arial" w:hAnsi="Arial"/>
                <w:sz w:val="14"/>
                <w:szCs w:val="14"/>
                <w:b w:val="1"/>
                <w:bCs w:val="1"/>
                <w:color w:val="auto"/>
              </w:rPr>
              <w:t>3,200,000</w:t>
            </w:r>
          </w:p>
        </w:tc>
        <w:tc>
          <w:tcPr>
            <w:tcW w:w="1440" w:type="dxa"/>
            <w:vAlign w:val="bottom"/>
            <w:tcBorders>
              <w:bottom w:val="single" w:sz="8" w:color="852166"/>
            </w:tcBorders>
            <w:shd w:val="clear" w:color="auto" w:fill="EAEAEA"/>
          </w:tcPr>
          <w:p>
            <w:pPr>
              <w:jc w:val="right"/>
              <w:ind w:right="348"/>
              <w:spacing w:after="0"/>
              <w:rPr>
                <w:sz w:val="20"/>
                <w:szCs w:val="20"/>
                <w:color w:val="auto"/>
              </w:rPr>
            </w:pPr>
            <w:r>
              <w:rPr>
                <w:rFonts w:ascii="Arial" w:cs="Arial" w:eastAsia="Arial" w:hAnsi="Arial"/>
                <w:sz w:val="14"/>
                <w:szCs w:val="14"/>
                <w:b w:val="1"/>
                <w:bCs w:val="1"/>
                <w:color w:val="auto"/>
              </w:rPr>
              <w:t>3,700,000</w:t>
            </w:r>
          </w:p>
        </w:tc>
        <w:tc>
          <w:tcPr>
            <w:tcW w:w="1080" w:type="dxa"/>
            <w:vAlign w:val="bottom"/>
            <w:tcBorders>
              <w:bottom w:val="single" w:sz="8" w:color="852166"/>
            </w:tcBorders>
            <w:shd w:val="clear" w:color="auto" w:fill="EAEAEA"/>
          </w:tcPr>
          <w:p>
            <w:pPr>
              <w:jc w:val="right"/>
              <w:ind w:right="48"/>
              <w:spacing w:after="0"/>
              <w:rPr>
                <w:sz w:val="20"/>
                <w:szCs w:val="20"/>
                <w:color w:val="auto"/>
              </w:rPr>
            </w:pPr>
            <w:r>
              <w:rPr>
                <w:rFonts w:ascii="Arial" w:cs="Arial" w:eastAsia="Arial" w:hAnsi="Arial"/>
                <w:sz w:val="14"/>
                <w:szCs w:val="14"/>
                <w:b w:val="1"/>
                <w:bCs w:val="1"/>
                <w:color w:val="auto"/>
              </w:rPr>
              <w:t>15.6%</w:t>
            </w:r>
          </w:p>
        </w:tc>
      </w:tr>
      <w:tr>
        <w:trPr>
          <w:trHeight w:val="223"/>
        </w:trPr>
        <w:tc>
          <w:tcPr>
            <w:tcW w:w="5100" w:type="dxa"/>
            <w:vAlign w:val="bottom"/>
            <w:tcBorders>
              <w:bottom w:val="single" w:sz="8" w:color="852166"/>
            </w:tcBorders>
            <w:shd w:val="clear" w:color="auto" w:fill="EAEAEA"/>
          </w:tcPr>
          <w:p>
            <w:pPr>
              <w:ind w:left="100"/>
              <w:spacing w:after="0"/>
              <w:rPr>
                <w:sz w:val="20"/>
                <w:szCs w:val="20"/>
                <w:color w:val="auto"/>
              </w:rPr>
            </w:pPr>
            <w:r>
              <w:rPr>
                <w:rFonts w:ascii="Arial" w:cs="Arial" w:eastAsia="Arial" w:hAnsi="Arial"/>
                <w:sz w:val="14"/>
                <w:szCs w:val="14"/>
                <w:b w:val="1"/>
                <w:bCs w:val="1"/>
                <w:color w:val="auto"/>
              </w:rPr>
              <w:t>Target Total Direct Compensation</w:t>
            </w:r>
            <w:r>
              <w:rPr>
                <w:rFonts w:ascii="Arial" w:cs="Arial" w:eastAsia="Arial" w:hAnsi="Arial"/>
                <w:sz w:val="18"/>
                <w:szCs w:val="18"/>
                <w:b w:val="1"/>
                <w:bCs w:val="1"/>
                <w:color w:val="auto"/>
                <w:vertAlign w:val="superscript"/>
              </w:rPr>
              <w:t>(4)</w:t>
            </w:r>
          </w:p>
        </w:tc>
        <w:tc>
          <w:tcPr>
            <w:tcW w:w="3620" w:type="dxa"/>
            <w:vAlign w:val="bottom"/>
            <w:tcBorders>
              <w:bottom w:val="single" w:sz="8" w:color="852166"/>
            </w:tcBorders>
            <w:shd w:val="clear" w:color="auto" w:fill="EAEAEA"/>
          </w:tcPr>
          <w:p>
            <w:pPr>
              <w:jc w:val="right"/>
              <w:ind w:right="308"/>
              <w:spacing w:after="0"/>
              <w:rPr>
                <w:sz w:val="20"/>
                <w:szCs w:val="20"/>
                <w:color w:val="auto"/>
              </w:rPr>
            </w:pPr>
            <w:r>
              <w:rPr>
                <w:rFonts w:ascii="Arial" w:cs="Arial" w:eastAsia="Arial" w:hAnsi="Arial"/>
                <w:sz w:val="14"/>
                <w:szCs w:val="14"/>
                <w:b w:val="1"/>
                <w:bCs w:val="1"/>
                <w:color w:val="auto"/>
              </w:rPr>
              <w:t>4,207,500</w:t>
            </w:r>
          </w:p>
        </w:tc>
        <w:tc>
          <w:tcPr>
            <w:tcW w:w="1440" w:type="dxa"/>
            <w:vAlign w:val="bottom"/>
            <w:tcBorders>
              <w:bottom w:val="single" w:sz="8" w:color="852166"/>
            </w:tcBorders>
            <w:shd w:val="clear" w:color="auto" w:fill="EAEAEA"/>
          </w:tcPr>
          <w:p>
            <w:pPr>
              <w:jc w:val="right"/>
              <w:ind w:right="348"/>
              <w:spacing w:after="0"/>
              <w:rPr>
                <w:sz w:val="20"/>
                <w:szCs w:val="20"/>
                <w:color w:val="auto"/>
              </w:rPr>
            </w:pPr>
            <w:r>
              <w:rPr>
                <w:rFonts w:ascii="Arial" w:cs="Arial" w:eastAsia="Arial" w:hAnsi="Arial"/>
                <w:sz w:val="14"/>
                <w:szCs w:val="14"/>
                <w:b w:val="1"/>
                <w:bCs w:val="1"/>
                <w:color w:val="auto"/>
              </w:rPr>
              <w:t>4,828,000</w:t>
            </w:r>
          </w:p>
        </w:tc>
        <w:tc>
          <w:tcPr>
            <w:tcW w:w="1080" w:type="dxa"/>
            <w:vAlign w:val="bottom"/>
            <w:tcBorders>
              <w:bottom w:val="single" w:sz="8" w:color="852166"/>
            </w:tcBorders>
            <w:shd w:val="clear" w:color="auto" w:fill="EAEAEA"/>
          </w:tcPr>
          <w:p>
            <w:pPr>
              <w:jc w:val="right"/>
              <w:ind w:right="48"/>
              <w:spacing w:after="0"/>
              <w:rPr>
                <w:sz w:val="20"/>
                <w:szCs w:val="20"/>
                <w:color w:val="auto"/>
              </w:rPr>
            </w:pPr>
            <w:r>
              <w:rPr>
                <w:rFonts w:ascii="Arial" w:cs="Arial" w:eastAsia="Arial" w:hAnsi="Arial"/>
                <w:sz w:val="14"/>
                <w:szCs w:val="14"/>
                <w:b w:val="1"/>
                <w:bCs w:val="1"/>
                <w:color w:val="auto"/>
              </w:rPr>
              <w:t>14.7%</w:t>
            </w:r>
          </w:p>
        </w:tc>
      </w:tr>
    </w:tbl>
    <w:p>
      <w:pPr>
        <w:spacing w:after="0" w:line="139" w:lineRule="exact"/>
        <w:rPr>
          <w:sz w:val="20"/>
          <w:szCs w:val="20"/>
          <w:color w:val="auto"/>
        </w:rPr>
      </w:pPr>
    </w:p>
    <w:p>
      <w:pPr>
        <w:ind w:left="320" w:hanging="312"/>
        <w:spacing w:after="0"/>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annual base salary rate for the applicable year. 2023 base salary became effective March 2023.</w:t>
      </w:r>
    </w:p>
    <w:p>
      <w:pPr>
        <w:spacing w:after="0" w:line="82" w:lineRule="exact"/>
        <w:rPr>
          <w:rFonts w:ascii="Arial" w:cs="Arial" w:eastAsia="Arial" w:hAnsi="Arial"/>
          <w:sz w:val="14"/>
          <w:szCs w:val="14"/>
          <w:color w:val="auto"/>
        </w:rPr>
      </w:pPr>
    </w:p>
    <w:p>
      <w:pPr>
        <w:ind w:left="340" w:right="160" w:hanging="332"/>
        <w:spacing w:after="0" w:line="293" w:lineRule="auto"/>
        <w:tabs>
          <w:tab w:leader="none" w:pos="327"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2023 amount reflects a target performance bonus of 60% of base salary rate as of December 31, 2023, an increase from 55% in 2022. The actual 2023 performance bonus paid was $450,000, reflecting 106% of target performance bonus, based on the 95% overall achievement of the 2023 corporate performance objectives and Dr. Iannone’s individual contributions and leadership of the research and development organization during 2023.</w:t>
      </w:r>
    </w:p>
    <w:p>
      <w:pPr>
        <w:spacing w:after="0" w:line="17" w:lineRule="exact"/>
        <w:rPr>
          <w:rFonts w:ascii="Arial" w:cs="Arial" w:eastAsia="Arial" w:hAnsi="Arial"/>
          <w:sz w:val="14"/>
          <w:szCs w:val="14"/>
          <w:color w:val="auto"/>
        </w:rPr>
      </w:pPr>
    </w:p>
    <w:p>
      <w:pPr>
        <w:ind w:left="340" w:right="260" w:hanging="332"/>
        <w:spacing w:after="0" w:line="303" w:lineRule="auto"/>
        <w:tabs>
          <w:tab w:leader="none" w:pos="327" w:val="left"/>
        </w:tabs>
        <w:numPr>
          <w:ilvl w:val="0"/>
          <w:numId w:val="67"/>
        </w:numPr>
        <w:rPr>
          <w:rFonts w:ascii="Arial" w:cs="Arial" w:eastAsia="Arial" w:hAnsi="Arial"/>
          <w:sz w:val="14"/>
          <w:szCs w:val="14"/>
          <w:color w:val="auto"/>
        </w:rPr>
      </w:pPr>
      <w:r>
        <w:rPr>
          <w:rFonts w:ascii="Arial" w:cs="Arial" w:eastAsia="Arial" w:hAnsi="Arial"/>
          <w:sz w:val="14"/>
          <w:szCs w:val="14"/>
          <w:color w:val="auto"/>
        </w:rPr>
        <w:t xml:space="preserve">The target equity compensation presented in the chart above reflects the target dollar value approved by our compensation committee; this value differs from the values required to be shown in the Summary Compensation Table and Grants of Plan-Based Awards Table for 2022 and 2023, as applicable as further described above in </w:t>
      </w:r>
      <w:r>
        <w:rPr>
          <w:rFonts w:ascii="Arial" w:cs="Arial" w:eastAsia="Arial" w:hAnsi="Arial"/>
          <w:sz w:val="14"/>
          <w:szCs w:val="14"/>
          <w:i w:val="1"/>
          <w:iCs w:val="1"/>
          <w:color w:val="auto"/>
        </w:rPr>
        <w:t>“Summary of 2023 Compensation Decisions—Long-Term Incentive Program.</w:t>
      </w:r>
      <w:r>
        <w:rPr>
          <w:rFonts w:ascii="Arial" w:cs="Arial" w:eastAsia="Arial" w:hAnsi="Arial"/>
          <w:sz w:val="14"/>
          <w:szCs w:val="14"/>
          <w:color w:val="auto"/>
        </w:rPr>
        <w:t>”</w:t>
      </w:r>
    </w:p>
    <w:p>
      <w:pPr>
        <w:spacing w:after="0" w:line="11" w:lineRule="exact"/>
        <w:rPr>
          <w:rFonts w:ascii="Arial" w:cs="Arial" w:eastAsia="Arial" w:hAnsi="Arial"/>
          <w:sz w:val="14"/>
          <w:szCs w:val="14"/>
          <w:color w:val="auto"/>
        </w:rPr>
      </w:pPr>
    </w:p>
    <w:p>
      <w:pPr>
        <w:ind w:left="340" w:right="60" w:hanging="332"/>
        <w:spacing w:after="0" w:line="286" w:lineRule="auto"/>
        <w:tabs>
          <w:tab w:leader="none" w:pos="327" w:val="left"/>
        </w:tabs>
        <w:numPr>
          <w:ilvl w:val="0"/>
          <w:numId w:val="67"/>
        </w:numPr>
        <w:rPr>
          <w:rFonts w:ascii="Arial" w:cs="Arial" w:eastAsia="Arial" w:hAnsi="Arial"/>
          <w:sz w:val="14"/>
          <w:szCs w:val="14"/>
          <w:color w:val="auto"/>
        </w:rPr>
      </w:pPr>
      <w:r>
        <w:rPr>
          <w:rFonts w:ascii="Arial" w:cs="Arial" w:eastAsia="Arial" w:hAnsi="Arial"/>
          <w:sz w:val="14"/>
          <w:szCs w:val="14"/>
          <w:color w:val="auto"/>
        </w:rPr>
        <w:t>Our compensation committee designed Dr. Iannone’s target total direct compensation to be competitive as compared to market data, as described in more detail above in “</w:t>
      </w:r>
      <w:r>
        <w:rPr>
          <w:rFonts w:ascii="Arial" w:cs="Arial" w:eastAsia="Arial" w:hAnsi="Arial"/>
          <w:sz w:val="14"/>
          <w:szCs w:val="14"/>
          <w:i w:val="1"/>
          <w:iCs w:val="1"/>
          <w:color w:val="auto"/>
        </w:rPr>
        <w:t>How We Determine Executive Compensation—Competitive Assessment of Compensation – Peer Companies and Market Data,”</w:t>
      </w:r>
      <w:r>
        <w:rPr>
          <w:rFonts w:ascii="Arial" w:cs="Arial" w:eastAsia="Arial" w:hAnsi="Arial"/>
          <w:sz w:val="14"/>
          <w:szCs w:val="14"/>
          <w:color w:val="auto"/>
        </w:rPr>
        <w:t xml:space="preserve"> appropriate from an internal equity perspective and more heavily weighted towards equity compensation, in line with our pay-for-performance philosophy. Our compensation committee determined it was appropriate to increase Dr. Iannone’s base salary in an amount necessary to reflect his scope of responsibility and oversight of significant functions within the organization, as well as to maintain competitive positioning relative to the market data and the other NEOs. Based on our compensation committee’s professional experience and judgment, our compensation committee determined Dr. Iannone’s target total direct compensation to be competitive and appropriate.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60</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color w:val="852166"/>
        </w:rPr>
        <w:t>Neena M. Patil, Executive Vice President and Chief Legal Officer</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00" w:type="dxa"/>
            <w:vAlign w:val="bottom"/>
            <w:shd w:val="clear" w:color="auto" w:fill="852166"/>
          </w:tcPr>
          <w:p>
            <w:pPr>
              <w:spacing w:after="0"/>
              <w:rPr>
                <w:sz w:val="16"/>
                <w:szCs w:val="16"/>
                <w:color w:val="auto"/>
              </w:rPr>
            </w:pPr>
          </w:p>
        </w:tc>
        <w:tc>
          <w:tcPr>
            <w:tcW w:w="3620" w:type="dxa"/>
            <w:vAlign w:val="bottom"/>
            <w:shd w:val="clear" w:color="auto" w:fill="852166"/>
          </w:tcPr>
          <w:p>
            <w:pPr>
              <w:jc w:val="right"/>
              <w:ind w:right="308"/>
              <w:spacing w:after="0"/>
              <w:rPr>
                <w:sz w:val="20"/>
                <w:szCs w:val="20"/>
                <w:color w:val="auto"/>
              </w:rPr>
            </w:pPr>
            <w:r>
              <w:rPr>
                <w:rFonts w:ascii="Arial" w:cs="Arial" w:eastAsia="Arial" w:hAnsi="Arial"/>
                <w:sz w:val="14"/>
                <w:szCs w:val="14"/>
                <w:b w:val="1"/>
                <w:bCs w:val="1"/>
                <w:color w:val="FFFFFF"/>
              </w:rPr>
              <w:t>2022 Pay</w:t>
            </w:r>
          </w:p>
        </w:tc>
        <w:tc>
          <w:tcPr>
            <w:tcW w:w="1440" w:type="dxa"/>
            <w:vAlign w:val="bottom"/>
            <w:shd w:val="clear" w:color="auto" w:fill="852166"/>
          </w:tcPr>
          <w:p>
            <w:pPr>
              <w:jc w:val="right"/>
              <w:ind w:right="348"/>
              <w:spacing w:after="0"/>
              <w:rPr>
                <w:sz w:val="20"/>
                <w:szCs w:val="20"/>
                <w:color w:val="auto"/>
              </w:rPr>
            </w:pPr>
            <w:r>
              <w:rPr>
                <w:rFonts w:ascii="Arial" w:cs="Arial" w:eastAsia="Arial" w:hAnsi="Arial"/>
                <w:sz w:val="14"/>
                <w:szCs w:val="14"/>
                <w:b w:val="1"/>
                <w:bCs w:val="1"/>
                <w:color w:val="FFFFFF"/>
              </w:rPr>
              <w:t>2023 Pay</w:t>
            </w:r>
          </w:p>
        </w:tc>
        <w:tc>
          <w:tcPr>
            <w:tcW w:w="1080" w:type="dxa"/>
            <w:vAlign w:val="bottom"/>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Change</w:t>
            </w:r>
          </w:p>
        </w:tc>
      </w:tr>
      <w:tr>
        <w:trPr>
          <w:trHeight w:val="196"/>
        </w:trPr>
        <w:tc>
          <w:tcPr>
            <w:tcW w:w="5100" w:type="dxa"/>
            <w:vAlign w:val="bottom"/>
            <w:shd w:val="clear" w:color="auto" w:fill="852166"/>
          </w:tcPr>
          <w:p>
            <w:pPr>
              <w:spacing w:after="0"/>
              <w:rPr>
                <w:sz w:val="17"/>
                <w:szCs w:val="17"/>
                <w:color w:val="auto"/>
              </w:rPr>
            </w:pPr>
          </w:p>
        </w:tc>
        <w:tc>
          <w:tcPr>
            <w:tcW w:w="3620" w:type="dxa"/>
            <w:vAlign w:val="bottom"/>
            <w:shd w:val="clear" w:color="auto" w:fill="852166"/>
          </w:tcPr>
          <w:p>
            <w:pPr>
              <w:jc w:val="right"/>
              <w:ind w:right="308"/>
              <w:spacing w:after="0"/>
              <w:rPr>
                <w:sz w:val="20"/>
                <w:szCs w:val="20"/>
                <w:color w:val="auto"/>
              </w:rPr>
            </w:pPr>
            <w:r>
              <w:rPr>
                <w:rFonts w:ascii="Arial" w:cs="Arial" w:eastAsia="Arial" w:hAnsi="Arial"/>
                <w:sz w:val="14"/>
                <w:szCs w:val="14"/>
                <w:b w:val="1"/>
                <w:bCs w:val="1"/>
                <w:color w:val="FFFFFF"/>
              </w:rPr>
              <w:t>($)</w:t>
            </w:r>
          </w:p>
        </w:tc>
        <w:tc>
          <w:tcPr>
            <w:tcW w:w="1440" w:type="dxa"/>
            <w:vAlign w:val="bottom"/>
            <w:shd w:val="clear" w:color="auto" w:fill="852166"/>
          </w:tcPr>
          <w:p>
            <w:pPr>
              <w:jc w:val="right"/>
              <w:ind w:right="348"/>
              <w:spacing w:after="0"/>
              <w:rPr>
                <w:sz w:val="20"/>
                <w:szCs w:val="20"/>
                <w:color w:val="auto"/>
              </w:rPr>
            </w:pPr>
            <w:r>
              <w:rPr>
                <w:rFonts w:ascii="Arial" w:cs="Arial" w:eastAsia="Arial" w:hAnsi="Arial"/>
                <w:sz w:val="14"/>
                <w:szCs w:val="14"/>
                <w:b w:val="1"/>
                <w:bCs w:val="1"/>
                <w:color w:val="FFFFFF"/>
              </w:rPr>
              <w:t>($)</w:t>
            </w:r>
          </w:p>
        </w:tc>
        <w:tc>
          <w:tcPr>
            <w:tcW w:w="1080" w:type="dxa"/>
            <w:vAlign w:val="bottom"/>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70"/>
        </w:trPr>
        <w:tc>
          <w:tcPr>
            <w:tcW w:w="5100" w:type="dxa"/>
            <w:vAlign w:val="bottom"/>
            <w:shd w:val="clear" w:color="auto" w:fill="852166"/>
          </w:tcPr>
          <w:p>
            <w:pPr>
              <w:spacing w:after="0"/>
              <w:rPr>
                <w:sz w:val="6"/>
                <w:szCs w:val="6"/>
                <w:color w:val="auto"/>
              </w:rPr>
            </w:pPr>
          </w:p>
        </w:tc>
        <w:tc>
          <w:tcPr>
            <w:tcW w:w="3620" w:type="dxa"/>
            <w:vAlign w:val="bottom"/>
            <w:shd w:val="clear" w:color="auto" w:fill="852166"/>
          </w:tcPr>
          <w:p>
            <w:pPr>
              <w:spacing w:after="0"/>
              <w:rPr>
                <w:sz w:val="6"/>
                <w:szCs w:val="6"/>
                <w:color w:val="auto"/>
              </w:rPr>
            </w:pPr>
          </w:p>
        </w:tc>
        <w:tc>
          <w:tcPr>
            <w:tcW w:w="1440" w:type="dxa"/>
            <w:vAlign w:val="bottom"/>
            <w:shd w:val="clear" w:color="auto" w:fill="852166"/>
          </w:tcPr>
          <w:p>
            <w:pPr>
              <w:spacing w:after="0"/>
              <w:rPr>
                <w:sz w:val="6"/>
                <w:szCs w:val="6"/>
                <w:color w:val="auto"/>
              </w:rPr>
            </w:pPr>
          </w:p>
        </w:tc>
        <w:tc>
          <w:tcPr>
            <w:tcW w:w="1080" w:type="dxa"/>
            <w:vAlign w:val="bottom"/>
            <w:shd w:val="clear" w:color="auto" w:fill="852166"/>
          </w:tcPr>
          <w:p>
            <w:pPr>
              <w:spacing w:after="0"/>
              <w:rPr>
                <w:sz w:val="6"/>
                <w:szCs w:val="6"/>
                <w:color w:val="auto"/>
              </w:rPr>
            </w:pPr>
          </w:p>
        </w:tc>
      </w:tr>
      <w:tr>
        <w:trPr>
          <w:trHeight w:val="230"/>
        </w:trPr>
        <w:tc>
          <w:tcPr>
            <w:tcW w:w="5100" w:type="dxa"/>
            <w:vAlign w:val="bottom"/>
            <w:shd w:val="clear" w:color="auto" w:fill="EAEAEA"/>
          </w:tcPr>
          <w:p>
            <w:pPr>
              <w:ind w:left="100"/>
              <w:spacing w:after="0"/>
              <w:rPr>
                <w:sz w:val="20"/>
                <w:szCs w:val="20"/>
                <w:color w:val="auto"/>
              </w:rPr>
            </w:pPr>
            <w:r>
              <w:rPr>
                <w:rFonts w:ascii="Arial" w:cs="Arial" w:eastAsia="Arial" w:hAnsi="Arial"/>
                <w:sz w:val="14"/>
                <w:szCs w:val="14"/>
                <w:b w:val="1"/>
                <w:bCs w:val="1"/>
                <w:color w:val="auto"/>
              </w:rPr>
              <w:t>Target Total Cash Compensation</w:t>
            </w:r>
          </w:p>
        </w:tc>
        <w:tc>
          <w:tcPr>
            <w:tcW w:w="3620" w:type="dxa"/>
            <w:vAlign w:val="bottom"/>
            <w:shd w:val="clear" w:color="auto" w:fill="EAEAEA"/>
          </w:tcPr>
          <w:p>
            <w:pPr>
              <w:jc w:val="right"/>
              <w:ind w:right="308"/>
              <w:spacing w:after="0"/>
              <w:rPr>
                <w:sz w:val="20"/>
                <w:szCs w:val="20"/>
                <w:color w:val="auto"/>
              </w:rPr>
            </w:pPr>
            <w:r>
              <w:rPr>
                <w:rFonts w:ascii="Arial" w:cs="Arial" w:eastAsia="Arial" w:hAnsi="Arial"/>
                <w:sz w:val="14"/>
                <w:szCs w:val="14"/>
                <w:b w:val="1"/>
                <w:bCs w:val="1"/>
                <w:color w:val="auto"/>
              </w:rPr>
              <w:t>900,000</w:t>
            </w:r>
          </w:p>
        </w:tc>
        <w:tc>
          <w:tcPr>
            <w:tcW w:w="1440" w:type="dxa"/>
            <w:vAlign w:val="bottom"/>
            <w:shd w:val="clear" w:color="auto" w:fill="EAEAEA"/>
          </w:tcPr>
          <w:p>
            <w:pPr>
              <w:jc w:val="right"/>
              <w:ind w:right="348"/>
              <w:spacing w:after="0"/>
              <w:rPr>
                <w:sz w:val="20"/>
                <w:szCs w:val="20"/>
                <w:color w:val="auto"/>
              </w:rPr>
            </w:pPr>
            <w:r>
              <w:rPr>
                <w:rFonts w:ascii="Arial" w:cs="Arial" w:eastAsia="Arial" w:hAnsi="Arial"/>
                <w:sz w:val="14"/>
                <w:szCs w:val="14"/>
                <w:b w:val="1"/>
                <w:bCs w:val="1"/>
                <w:color w:val="auto"/>
              </w:rPr>
              <w:t>999,750</w:t>
            </w:r>
          </w:p>
        </w:tc>
        <w:tc>
          <w:tcPr>
            <w:tcW w:w="1080" w:type="dxa"/>
            <w:vAlign w:val="bottom"/>
            <w:shd w:val="clear" w:color="auto" w:fill="EAEAEA"/>
          </w:tcPr>
          <w:p>
            <w:pPr>
              <w:jc w:val="right"/>
              <w:ind w:right="48"/>
              <w:spacing w:after="0"/>
              <w:rPr>
                <w:sz w:val="20"/>
                <w:szCs w:val="20"/>
                <w:color w:val="auto"/>
              </w:rPr>
            </w:pPr>
            <w:r>
              <w:rPr>
                <w:rFonts w:ascii="Arial" w:cs="Arial" w:eastAsia="Arial" w:hAnsi="Arial"/>
                <w:sz w:val="14"/>
                <w:szCs w:val="14"/>
                <w:b w:val="1"/>
                <w:bCs w:val="1"/>
                <w:color w:val="auto"/>
              </w:rPr>
              <w:t>11.1%</w:t>
            </w:r>
          </w:p>
        </w:tc>
      </w:tr>
      <w:tr>
        <w:trPr>
          <w:trHeight w:val="277"/>
        </w:trPr>
        <w:tc>
          <w:tcPr>
            <w:tcW w:w="510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Base Salary</w:t>
            </w:r>
            <w:r>
              <w:rPr>
                <w:rFonts w:ascii="Arial" w:cs="Arial" w:eastAsia="Arial" w:hAnsi="Arial"/>
                <w:sz w:val="18"/>
                <w:szCs w:val="18"/>
                <w:color w:val="auto"/>
                <w:vertAlign w:val="superscript"/>
              </w:rPr>
              <w:t>(1)</w:t>
            </w:r>
          </w:p>
        </w:tc>
        <w:tc>
          <w:tcPr>
            <w:tcW w:w="36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600,000</w:t>
            </w:r>
          </w:p>
        </w:tc>
        <w:tc>
          <w:tcPr>
            <w:tcW w:w="14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645,000</w:t>
            </w:r>
          </w:p>
        </w:tc>
        <w:tc>
          <w:tcPr>
            <w:tcW w:w="1080" w:type="dxa"/>
            <w:vAlign w:val="bottom"/>
            <w:tcBorders>
              <w:bottom w:val="single" w:sz="8" w:color="auto"/>
            </w:tcBorders>
          </w:tcPr>
          <w:p>
            <w:pPr>
              <w:spacing w:after="0"/>
              <w:rPr>
                <w:sz w:val="24"/>
                <w:szCs w:val="24"/>
                <w:color w:val="auto"/>
              </w:rPr>
            </w:pPr>
          </w:p>
        </w:tc>
      </w:tr>
      <w:tr>
        <w:trPr>
          <w:trHeight w:val="274"/>
        </w:trPr>
        <w:tc>
          <w:tcPr>
            <w:tcW w:w="5100" w:type="dxa"/>
            <w:vAlign w:val="bottom"/>
          </w:tcPr>
          <w:p>
            <w:pPr>
              <w:ind w:left="440"/>
              <w:spacing w:after="0"/>
              <w:rPr>
                <w:sz w:val="20"/>
                <w:szCs w:val="20"/>
                <w:color w:val="auto"/>
              </w:rPr>
            </w:pPr>
            <w:r>
              <w:rPr>
                <w:rFonts w:ascii="Arial" w:cs="Arial" w:eastAsia="Arial" w:hAnsi="Arial"/>
                <w:sz w:val="14"/>
                <w:szCs w:val="14"/>
                <w:color w:val="auto"/>
              </w:rPr>
              <w:t>Target Performance Bonus</w:t>
            </w:r>
            <w:r>
              <w:rPr>
                <w:rFonts w:ascii="Arial" w:cs="Arial" w:eastAsia="Arial" w:hAnsi="Arial"/>
                <w:sz w:val="18"/>
                <w:szCs w:val="18"/>
                <w:color w:val="auto"/>
                <w:vertAlign w:val="superscript"/>
              </w:rPr>
              <w:t>(2)</w:t>
            </w:r>
          </w:p>
        </w:tc>
        <w:tc>
          <w:tcPr>
            <w:tcW w:w="3620" w:type="dxa"/>
            <w:vAlign w:val="bottom"/>
          </w:tcPr>
          <w:p>
            <w:pPr>
              <w:jc w:val="right"/>
              <w:ind w:right="308"/>
              <w:spacing w:after="0"/>
              <w:rPr>
                <w:sz w:val="20"/>
                <w:szCs w:val="20"/>
                <w:color w:val="auto"/>
              </w:rPr>
            </w:pPr>
            <w:r>
              <w:rPr>
                <w:rFonts w:ascii="Arial" w:cs="Arial" w:eastAsia="Arial" w:hAnsi="Arial"/>
                <w:sz w:val="14"/>
                <w:szCs w:val="14"/>
                <w:color w:val="auto"/>
              </w:rPr>
              <w:t>300,000</w:t>
            </w:r>
          </w:p>
        </w:tc>
        <w:tc>
          <w:tcPr>
            <w:tcW w:w="1440" w:type="dxa"/>
            <w:vAlign w:val="bottom"/>
          </w:tcPr>
          <w:p>
            <w:pPr>
              <w:jc w:val="right"/>
              <w:ind w:right="348"/>
              <w:spacing w:after="0"/>
              <w:rPr>
                <w:sz w:val="20"/>
                <w:szCs w:val="20"/>
                <w:color w:val="auto"/>
              </w:rPr>
            </w:pPr>
            <w:r>
              <w:rPr>
                <w:rFonts w:ascii="Arial" w:cs="Arial" w:eastAsia="Arial" w:hAnsi="Arial"/>
                <w:sz w:val="14"/>
                <w:szCs w:val="14"/>
                <w:color w:val="auto"/>
              </w:rPr>
              <w:t>354,750</w:t>
            </w:r>
          </w:p>
        </w:tc>
        <w:tc>
          <w:tcPr>
            <w:tcW w:w="1080" w:type="dxa"/>
            <w:vAlign w:val="bottom"/>
          </w:tcPr>
          <w:p>
            <w:pPr>
              <w:spacing w:after="0"/>
              <w:rPr>
                <w:sz w:val="23"/>
                <w:szCs w:val="23"/>
                <w:color w:val="auto"/>
              </w:rPr>
            </w:pPr>
          </w:p>
        </w:tc>
      </w:tr>
      <w:tr>
        <w:trPr>
          <w:trHeight w:val="239"/>
        </w:trPr>
        <w:tc>
          <w:tcPr>
            <w:tcW w:w="5100" w:type="dxa"/>
            <w:vAlign w:val="bottom"/>
            <w:tcBorders>
              <w:bottom w:val="single" w:sz="8" w:color="852166"/>
            </w:tcBorders>
            <w:shd w:val="clear" w:color="auto" w:fill="EAEAEA"/>
          </w:tcPr>
          <w:p>
            <w:pPr>
              <w:ind w:left="100"/>
              <w:spacing w:after="0"/>
              <w:rPr>
                <w:sz w:val="20"/>
                <w:szCs w:val="20"/>
                <w:color w:val="auto"/>
              </w:rPr>
            </w:pPr>
            <w:r>
              <w:rPr>
                <w:rFonts w:ascii="Arial" w:cs="Arial" w:eastAsia="Arial" w:hAnsi="Arial"/>
                <w:sz w:val="14"/>
                <w:szCs w:val="14"/>
                <w:b w:val="1"/>
                <w:bCs w:val="1"/>
                <w:color w:val="auto"/>
              </w:rPr>
              <w:t>Target Equity Compensation</w:t>
            </w:r>
            <w:r>
              <w:rPr>
                <w:rFonts w:ascii="Arial" w:cs="Arial" w:eastAsia="Arial" w:hAnsi="Arial"/>
                <w:sz w:val="18"/>
                <w:szCs w:val="18"/>
                <w:b w:val="1"/>
                <w:bCs w:val="1"/>
                <w:color w:val="auto"/>
                <w:vertAlign w:val="superscript"/>
              </w:rPr>
              <w:t>(3)</w:t>
            </w:r>
          </w:p>
        </w:tc>
        <w:tc>
          <w:tcPr>
            <w:tcW w:w="3620" w:type="dxa"/>
            <w:vAlign w:val="bottom"/>
            <w:tcBorders>
              <w:bottom w:val="single" w:sz="8" w:color="852166"/>
            </w:tcBorders>
            <w:shd w:val="clear" w:color="auto" w:fill="EAEAEA"/>
          </w:tcPr>
          <w:p>
            <w:pPr>
              <w:jc w:val="right"/>
              <w:ind w:right="308"/>
              <w:spacing w:after="0"/>
              <w:rPr>
                <w:sz w:val="20"/>
                <w:szCs w:val="20"/>
                <w:color w:val="auto"/>
              </w:rPr>
            </w:pPr>
            <w:r>
              <w:rPr>
                <w:rFonts w:ascii="Arial" w:cs="Arial" w:eastAsia="Arial" w:hAnsi="Arial"/>
                <w:sz w:val="14"/>
                <w:szCs w:val="14"/>
                <w:b w:val="1"/>
                <w:bCs w:val="1"/>
                <w:color w:val="auto"/>
              </w:rPr>
              <w:t>2,500,000</w:t>
            </w:r>
          </w:p>
        </w:tc>
        <w:tc>
          <w:tcPr>
            <w:tcW w:w="1440" w:type="dxa"/>
            <w:vAlign w:val="bottom"/>
            <w:tcBorders>
              <w:bottom w:val="single" w:sz="8" w:color="852166"/>
            </w:tcBorders>
            <w:shd w:val="clear" w:color="auto" w:fill="EAEAEA"/>
          </w:tcPr>
          <w:p>
            <w:pPr>
              <w:jc w:val="right"/>
              <w:ind w:right="348"/>
              <w:spacing w:after="0"/>
              <w:rPr>
                <w:sz w:val="20"/>
                <w:szCs w:val="20"/>
                <w:color w:val="auto"/>
              </w:rPr>
            </w:pPr>
            <w:r>
              <w:rPr>
                <w:rFonts w:ascii="Arial" w:cs="Arial" w:eastAsia="Arial" w:hAnsi="Arial"/>
                <w:sz w:val="14"/>
                <w:szCs w:val="14"/>
                <w:b w:val="1"/>
                <w:bCs w:val="1"/>
                <w:color w:val="auto"/>
              </w:rPr>
              <w:t>2,800,000</w:t>
            </w:r>
          </w:p>
        </w:tc>
        <w:tc>
          <w:tcPr>
            <w:tcW w:w="1080" w:type="dxa"/>
            <w:vAlign w:val="bottom"/>
            <w:tcBorders>
              <w:bottom w:val="single" w:sz="8" w:color="852166"/>
            </w:tcBorders>
            <w:shd w:val="clear" w:color="auto" w:fill="EAEAEA"/>
          </w:tcPr>
          <w:p>
            <w:pPr>
              <w:jc w:val="right"/>
              <w:ind w:right="48"/>
              <w:spacing w:after="0"/>
              <w:rPr>
                <w:sz w:val="20"/>
                <w:szCs w:val="20"/>
                <w:color w:val="auto"/>
              </w:rPr>
            </w:pPr>
            <w:r>
              <w:rPr>
                <w:rFonts w:ascii="Arial" w:cs="Arial" w:eastAsia="Arial" w:hAnsi="Arial"/>
                <w:sz w:val="14"/>
                <w:szCs w:val="14"/>
                <w:b w:val="1"/>
                <w:bCs w:val="1"/>
                <w:color w:val="auto"/>
              </w:rPr>
              <w:t>12.0%</w:t>
            </w:r>
          </w:p>
        </w:tc>
      </w:tr>
      <w:tr>
        <w:trPr>
          <w:trHeight w:val="223"/>
        </w:trPr>
        <w:tc>
          <w:tcPr>
            <w:tcW w:w="5100" w:type="dxa"/>
            <w:vAlign w:val="bottom"/>
            <w:tcBorders>
              <w:bottom w:val="single" w:sz="8" w:color="852166"/>
            </w:tcBorders>
            <w:shd w:val="clear" w:color="auto" w:fill="EAEAEA"/>
          </w:tcPr>
          <w:p>
            <w:pPr>
              <w:ind w:left="100"/>
              <w:spacing w:after="0"/>
              <w:rPr>
                <w:sz w:val="20"/>
                <w:szCs w:val="20"/>
                <w:color w:val="auto"/>
              </w:rPr>
            </w:pPr>
            <w:r>
              <w:rPr>
                <w:rFonts w:ascii="Arial" w:cs="Arial" w:eastAsia="Arial" w:hAnsi="Arial"/>
                <w:sz w:val="14"/>
                <w:szCs w:val="14"/>
                <w:b w:val="1"/>
                <w:bCs w:val="1"/>
                <w:color w:val="auto"/>
              </w:rPr>
              <w:t>Target Total Direct Compensation</w:t>
            </w:r>
            <w:r>
              <w:rPr>
                <w:rFonts w:ascii="Arial" w:cs="Arial" w:eastAsia="Arial" w:hAnsi="Arial"/>
                <w:sz w:val="18"/>
                <w:szCs w:val="18"/>
                <w:b w:val="1"/>
                <w:bCs w:val="1"/>
                <w:color w:val="auto"/>
                <w:vertAlign w:val="superscript"/>
              </w:rPr>
              <w:t>(4)</w:t>
            </w:r>
          </w:p>
        </w:tc>
        <w:tc>
          <w:tcPr>
            <w:tcW w:w="3620" w:type="dxa"/>
            <w:vAlign w:val="bottom"/>
            <w:tcBorders>
              <w:bottom w:val="single" w:sz="8" w:color="852166"/>
            </w:tcBorders>
            <w:shd w:val="clear" w:color="auto" w:fill="EAEAEA"/>
          </w:tcPr>
          <w:p>
            <w:pPr>
              <w:jc w:val="right"/>
              <w:ind w:right="308"/>
              <w:spacing w:after="0"/>
              <w:rPr>
                <w:sz w:val="20"/>
                <w:szCs w:val="20"/>
                <w:color w:val="auto"/>
              </w:rPr>
            </w:pPr>
            <w:r>
              <w:rPr>
                <w:rFonts w:ascii="Arial" w:cs="Arial" w:eastAsia="Arial" w:hAnsi="Arial"/>
                <w:sz w:val="14"/>
                <w:szCs w:val="14"/>
                <w:b w:val="1"/>
                <w:bCs w:val="1"/>
                <w:color w:val="auto"/>
              </w:rPr>
              <w:t>3,400,000</w:t>
            </w:r>
          </w:p>
        </w:tc>
        <w:tc>
          <w:tcPr>
            <w:tcW w:w="1440" w:type="dxa"/>
            <w:vAlign w:val="bottom"/>
            <w:tcBorders>
              <w:bottom w:val="single" w:sz="8" w:color="852166"/>
            </w:tcBorders>
            <w:shd w:val="clear" w:color="auto" w:fill="EAEAEA"/>
          </w:tcPr>
          <w:p>
            <w:pPr>
              <w:jc w:val="right"/>
              <w:ind w:right="348"/>
              <w:spacing w:after="0"/>
              <w:rPr>
                <w:sz w:val="20"/>
                <w:szCs w:val="20"/>
                <w:color w:val="auto"/>
              </w:rPr>
            </w:pPr>
            <w:r>
              <w:rPr>
                <w:rFonts w:ascii="Arial" w:cs="Arial" w:eastAsia="Arial" w:hAnsi="Arial"/>
                <w:sz w:val="14"/>
                <w:szCs w:val="14"/>
                <w:b w:val="1"/>
                <w:bCs w:val="1"/>
                <w:color w:val="auto"/>
              </w:rPr>
              <w:t>3,799,750</w:t>
            </w:r>
          </w:p>
        </w:tc>
        <w:tc>
          <w:tcPr>
            <w:tcW w:w="1080" w:type="dxa"/>
            <w:vAlign w:val="bottom"/>
            <w:tcBorders>
              <w:bottom w:val="single" w:sz="8" w:color="852166"/>
            </w:tcBorders>
            <w:shd w:val="clear" w:color="auto" w:fill="EAEAEA"/>
          </w:tcPr>
          <w:p>
            <w:pPr>
              <w:jc w:val="right"/>
              <w:ind w:right="48"/>
              <w:spacing w:after="0"/>
              <w:rPr>
                <w:sz w:val="20"/>
                <w:szCs w:val="20"/>
                <w:color w:val="auto"/>
              </w:rPr>
            </w:pPr>
            <w:r>
              <w:rPr>
                <w:rFonts w:ascii="Arial" w:cs="Arial" w:eastAsia="Arial" w:hAnsi="Arial"/>
                <w:sz w:val="14"/>
                <w:szCs w:val="14"/>
                <w:b w:val="1"/>
                <w:bCs w:val="1"/>
                <w:color w:val="auto"/>
              </w:rPr>
              <w:t>11.8%</w:t>
            </w:r>
          </w:p>
        </w:tc>
      </w:tr>
    </w:tbl>
    <w:p>
      <w:pPr>
        <w:spacing w:after="0" w:line="139" w:lineRule="exact"/>
        <w:rPr>
          <w:sz w:val="20"/>
          <w:szCs w:val="20"/>
          <w:color w:val="auto"/>
        </w:rPr>
      </w:pPr>
    </w:p>
    <w:p>
      <w:pPr>
        <w:ind w:left="320" w:hanging="312"/>
        <w:spacing w:after="0"/>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annual base salary rate for the applicable year. 2023 base salary became effective March 2023.</w:t>
      </w:r>
    </w:p>
    <w:p>
      <w:pPr>
        <w:spacing w:after="0" w:line="82" w:lineRule="exact"/>
        <w:rPr>
          <w:rFonts w:ascii="Arial" w:cs="Arial" w:eastAsia="Arial" w:hAnsi="Arial"/>
          <w:sz w:val="14"/>
          <w:szCs w:val="14"/>
          <w:color w:val="auto"/>
        </w:rPr>
      </w:pPr>
    </w:p>
    <w:p>
      <w:pPr>
        <w:ind w:left="340" w:right="160" w:hanging="332"/>
        <w:spacing w:after="0" w:line="293" w:lineRule="auto"/>
        <w:tabs>
          <w:tab w:leader="none" w:pos="327"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2023 amount reflects a target performance bonus of 55% of base salary rate as of December 31, 2023, an increase from 50% in 2022. The actual 2023 performance bonus paid was $320,000, reflecting 90% of target performance bonus, based on the 95% overall achievement of the 2023 corporate performance objectives and Ms. Patil’s individual contributions and leadership of the corporate legal organization during 2023.</w:t>
      </w:r>
    </w:p>
    <w:p>
      <w:pPr>
        <w:spacing w:after="0" w:line="17" w:lineRule="exact"/>
        <w:rPr>
          <w:rFonts w:ascii="Arial" w:cs="Arial" w:eastAsia="Arial" w:hAnsi="Arial"/>
          <w:sz w:val="14"/>
          <w:szCs w:val="14"/>
          <w:color w:val="auto"/>
        </w:rPr>
      </w:pPr>
    </w:p>
    <w:p>
      <w:pPr>
        <w:ind w:left="340" w:right="260" w:hanging="332"/>
        <w:spacing w:after="0" w:line="303" w:lineRule="auto"/>
        <w:tabs>
          <w:tab w:leader="none" w:pos="327" w:val="left"/>
        </w:tabs>
        <w:numPr>
          <w:ilvl w:val="0"/>
          <w:numId w:val="68"/>
        </w:numPr>
        <w:rPr>
          <w:rFonts w:ascii="Arial" w:cs="Arial" w:eastAsia="Arial" w:hAnsi="Arial"/>
          <w:sz w:val="14"/>
          <w:szCs w:val="14"/>
          <w:color w:val="auto"/>
        </w:rPr>
      </w:pPr>
      <w:r>
        <w:rPr>
          <w:rFonts w:ascii="Arial" w:cs="Arial" w:eastAsia="Arial" w:hAnsi="Arial"/>
          <w:sz w:val="14"/>
          <w:szCs w:val="14"/>
          <w:color w:val="auto"/>
        </w:rPr>
        <w:t xml:space="preserve">The target equity compensation presented in the chart above reflects the target dollar value approved by our compensation committee; this value differs from the values required to be shown in the Summary Compensation Table and Grants of Plan-Based Awards Table for 2022 and 2023, as applicable as further described above in </w:t>
      </w:r>
      <w:r>
        <w:rPr>
          <w:rFonts w:ascii="Arial" w:cs="Arial" w:eastAsia="Arial" w:hAnsi="Arial"/>
          <w:sz w:val="14"/>
          <w:szCs w:val="14"/>
          <w:i w:val="1"/>
          <w:iCs w:val="1"/>
          <w:color w:val="auto"/>
        </w:rPr>
        <w:t>“Summary of 2023 Compensation Decisions—Long-Term Incentive Program.”</w:t>
      </w:r>
    </w:p>
    <w:p>
      <w:pPr>
        <w:spacing w:after="0" w:line="11" w:lineRule="exact"/>
        <w:rPr>
          <w:rFonts w:ascii="Arial" w:cs="Arial" w:eastAsia="Arial" w:hAnsi="Arial"/>
          <w:sz w:val="14"/>
          <w:szCs w:val="14"/>
          <w:color w:val="auto"/>
        </w:rPr>
      </w:pPr>
    </w:p>
    <w:p>
      <w:pPr>
        <w:ind w:left="340" w:right="100" w:hanging="332"/>
        <w:spacing w:after="0" w:line="286" w:lineRule="auto"/>
        <w:tabs>
          <w:tab w:leader="none" w:pos="327" w:val="left"/>
        </w:tabs>
        <w:numPr>
          <w:ilvl w:val="0"/>
          <w:numId w:val="68"/>
        </w:numPr>
        <w:rPr>
          <w:rFonts w:ascii="Arial" w:cs="Arial" w:eastAsia="Arial" w:hAnsi="Arial"/>
          <w:sz w:val="14"/>
          <w:szCs w:val="14"/>
          <w:color w:val="auto"/>
        </w:rPr>
      </w:pPr>
      <w:r>
        <w:rPr>
          <w:rFonts w:ascii="Arial" w:cs="Arial" w:eastAsia="Arial" w:hAnsi="Arial"/>
          <w:sz w:val="14"/>
          <w:szCs w:val="14"/>
          <w:color w:val="auto"/>
        </w:rPr>
        <w:t>Our compensation committee designed Ms. Patil’s target total direct compensation to be competitive as compared to the market data, as described in more detail above in “</w:t>
      </w:r>
      <w:r>
        <w:rPr>
          <w:rFonts w:ascii="Arial" w:cs="Arial" w:eastAsia="Arial" w:hAnsi="Arial"/>
          <w:sz w:val="14"/>
          <w:szCs w:val="14"/>
          <w:i w:val="1"/>
          <w:iCs w:val="1"/>
          <w:color w:val="auto"/>
        </w:rPr>
        <w:t>How We Determine Executive Compensation—Competitive Assessment of Compensation – Peer Companies and Market Data,”</w:t>
      </w:r>
      <w:r>
        <w:rPr>
          <w:rFonts w:ascii="Arial" w:cs="Arial" w:eastAsia="Arial" w:hAnsi="Arial"/>
          <w:sz w:val="14"/>
          <w:szCs w:val="14"/>
          <w:color w:val="auto"/>
        </w:rPr>
        <w:t xml:space="preserve"> to be appropriate from an internal equity perspective and to be more heavily weighted towards equity compensation, in line with our pay-for-performance philosophy. Our compensation committee determined it was appropriate to increase Ms. Patil’s base salary in an amount necessary to reflect her scope of responsibility and oversight of significant functions within the organization, as well as to maintain competitive positioning relative to the market data and the other NEOs. Based on our compensation committee’s professional experience and judgment, our compensation committee determined Ms. Patil’s target total direct compensation to be competitive and appropriate.</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406"/>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color w:val="852166"/>
        </w:rPr>
        <w:t>Daniel N. Swisher, Jr., Former President and COO</w:t>
      </w:r>
      <w:r>
        <w:rPr>
          <w:rFonts w:ascii="Arial" w:cs="Arial" w:eastAsia="Arial" w:hAnsi="Arial"/>
          <w:sz w:val="21"/>
          <w:szCs w:val="21"/>
          <w:b w:val="1"/>
          <w:bCs w:val="1"/>
          <w:color w:val="852166"/>
          <w:vertAlign w:val="superscript"/>
        </w:rPr>
        <w:t>(1)</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980" w:type="dxa"/>
            <w:vAlign w:val="bottom"/>
            <w:shd w:val="clear" w:color="auto" w:fill="852166"/>
          </w:tcPr>
          <w:p>
            <w:pPr>
              <w:spacing w:after="0"/>
              <w:rPr>
                <w:sz w:val="16"/>
                <w:szCs w:val="16"/>
                <w:color w:val="auto"/>
              </w:rPr>
            </w:pPr>
          </w:p>
        </w:tc>
        <w:tc>
          <w:tcPr>
            <w:tcW w:w="1740" w:type="dxa"/>
            <w:vAlign w:val="bottom"/>
            <w:shd w:val="clear" w:color="auto" w:fill="852166"/>
          </w:tcPr>
          <w:p>
            <w:pPr>
              <w:jc w:val="right"/>
              <w:ind w:right="308"/>
              <w:spacing w:after="0"/>
              <w:rPr>
                <w:sz w:val="20"/>
                <w:szCs w:val="20"/>
                <w:color w:val="auto"/>
              </w:rPr>
            </w:pPr>
            <w:r>
              <w:rPr>
                <w:rFonts w:ascii="Arial" w:cs="Arial" w:eastAsia="Arial" w:hAnsi="Arial"/>
                <w:sz w:val="14"/>
                <w:szCs w:val="14"/>
                <w:b w:val="1"/>
                <w:bCs w:val="1"/>
                <w:color w:val="FFFFFF"/>
              </w:rPr>
              <w:t>2022 Pay</w:t>
            </w:r>
          </w:p>
        </w:tc>
        <w:tc>
          <w:tcPr>
            <w:tcW w:w="1440" w:type="dxa"/>
            <w:vAlign w:val="bottom"/>
            <w:shd w:val="clear" w:color="auto" w:fill="852166"/>
          </w:tcPr>
          <w:p>
            <w:pPr>
              <w:jc w:val="right"/>
              <w:ind w:right="348"/>
              <w:spacing w:after="0"/>
              <w:rPr>
                <w:sz w:val="20"/>
                <w:szCs w:val="20"/>
                <w:color w:val="auto"/>
              </w:rPr>
            </w:pPr>
            <w:r>
              <w:rPr>
                <w:rFonts w:ascii="Arial" w:cs="Arial" w:eastAsia="Arial" w:hAnsi="Arial"/>
                <w:sz w:val="14"/>
                <w:szCs w:val="14"/>
                <w:b w:val="1"/>
                <w:bCs w:val="1"/>
                <w:color w:val="FFFFFF"/>
              </w:rPr>
              <w:t>2023 Pay</w:t>
            </w:r>
          </w:p>
        </w:tc>
        <w:tc>
          <w:tcPr>
            <w:tcW w:w="1080" w:type="dxa"/>
            <w:vAlign w:val="bottom"/>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Change</w:t>
            </w:r>
          </w:p>
        </w:tc>
      </w:tr>
      <w:tr>
        <w:trPr>
          <w:trHeight w:val="196"/>
        </w:trPr>
        <w:tc>
          <w:tcPr>
            <w:tcW w:w="6980" w:type="dxa"/>
            <w:vAlign w:val="bottom"/>
            <w:shd w:val="clear" w:color="auto" w:fill="852166"/>
          </w:tcPr>
          <w:p>
            <w:pPr>
              <w:spacing w:after="0"/>
              <w:rPr>
                <w:sz w:val="17"/>
                <w:szCs w:val="17"/>
                <w:color w:val="auto"/>
              </w:rPr>
            </w:pPr>
          </w:p>
        </w:tc>
        <w:tc>
          <w:tcPr>
            <w:tcW w:w="1740" w:type="dxa"/>
            <w:vAlign w:val="bottom"/>
            <w:shd w:val="clear" w:color="auto" w:fill="852166"/>
          </w:tcPr>
          <w:p>
            <w:pPr>
              <w:jc w:val="right"/>
              <w:ind w:right="308"/>
              <w:spacing w:after="0"/>
              <w:rPr>
                <w:sz w:val="20"/>
                <w:szCs w:val="20"/>
                <w:color w:val="auto"/>
              </w:rPr>
            </w:pPr>
            <w:r>
              <w:rPr>
                <w:rFonts w:ascii="Arial" w:cs="Arial" w:eastAsia="Arial" w:hAnsi="Arial"/>
                <w:sz w:val="14"/>
                <w:szCs w:val="14"/>
                <w:b w:val="1"/>
                <w:bCs w:val="1"/>
                <w:color w:val="FFFFFF"/>
              </w:rPr>
              <w:t>($)</w:t>
            </w:r>
          </w:p>
        </w:tc>
        <w:tc>
          <w:tcPr>
            <w:tcW w:w="1440" w:type="dxa"/>
            <w:vAlign w:val="bottom"/>
            <w:shd w:val="clear" w:color="auto" w:fill="852166"/>
          </w:tcPr>
          <w:p>
            <w:pPr>
              <w:jc w:val="right"/>
              <w:ind w:right="348"/>
              <w:spacing w:after="0"/>
              <w:rPr>
                <w:sz w:val="20"/>
                <w:szCs w:val="20"/>
                <w:color w:val="auto"/>
              </w:rPr>
            </w:pPr>
            <w:r>
              <w:rPr>
                <w:rFonts w:ascii="Arial" w:cs="Arial" w:eastAsia="Arial" w:hAnsi="Arial"/>
                <w:sz w:val="14"/>
                <w:szCs w:val="14"/>
                <w:b w:val="1"/>
                <w:bCs w:val="1"/>
                <w:color w:val="FFFFFF"/>
              </w:rPr>
              <w:t>($)</w:t>
            </w:r>
          </w:p>
        </w:tc>
        <w:tc>
          <w:tcPr>
            <w:tcW w:w="1080" w:type="dxa"/>
            <w:vAlign w:val="bottom"/>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70"/>
        </w:trPr>
        <w:tc>
          <w:tcPr>
            <w:tcW w:w="6980" w:type="dxa"/>
            <w:vAlign w:val="bottom"/>
            <w:shd w:val="clear" w:color="auto" w:fill="852166"/>
          </w:tcPr>
          <w:p>
            <w:pPr>
              <w:spacing w:after="0"/>
              <w:rPr>
                <w:sz w:val="6"/>
                <w:szCs w:val="6"/>
                <w:color w:val="auto"/>
              </w:rPr>
            </w:pPr>
          </w:p>
        </w:tc>
        <w:tc>
          <w:tcPr>
            <w:tcW w:w="1740" w:type="dxa"/>
            <w:vAlign w:val="bottom"/>
            <w:shd w:val="clear" w:color="auto" w:fill="852166"/>
          </w:tcPr>
          <w:p>
            <w:pPr>
              <w:spacing w:after="0"/>
              <w:rPr>
                <w:sz w:val="6"/>
                <w:szCs w:val="6"/>
                <w:color w:val="auto"/>
              </w:rPr>
            </w:pPr>
          </w:p>
        </w:tc>
        <w:tc>
          <w:tcPr>
            <w:tcW w:w="1440" w:type="dxa"/>
            <w:vAlign w:val="bottom"/>
            <w:shd w:val="clear" w:color="auto" w:fill="852166"/>
          </w:tcPr>
          <w:p>
            <w:pPr>
              <w:spacing w:after="0"/>
              <w:rPr>
                <w:sz w:val="6"/>
                <w:szCs w:val="6"/>
                <w:color w:val="auto"/>
              </w:rPr>
            </w:pPr>
          </w:p>
        </w:tc>
        <w:tc>
          <w:tcPr>
            <w:tcW w:w="1080" w:type="dxa"/>
            <w:vAlign w:val="bottom"/>
            <w:shd w:val="clear" w:color="auto" w:fill="852166"/>
          </w:tcPr>
          <w:p>
            <w:pPr>
              <w:spacing w:after="0"/>
              <w:rPr>
                <w:sz w:val="6"/>
                <w:szCs w:val="6"/>
                <w:color w:val="auto"/>
              </w:rPr>
            </w:pPr>
          </w:p>
        </w:tc>
      </w:tr>
      <w:tr>
        <w:trPr>
          <w:trHeight w:val="230"/>
        </w:trPr>
        <w:tc>
          <w:tcPr>
            <w:tcW w:w="6980" w:type="dxa"/>
            <w:vAlign w:val="bottom"/>
            <w:shd w:val="clear" w:color="auto" w:fill="EAEAEA"/>
          </w:tcPr>
          <w:p>
            <w:pPr>
              <w:ind w:left="100"/>
              <w:spacing w:after="0"/>
              <w:rPr>
                <w:sz w:val="20"/>
                <w:szCs w:val="20"/>
                <w:color w:val="auto"/>
              </w:rPr>
            </w:pPr>
            <w:r>
              <w:rPr>
                <w:rFonts w:ascii="Arial" w:cs="Arial" w:eastAsia="Arial" w:hAnsi="Arial"/>
                <w:sz w:val="14"/>
                <w:szCs w:val="14"/>
                <w:b w:val="1"/>
                <w:bCs w:val="1"/>
                <w:color w:val="auto"/>
              </w:rPr>
              <w:t>Target Total Cash Compensation</w:t>
            </w:r>
          </w:p>
        </w:tc>
        <w:tc>
          <w:tcPr>
            <w:tcW w:w="1740" w:type="dxa"/>
            <w:vAlign w:val="bottom"/>
            <w:shd w:val="clear" w:color="auto" w:fill="E9E9E9"/>
          </w:tcPr>
          <w:p>
            <w:pPr>
              <w:jc w:val="right"/>
              <w:ind w:right="308"/>
              <w:spacing w:after="0"/>
              <w:rPr>
                <w:sz w:val="20"/>
                <w:szCs w:val="20"/>
                <w:color w:val="auto"/>
              </w:rPr>
            </w:pPr>
            <w:r>
              <w:rPr>
                <w:rFonts w:ascii="Arial" w:cs="Arial" w:eastAsia="Arial" w:hAnsi="Arial"/>
                <w:sz w:val="14"/>
                <w:szCs w:val="14"/>
                <w:b w:val="1"/>
                <w:bCs w:val="1"/>
                <w:color w:val="auto"/>
              </w:rPr>
              <w:t>1,356,250</w:t>
            </w:r>
          </w:p>
        </w:tc>
        <w:tc>
          <w:tcPr>
            <w:tcW w:w="1440" w:type="dxa"/>
            <w:vAlign w:val="bottom"/>
            <w:shd w:val="clear" w:color="auto" w:fill="E9E9E9"/>
          </w:tcPr>
          <w:p>
            <w:pPr>
              <w:jc w:val="right"/>
              <w:ind w:right="348"/>
              <w:spacing w:after="0"/>
              <w:rPr>
                <w:sz w:val="20"/>
                <w:szCs w:val="20"/>
                <w:color w:val="auto"/>
              </w:rPr>
            </w:pPr>
            <w:r>
              <w:rPr>
                <w:rFonts w:ascii="Arial" w:cs="Arial" w:eastAsia="Arial" w:hAnsi="Arial"/>
                <w:sz w:val="14"/>
                <w:szCs w:val="14"/>
                <w:b w:val="1"/>
                <w:bCs w:val="1"/>
                <w:color w:val="auto"/>
              </w:rPr>
              <w:t>1,400,000</w:t>
            </w:r>
          </w:p>
        </w:tc>
        <w:tc>
          <w:tcPr>
            <w:tcW w:w="1080" w:type="dxa"/>
            <w:vAlign w:val="bottom"/>
            <w:shd w:val="clear" w:color="auto" w:fill="E9E9E9"/>
          </w:tcPr>
          <w:p>
            <w:pPr>
              <w:jc w:val="right"/>
              <w:ind w:right="48"/>
              <w:spacing w:after="0"/>
              <w:rPr>
                <w:sz w:val="20"/>
                <w:szCs w:val="20"/>
                <w:color w:val="auto"/>
              </w:rPr>
            </w:pPr>
            <w:r>
              <w:rPr>
                <w:rFonts w:ascii="Arial" w:cs="Arial" w:eastAsia="Arial" w:hAnsi="Arial"/>
                <w:sz w:val="14"/>
                <w:szCs w:val="14"/>
                <w:b w:val="1"/>
                <w:bCs w:val="1"/>
                <w:color w:val="auto"/>
              </w:rPr>
              <w:t>3.2%</w:t>
            </w:r>
          </w:p>
        </w:tc>
      </w:tr>
      <w:tr>
        <w:trPr>
          <w:trHeight w:val="277"/>
        </w:trPr>
        <w:tc>
          <w:tcPr>
            <w:tcW w:w="698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Base Salary</w:t>
            </w:r>
            <w:r>
              <w:rPr>
                <w:rFonts w:ascii="Arial" w:cs="Arial" w:eastAsia="Arial" w:hAnsi="Arial"/>
                <w:sz w:val="18"/>
                <w:szCs w:val="18"/>
                <w:color w:val="auto"/>
                <w:vertAlign w:val="superscript"/>
              </w:rPr>
              <w:t>(2)</w:t>
            </w:r>
          </w:p>
        </w:tc>
        <w:tc>
          <w:tcPr>
            <w:tcW w:w="17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775,000</w:t>
            </w:r>
          </w:p>
        </w:tc>
        <w:tc>
          <w:tcPr>
            <w:tcW w:w="14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800,000</w:t>
            </w:r>
          </w:p>
        </w:tc>
        <w:tc>
          <w:tcPr>
            <w:tcW w:w="1080" w:type="dxa"/>
            <w:vAlign w:val="bottom"/>
            <w:tcBorders>
              <w:bottom w:val="single" w:sz="8" w:color="auto"/>
            </w:tcBorders>
          </w:tcPr>
          <w:p>
            <w:pPr>
              <w:spacing w:after="0"/>
              <w:rPr>
                <w:sz w:val="24"/>
                <w:szCs w:val="24"/>
                <w:color w:val="auto"/>
              </w:rPr>
            </w:pPr>
          </w:p>
        </w:tc>
      </w:tr>
      <w:tr>
        <w:trPr>
          <w:trHeight w:val="274"/>
        </w:trPr>
        <w:tc>
          <w:tcPr>
            <w:tcW w:w="6980" w:type="dxa"/>
            <w:vAlign w:val="bottom"/>
          </w:tcPr>
          <w:p>
            <w:pPr>
              <w:ind w:left="440"/>
              <w:spacing w:after="0"/>
              <w:rPr>
                <w:sz w:val="20"/>
                <w:szCs w:val="20"/>
                <w:color w:val="auto"/>
              </w:rPr>
            </w:pPr>
            <w:r>
              <w:rPr>
                <w:rFonts w:ascii="Arial" w:cs="Arial" w:eastAsia="Arial" w:hAnsi="Arial"/>
                <w:sz w:val="14"/>
                <w:szCs w:val="14"/>
                <w:color w:val="auto"/>
              </w:rPr>
              <w:t>Target Performance Bonus</w:t>
            </w:r>
            <w:r>
              <w:rPr>
                <w:rFonts w:ascii="Arial" w:cs="Arial" w:eastAsia="Arial" w:hAnsi="Arial"/>
                <w:sz w:val="18"/>
                <w:szCs w:val="18"/>
                <w:color w:val="auto"/>
                <w:vertAlign w:val="superscript"/>
              </w:rPr>
              <w:t>(3)</w:t>
            </w:r>
          </w:p>
        </w:tc>
        <w:tc>
          <w:tcPr>
            <w:tcW w:w="1740" w:type="dxa"/>
            <w:vAlign w:val="bottom"/>
          </w:tcPr>
          <w:p>
            <w:pPr>
              <w:jc w:val="right"/>
              <w:ind w:right="308"/>
              <w:spacing w:after="0"/>
              <w:rPr>
                <w:sz w:val="20"/>
                <w:szCs w:val="20"/>
                <w:color w:val="auto"/>
              </w:rPr>
            </w:pPr>
            <w:r>
              <w:rPr>
                <w:rFonts w:ascii="Arial" w:cs="Arial" w:eastAsia="Arial" w:hAnsi="Arial"/>
                <w:sz w:val="14"/>
                <w:szCs w:val="14"/>
                <w:color w:val="auto"/>
              </w:rPr>
              <w:t>581,250</w:t>
            </w:r>
          </w:p>
        </w:tc>
        <w:tc>
          <w:tcPr>
            <w:tcW w:w="1440" w:type="dxa"/>
            <w:vAlign w:val="bottom"/>
          </w:tcPr>
          <w:p>
            <w:pPr>
              <w:jc w:val="right"/>
              <w:ind w:right="348"/>
              <w:spacing w:after="0"/>
              <w:rPr>
                <w:sz w:val="20"/>
                <w:szCs w:val="20"/>
                <w:color w:val="auto"/>
              </w:rPr>
            </w:pPr>
            <w:r>
              <w:rPr>
                <w:rFonts w:ascii="Arial" w:cs="Arial" w:eastAsia="Arial" w:hAnsi="Arial"/>
                <w:sz w:val="14"/>
                <w:szCs w:val="14"/>
                <w:color w:val="auto"/>
              </w:rPr>
              <w:t>600,000</w:t>
            </w:r>
          </w:p>
        </w:tc>
        <w:tc>
          <w:tcPr>
            <w:tcW w:w="1080" w:type="dxa"/>
            <w:vAlign w:val="bottom"/>
          </w:tcPr>
          <w:p>
            <w:pPr>
              <w:spacing w:after="0"/>
              <w:rPr>
                <w:sz w:val="23"/>
                <w:szCs w:val="23"/>
                <w:color w:val="auto"/>
              </w:rPr>
            </w:pPr>
          </w:p>
        </w:tc>
      </w:tr>
      <w:tr>
        <w:trPr>
          <w:trHeight w:val="239"/>
        </w:trPr>
        <w:tc>
          <w:tcPr>
            <w:tcW w:w="6980" w:type="dxa"/>
            <w:vAlign w:val="bottom"/>
            <w:tcBorders>
              <w:bottom w:val="single" w:sz="8" w:color="852166"/>
            </w:tcBorders>
            <w:shd w:val="clear" w:color="auto" w:fill="EAEAEA"/>
          </w:tcPr>
          <w:p>
            <w:pPr>
              <w:ind w:left="100"/>
              <w:spacing w:after="0"/>
              <w:rPr>
                <w:sz w:val="20"/>
                <w:szCs w:val="20"/>
                <w:color w:val="auto"/>
              </w:rPr>
            </w:pPr>
            <w:r>
              <w:rPr>
                <w:rFonts w:ascii="Arial" w:cs="Arial" w:eastAsia="Arial" w:hAnsi="Arial"/>
                <w:sz w:val="14"/>
                <w:szCs w:val="14"/>
                <w:b w:val="1"/>
                <w:bCs w:val="1"/>
                <w:color w:val="auto"/>
              </w:rPr>
              <w:t>Target Equity Compensation</w:t>
            </w:r>
            <w:r>
              <w:rPr>
                <w:rFonts w:ascii="Arial" w:cs="Arial" w:eastAsia="Arial" w:hAnsi="Arial"/>
                <w:sz w:val="18"/>
                <w:szCs w:val="18"/>
                <w:b w:val="1"/>
                <w:bCs w:val="1"/>
                <w:color w:val="auto"/>
                <w:vertAlign w:val="superscript"/>
              </w:rPr>
              <w:t>(4)</w:t>
            </w:r>
          </w:p>
        </w:tc>
        <w:tc>
          <w:tcPr>
            <w:tcW w:w="1740" w:type="dxa"/>
            <w:vAlign w:val="bottom"/>
            <w:tcBorders>
              <w:bottom w:val="single" w:sz="8" w:color="852166"/>
            </w:tcBorders>
            <w:shd w:val="clear" w:color="auto" w:fill="EAEAEA"/>
          </w:tcPr>
          <w:p>
            <w:pPr>
              <w:jc w:val="right"/>
              <w:ind w:right="308"/>
              <w:spacing w:after="0"/>
              <w:rPr>
                <w:sz w:val="20"/>
                <w:szCs w:val="20"/>
                <w:color w:val="auto"/>
              </w:rPr>
            </w:pPr>
            <w:r>
              <w:rPr>
                <w:rFonts w:ascii="Arial" w:cs="Arial" w:eastAsia="Arial" w:hAnsi="Arial"/>
                <w:sz w:val="14"/>
                <w:szCs w:val="14"/>
                <w:b w:val="1"/>
                <w:bCs w:val="1"/>
                <w:color w:val="auto"/>
              </w:rPr>
              <w:t>3,800,000</w:t>
            </w:r>
          </w:p>
        </w:tc>
        <w:tc>
          <w:tcPr>
            <w:tcW w:w="1440" w:type="dxa"/>
            <w:vAlign w:val="bottom"/>
            <w:tcBorders>
              <w:bottom w:val="single" w:sz="8" w:color="852166"/>
            </w:tcBorders>
            <w:shd w:val="clear" w:color="auto" w:fill="EAEAEA"/>
          </w:tcPr>
          <w:p>
            <w:pPr>
              <w:jc w:val="right"/>
              <w:ind w:right="348"/>
              <w:spacing w:after="0"/>
              <w:rPr>
                <w:sz w:val="20"/>
                <w:szCs w:val="20"/>
                <w:color w:val="auto"/>
              </w:rPr>
            </w:pPr>
            <w:r>
              <w:rPr>
                <w:rFonts w:ascii="Arial" w:cs="Arial" w:eastAsia="Arial" w:hAnsi="Arial"/>
                <w:sz w:val="14"/>
                <w:szCs w:val="14"/>
                <w:b w:val="1"/>
                <w:bCs w:val="1"/>
                <w:color w:val="auto"/>
              </w:rPr>
              <w:t>4,000,000</w:t>
            </w:r>
          </w:p>
        </w:tc>
        <w:tc>
          <w:tcPr>
            <w:tcW w:w="1080" w:type="dxa"/>
            <w:vAlign w:val="bottom"/>
            <w:tcBorders>
              <w:bottom w:val="single" w:sz="8" w:color="852166"/>
            </w:tcBorders>
            <w:shd w:val="clear" w:color="auto" w:fill="EAEAEA"/>
          </w:tcPr>
          <w:p>
            <w:pPr>
              <w:jc w:val="right"/>
              <w:ind w:right="48"/>
              <w:spacing w:after="0"/>
              <w:rPr>
                <w:sz w:val="20"/>
                <w:szCs w:val="20"/>
                <w:color w:val="auto"/>
              </w:rPr>
            </w:pPr>
            <w:r>
              <w:rPr>
                <w:rFonts w:ascii="Arial" w:cs="Arial" w:eastAsia="Arial" w:hAnsi="Arial"/>
                <w:sz w:val="14"/>
                <w:szCs w:val="14"/>
                <w:b w:val="1"/>
                <w:bCs w:val="1"/>
                <w:color w:val="auto"/>
              </w:rPr>
              <w:t>5.3%</w:t>
            </w:r>
          </w:p>
        </w:tc>
      </w:tr>
      <w:tr>
        <w:trPr>
          <w:trHeight w:val="223"/>
        </w:trPr>
        <w:tc>
          <w:tcPr>
            <w:tcW w:w="6980" w:type="dxa"/>
            <w:vAlign w:val="bottom"/>
            <w:tcBorders>
              <w:bottom w:val="single" w:sz="8" w:color="852166"/>
            </w:tcBorders>
            <w:shd w:val="clear" w:color="auto" w:fill="EAEAEA"/>
          </w:tcPr>
          <w:p>
            <w:pPr>
              <w:ind w:left="100"/>
              <w:spacing w:after="0"/>
              <w:rPr>
                <w:sz w:val="20"/>
                <w:szCs w:val="20"/>
                <w:color w:val="auto"/>
              </w:rPr>
            </w:pPr>
            <w:r>
              <w:rPr>
                <w:rFonts w:ascii="Arial" w:cs="Arial" w:eastAsia="Arial" w:hAnsi="Arial"/>
                <w:sz w:val="14"/>
                <w:szCs w:val="14"/>
                <w:b w:val="1"/>
                <w:bCs w:val="1"/>
                <w:color w:val="auto"/>
              </w:rPr>
              <w:t>Target Total Direct Compensation</w:t>
            </w:r>
            <w:r>
              <w:rPr>
                <w:rFonts w:ascii="Arial" w:cs="Arial" w:eastAsia="Arial" w:hAnsi="Arial"/>
                <w:sz w:val="18"/>
                <w:szCs w:val="18"/>
                <w:b w:val="1"/>
                <w:bCs w:val="1"/>
                <w:color w:val="auto"/>
                <w:vertAlign w:val="superscript"/>
              </w:rPr>
              <w:t>(5)</w:t>
            </w:r>
          </w:p>
        </w:tc>
        <w:tc>
          <w:tcPr>
            <w:tcW w:w="1740" w:type="dxa"/>
            <w:vAlign w:val="bottom"/>
            <w:tcBorders>
              <w:bottom w:val="single" w:sz="8" w:color="852166"/>
            </w:tcBorders>
            <w:shd w:val="clear" w:color="auto" w:fill="EAEAEA"/>
          </w:tcPr>
          <w:p>
            <w:pPr>
              <w:jc w:val="right"/>
              <w:ind w:right="308"/>
              <w:spacing w:after="0"/>
              <w:rPr>
                <w:sz w:val="20"/>
                <w:szCs w:val="20"/>
                <w:color w:val="auto"/>
              </w:rPr>
            </w:pPr>
            <w:r>
              <w:rPr>
                <w:rFonts w:ascii="Arial" w:cs="Arial" w:eastAsia="Arial" w:hAnsi="Arial"/>
                <w:sz w:val="14"/>
                <w:szCs w:val="14"/>
                <w:b w:val="1"/>
                <w:bCs w:val="1"/>
                <w:color w:val="auto"/>
              </w:rPr>
              <w:t>5,156,250</w:t>
            </w:r>
          </w:p>
        </w:tc>
        <w:tc>
          <w:tcPr>
            <w:tcW w:w="1440" w:type="dxa"/>
            <w:vAlign w:val="bottom"/>
            <w:tcBorders>
              <w:bottom w:val="single" w:sz="8" w:color="852166"/>
            </w:tcBorders>
            <w:shd w:val="clear" w:color="auto" w:fill="EAEAEA"/>
          </w:tcPr>
          <w:p>
            <w:pPr>
              <w:jc w:val="right"/>
              <w:ind w:right="348"/>
              <w:spacing w:after="0"/>
              <w:rPr>
                <w:sz w:val="20"/>
                <w:szCs w:val="20"/>
                <w:color w:val="auto"/>
              </w:rPr>
            </w:pPr>
            <w:r>
              <w:rPr>
                <w:rFonts w:ascii="Arial" w:cs="Arial" w:eastAsia="Arial" w:hAnsi="Arial"/>
                <w:sz w:val="14"/>
                <w:szCs w:val="14"/>
                <w:b w:val="1"/>
                <w:bCs w:val="1"/>
                <w:color w:val="auto"/>
              </w:rPr>
              <w:t>5,400,000</w:t>
            </w:r>
          </w:p>
        </w:tc>
        <w:tc>
          <w:tcPr>
            <w:tcW w:w="1080" w:type="dxa"/>
            <w:vAlign w:val="bottom"/>
            <w:tcBorders>
              <w:bottom w:val="single" w:sz="8" w:color="852166"/>
            </w:tcBorders>
            <w:shd w:val="clear" w:color="auto" w:fill="EAEAEA"/>
          </w:tcPr>
          <w:p>
            <w:pPr>
              <w:jc w:val="right"/>
              <w:ind w:right="48"/>
              <w:spacing w:after="0"/>
              <w:rPr>
                <w:sz w:val="20"/>
                <w:szCs w:val="20"/>
                <w:color w:val="auto"/>
              </w:rPr>
            </w:pPr>
            <w:r>
              <w:rPr>
                <w:rFonts w:ascii="Arial" w:cs="Arial" w:eastAsia="Arial" w:hAnsi="Arial"/>
                <w:sz w:val="14"/>
                <w:szCs w:val="14"/>
                <w:b w:val="1"/>
                <w:bCs w:val="1"/>
                <w:color w:val="auto"/>
              </w:rPr>
              <w:t>4.7%</w:t>
            </w:r>
          </w:p>
        </w:tc>
      </w:tr>
    </w:tbl>
    <w:p>
      <w:pPr>
        <w:spacing w:after="0" w:line="139" w:lineRule="exact"/>
        <w:rPr>
          <w:sz w:val="20"/>
          <w:szCs w:val="20"/>
          <w:color w:val="auto"/>
        </w:rPr>
      </w:pPr>
    </w:p>
    <w:p>
      <w:pPr>
        <w:ind w:left="340" w:right="440" w:hanging="332"/>
        <w:spacing w:after="0" w:line="322" w:lineRule="auto"/>
        <w:tabs>
          <w:tab w:leader="none" w:pos="327" w:val="left"/>
        </w:tabs>
        <w:numPr>
          <w:ilvl w:val="0"/>
          <w:numId w:val="69"/>
        </w:numPr>
        <w:rPr>
          <w:rFonts w:ascii="Arial" w:cs="Arial" w:eastAsia="Arial" w:hAnsi="Arial"/>
          <w:sz w:val="14"/>
          <w:szCs w:val="14"/>
          <w:color w:val="auto"/>
        </w:rPr>
      </w:pPr>
      <w:r>
        <w:rPr>
          <w:rFonts w:ascii="Arial" w:cs="Arial" w:eastAsia="Arial" w:hAnsi="Arial"/>
          <w:sz w:val="14"/>
          <w:szCs w:val="14"/>
          <w:color w:val="auto"/>
        </w:rPr>
        <w:t>Mr. Swisher retired from his role as President and COO of Jazz effective October 1, 2023. Mr. Swisher continued to be employed by us as a non-executive employee through March 31, 2024.</w:t>
      </w:r>
    </w:p>
    <w:p>
      <w:pPr>
        <w:ind w:left="320" w:hanging="312"/>
        <w:spacing w:after="0"/>
        <w:tabs>
          <w:tab w:leader="none" w:pos="3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Represents annual base salary rate for the applicable year. 2023 base salary became effective March 2023.</w:t>
      </w:r>
    </w:p>
    <w:p>
      <w:pPr>
        <w:spacing w:after="0" w:line="68" w:lineRule="exact"/>
        <w:rPr>
          <w:rFonts w:ascii="Arial" w:cs="Arial" w:eastAsia="Arial" w:hAnsi="Arial"/>
          <w:sz w:val="14"/>
          <w:szCs w:val="14"/>
          <w:color w:val="auto"/>
        </w:rPr>
      </w:pPr>
    </w:p>
    <w:p>
      <w:pPr>
        <w:ind w:left="340" w:right="140" w:hanging="332"/>
        <w:spacing w:after="0" w:line="296" w:lineRule="auto"/>
        <w:tabs>
          <w:tab w:leader="none" w:pos="327"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There was no change to the target bonus as a percentage of base salary for 2023. The 2023 amount reflects a target performance bonus of 75% of base salary rate as of December 31, 2023. The actual 2023 performance bonus paid was $570,000, reflecting 95% of target performance bonus, based entirely on 95% overall achievement of the 2023 corporate performance objectives. Like Mr. Cozadd, our compensation committee determined that the overall 2023 corporate achievement percentage of 95% was applicable to Mr. Swisher, because, as President, he was responsible for meeting our objectives.</w:t>
      </w:r>
    </w:p>
    <w:p>
      <w:pPr>
        <w:spacing w:after="0" w:line="15" w:lineRule="exact"/>
        <w:rPr>
          <w:rFonts w:ascii="Arial" w:cs="Arial" w:eastAsia="Arial" w:hAnsi="Arial"/>
          <w:sz w:val="14"/>
          <w:szCs w:val="14"/>
          <w:color w:val="auto"/>
        </w:rPr>
      </w:pPr>
    </w:p>
    <w:p>
      <w:pPr>
        <w:ind w:left="340" w:right="260" w:hanging="332"/>
        <w:spacing w:after="0" w:line="301" w:lineRule="auto"/>
        <w:tabs>
          <w:tab w:leader="none" w:pos="327" w:val="left"/>
        </w:tabs>
        <w:numPr>
          <w:ilvl w:val="0"/>
          <w:numId w:val="69"/>
        </w:numPr>
        <w:rPr>
          <w:rFonts w:ascii="Arial" w:cs="Arial" w:eastAsia="Arial" w:hAnsi="Arial"/>
          <w:sz w:val="14"/>
          <w:szCs w:val="14"/>
          <w:color w:val="auto"/>
        </w:rPr>
      </w:pPr>
      <w:r>
        <w:rPr>
          <w:rFonts w:ascii="Arial" w:cs="Arial" w:eastAsia="Arial" w:hAnsi="Arial"/>
          <w:sz w:val="14"/>
          <w:szCs w:val="14"/>
          <w:color w:val="auto"/>
        </w:rPr>
        <w:t xml:space="preserve">The target equity compensation presented in the chart above reflects the target dollar value approved by our compensation committee; this value differs from the values required to be shown in the Summary Compensation Table and Grants of Plan-Based Awards Table for 2022 and 2023, as applicable as further described above in </w:t>
      </w:r>
      <w:r>
        <w:rPr>
          <w:rFonts w:ascii="Arial" w:cs="Arial" w:eastAsia="Arial" w:hAnsi="Arial"/>
          <w:sz w:val="14"/>
          <w:szCs w:val="14"/>
          <w:i w:val="1"/>
          <w:iCs w:val="1"/>
          <w:color w:val="auto"/>
        </w:rPr>
        <w:t>“Summary of 2023 Compensation Decisions—Long-Term Incentive Program.”</w:t>
      </w:r>
    </w:p>
    <w:p>
      <w:pPr>
        <w:spacing w:after="0" w:line="1" w:lineRule="exact"/>
        <w:rPr>
          <w:rFonts w:ascii="Arial" w:cs="Arial" w:eastAsia="Arial" w:hAnsi="Arial"/>
          <w:sz w:val="14"/>
          <w:szCs w:val="14"/>
          <w:color w:val="auto"/>
        </w:rPr>
      </w:pPr>
    </w:p>
    <w:p>
      <w:pPr>
        <w:ind w:left="340" w:right="40" w:hanging="332"/>
        <w:spacing w:after="0" w:line="290" w:lineRule="auto"/>
        <w:tabs>
          <w:tab w:leader="none" w:pos="327" w:val="left"/>
        </w:tabs>
        <w:numPr>
          <w:ilvl w:val="0"/>
          <w:numId w:val="69"/>
        </w:numPr>
        <w:rPr>
          <w:rFonts w:ascii="Arial" w:cs="Arial" w:eastAsia="Arial" w:hAnsi="Arial"/>
          <w:sz w:val="14"/>
          <w:szCs w:val="14"/>
          <w:color w:val="auto"/>
        </w:rPr>
      </w:pPr>
      <w:r>
        <w:rPr>
          <w:rFonts w:ascii="Arial" w:cs="Arial" w:eastAsia="Arial" w:hAnsi="Arial"/>
          <w:sz w:val="14"/>
          <w:szCs w:val="14"/>
          <w:color w:val="auto"/>
        </w:rPr>
        <w:t xml:space="preserve">Our compensation committee designed Mr. Swisher’s target total direct compensation to be competitive as compared to the market data, as described in more detail above in </w:t>
      </w:r>
      <w:r>
        <w:rPr>
          <w:rFonts w:ascii="Arial" w:cs="Arial" w:eastAsia="Arial" w:hAnsi="Arial"/>
          <w:sz w:val="14"/>
          <w:szCs w:val="14"/>
          <w:i w:val="1"/>
          <w:iCs w:val="1"/>
          <w:color w:val="auto"/>
        </w:rPr>
        <w:t>“How We Determine Executive Compensation—Competitive Assessment of Compensation – Peer Companies and Market Data,”</w:t>
      </w:r>
      <w:r>
        <w:rPr>
          <w:rFonts w:ascii="Arial" w:cs="Arial" w:eastAsia="Arial" w:hAnsi="Arial"/>
          <w:sz w:val="14"/>
          <w:szCs w:val="14"/>
          <w:color w:val="auto"/>
        </w:rPr>
        <w:t xml:space="preserve"> appropriate from an internal equity perspective and more heavily weighted towards equity compensation, in line with our pay-for-performance philosophy. Our compensation committee determined it was appropriate to increase Mr. Swisher’s base salary in an amount necessary to reflect his scope of responsibility and oversight of significant functions within the organization, as well as to maintain competitive positioning relative to the market data and the other NEOs. Based on our compensation committee’s professional experience and judgment, our compensation committee determined Mr. Swisher’s target total direct compensation to be competitive and appropriate.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62</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color w:val="852166"/>
        </w:rPr>
        <w:t>Kim Sablich, Former Executive Vice President and General Manager, US</w:t>
      </w:r>
      <w:r>
        <w:rPr>
          <w:rFonts w:ascii="Arial" w:cs="Arial" w:eastAsia="Arial" w:hAnsi="Arial"/>
          <w:sz w:val="21"/>
          <w:szCs w:val="21"/>
          <w:b w:val="1"/>
          <w:bCs w:val="1"/>
          <w:color w:val="852166"/>
          <w:vertAlign w:val="superscript"/>
        </w:rPr>
        <w:t>(1)</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00" w:type="dxa"/>
            <w:vAlign w:val="bottom"/>
            <w:shd w:val="clear" w:color="auto" w:fill="852166"/>
          </w:tcPr>
          <w:p>
            <w:pPr>
              <w:spacing w:after="0"/>
              <w:rPr>
                <w:sz w:val="16"/>
                <w:szCs w:val="16"/>
                <w:color w:val="auto"/>
              </w:rPr>
            </w:pPr>
          </w:p>
        </w:tc>
        <w:tc>
          <w:tcPr>
            <w:tcW w:w="3620" w:type="dxa"/>
            <w:vAlign w:val="bottom"/>
            <w:shd w:val="clear" w:color="auto" w:fill="852166"/>
          </w:tcPr>
          <w:p>
            <w:pPr>
              <w:jc w:val="right"/>
              <w:ind w:right="308"/>
              <w:spacing w:after="0"/>
              <w:rPr>
                <w:sz w:val="20"/>
                <w:szCs w:val="20"/>
                <w:color w:val="auto"/>
              </w:rPr>
            </w:pPr>
            <w:r>
              <w:rPr>
                <w:rFonts w:ascii="Arial" w:cs="Arial" w:eastAsia="Arial" w:hAnsi="Arial"/>
                <w:sz w:val="14"/>
                <w:szCs w:val="14"/>
                <w:b w:val="1"/>
                <w:bCs w:val="1"/>
                <w:color w:val="FFFFFF"/>
              </w:rPr>
              <w:t>2022 Pay</w:t>
            </w:r>
          </w:p>
        </w:tc>
        <w:tc>
          <w:tcPr>
            <w:tcW w:w="1440" w:type="dxa"/>
            <w:vAlign w:val="bottom"/>
            <w:shd w:val="clear" w:color="auto" w:fill="852166"/>
          </w:tcPr>
          <w:p>
            <w:pPr>
              <w:jc w:val="right"/>
              <w:ind w:right="348"/>
              <w:spacing w:after="0"/>
              <w:rPr>
                <w:sz w:val="20"/>
                <w:szCs w:val="20"/>
                <w:color w:val="auto"/>
              </w:rPr>
            </w:pPr>
            <w:r>
              <w:rPr>
                <w:rFonts w:ascii="Arial" w:cs="Arial" w:eastAsia="Arial" w:hAnsi="Arial"/>
                <w:sz w:val="14"/>
                <w:szCs w:val="14"/>
                <w:b w:val="1"/>
                <w:bCs w:val="1"/>
                <w:color w:val="FFFFFF"/>
              </w:rPr>
              <w:t>2023 Pay</w:t>
            </w:r>
          </w:p>
        </w:tc>
        <w:tc>
          <w:tcPr>
            <w:tcW w:w="1080" w:type="dxa"/>
            <w:vAlign w:val="bottom"/>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Change</w:t>
            </w:r>
          </w:p>
        </w:tc>
      </w:tr>
      <w:tr>
        <w:trPr>
          <w:trHeight w:val="196"/>
        </w:trPr>
        <w:tc>
          <w:tcPr>
            <w:tcW w:w="5100" w:type="dxa"/>
            <w:vAlign w:val="bottom"/>
            <w:shd w:val="clear" w:color="auto" w:fill="852166"/>
          </w:tcPr>
          <w:p>
            <w:pPr>
              <w:spacing w:after="0"/>
              <w:rPr>
                <w:sz w:val="17"/>
                <w:szCs w:val="17"/>
                <w:color w:val="auto"/>
              </w:rPr>
            </w:pPr>
          </w:p>
        </w:tc>
        <w:tc>
          <w:tcPr>
            <w:tcW w:w="3620" w:type="dxa"/>
            <w:vAlign w:val="bottom"/>
            <w:shd w:val="clear" w:color="auto" w:fill="852166"/>
          </w:tcPr>
          <w:p>
            <w:pPr>
              <w:jc w:val="right"/>
              <w:ind w:right="308"/>
              <w:spacing w:after="0"/>
              <w:rPr>
                <w:sz w:val="20"/>
                <w:szCs w:val="20"/>
                <w:color w:val="auto"/>
              </w:rPr>
            </w:pPr>
            <w:r>
              <w:rPr>
                <w:rFonts w:ascii="Arial" w:cs="Arial" w:eastAsia="Arial" w:hAnsi="Arial"/>
                <w:sz w:val="14"/>
                <w:szCs w:val="14"/>
                <w:b w:val="1"/>
                <w:bCs w:val="1"/>
                <w:color w:val="FFFFFF"/>
              </w:rPr>
              <w:t>($)</w:t>
            </w:r>
          </w:p>
        </w:tc>
        <w:tc>
          <w:tcPr>
            <w:tcW w:w="1440" w:type="dxa"/>
            <w:vAlign w:val="bottom"/>
            <w:shd w:val="clear" w:color="auto" w:fill="852166"/>
          </w:tcPr>
          <w:p>
            <w:pPr>
              <w:jc w:val="right"/>
              <w:ind w:right="348"/>
              <w:spacing w:after="0"/>
              <w:rPr>
                <w:sz w:val="20"/>
                <w:szCs w:val="20"/>
                <w:color w:val="auto"/>
              </w:rPr>
            </w:pPr>
            <w:r>
              <w:rPr>
                <w:rFonts w:ascii="Arial" w:cs="Arial" w:eastAsia="Arial" w:hAnsi="Arial"/>
                <w:sz w:val="14"/>
                <w:szCs w:val="14"/>
                <w:b w:val="1"/>
                <w:bCs w:val="1"/>
                <w:color w:val="FFFFFF"/>
              </w:rPr>
              <w:t>($)</w:t>
            </w:r>
          </w:p>
        </w:tc>
        <w:tc>
          <w:tcPr>
            <w:tcW w:w="1080" w:type="dxa"/>
            <w:vAlign w:val="bottom"/>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69"/>
        </w:trPr>
        <w:tc>
          <w:tcPr>
            <w:tcW w:w="5100" w:type="dxa"/>
            <w:vAlign w:val="bottom"/>
            <w:shd w:val="clear" w:color="auto" w:fill="852166"/>
          </w:tcPr>
          <w:p>
            <w:pPr>
              <w:spacing w:after="0"/>
              <w:rPr>
                <w:sz w:val="6"/>
                <w:szCs w:val="6"/>
                <w:color w:val="auto"/>
              </w:rPr>
            </w:pPr>
          </w:p>
        </w:tc>
        <w:tc>
          <w:tcPr>
            <w:tcW w:w="3620" w:type="dxa"/>
            <w:vAlign w:val="bottom"/>
            <w:shd w:val="clear" w:color="auto" w:fill="852166"/>
          </w:tcPr>
          <w:p>
            <w:pPr>
              <w:spacing w:after="0"/>
              <w:rPr>
                <w:sz w:val="6"/>
                <w:szCs w:val="6"/>
                <w:color w:val="auto"/>
              </w:rPr>
            </w:pPr>
          </w:p>
        </w:tc>
        <w:tc>
          <w:tcPr>
            <w:tcW w:w="1440" w:type="dxa"/>
            <w:vAlign w:val="bottom"/>
            <w:shd w:val="clear" w:color="auto" w:fill="852166"/>
          </w:tcPr>
          <w:p>
            <w:pPr>
              <w:spacing w:after="0"/>
              <w:rPr>
                <w:sz w:val="6"/>
                <w:szCs w:val="6"/>
                <w:color w:val="auto"/>
              </w:rPr>
            </w:pPr>
          </w:p>
        </w:tc>
        <w:tc>
          <w:tcPr>
            <w:tcW w:w="1080" w:type="dxa"/>
            <w:vAlign w:val="bottom"/>
            <w:shd w:val="clear" w:color="auto" w:fill="852166"/>
          </w:tcPr>
          <w:p>
            <w:pPr>
              <w:spacing w:after="0"/>
              <w:rPr>
                <w:sz w:val="6"/>
                <w:szCs w:val="6"/>
                <w:color w:val="auto"/>
              </w:rPr>
            </w:pPr>
          </w:p>
        </w:tc>
      </w:tr>
      <w:tr>
        <w:trPr>
          <w:trHeight w:val="230"/>
        </w:trPr>
        <w:tc>
          <w:tcPr>
            <w:tcW w:w="5100" w:type="dxa"/>
            <w:vAlign w:val="bottom"/>
            <w:shd w:val="clear" w:color="auto" w:fill="E9E9E9"/>
          </w:tcPr>
          <w:p>
            <w:pPr>
              <w:ind w:left="100"/>
              <w:spacing w:after="0"/>
              <w:rPr>
                <w:sz w:val="20"/>
                <w:szCs w:val="20"/>
                <w:color w:val="auto"/>
              </w:rPr>
            </w:pPr>
            <w:r>
              <w:rPr>
                <w:rFonts w:ascii="Arial" w:cs="Arial" w:eastAsia="Arial" w:hAnsi="Arial"/>
                <w:sz w:val="14"/>
                <w:szCs w:val="14"/>
                <w:b w:val="1"/>
                <w:bCs w:val="1"/>
                <w:color w:val="auto"/>
              </w:rPr>
              <w:t>Target Total Cash Compensation</w:t>
            </w:r>
          </w:p>
        </w:tc>
        <w:tc>
          <w:tcPr>
            <w:tcW w:w="3620" w:type="dxa"/>
            <w:vAlign w:val="bottom"/>
            <w:shd w:val="clear" w:color="auto" w:fill="E9E9E9"/>
          </w:tcPr>
          <w:p>
            <w:pPr>
              <w:jc w:val="right"/>
              <w:ind w:right="308"/>
              <w:spacing w:after="0"/>
              <w:rPr>
                <w:sz w:val="20"/>
                <w:szCs w:val="20"/>
                <w:color w:val="auto"/>
              </w:rPr>
            </w:pPr>
            <w:r>
              <w:rPr>
                <w:rFonts w:ascii="Arial" w:cs="Arial" w:eastAsia="Arial" w:hAnsi="Arial"/>
                <w:sz w:val="14"/>
                <w:szCs w:val="14"/>
                <w:b w:val="1"/>
                <w:bCs w:val="1"/>
                <w:color w:val="auto"/>
              </w:rPr>
              <w:t>930,000</w:t>
            </w:r>
          </w:p>
        </w:tc>
        <w:tc>
          <w:tcPr>
            <w:tcW w:w="1440" w:type="dxa"/>
            <w:vAlign w:val="bottom"/>
            <w:shd w:val="clear" w:color="auto" w:fill="E9E9E9"/>
          </w:tcPr>
          <w:p>
            <w:pPr>
              <w:jc w:val="right"/>
              <w:ind w:right="348"/>
              <w:spacing w:after="0"/>
              <w:rPr>
                <w:sz w:val="20"/>
                <w:szCs w:val="20"/>
                <w:color w:val="auto"/>
              </w:rPr>
            </w:pPr>
            <w:r>
              <w:rPr>
                <w:rFonts w:ascii="Arial" w:cs="Arial" w:eastAsia="Arial" w:hAnsi="Arial"/>
                <w:sz w:val="14"/>
                <w:szCs w:val="14"/>
                <w:b w:val="1"/>
                <w:bCs w:val="1"/>
                <w:color w:val="auto"/>
              </w:rPr>
              <w:t>968,750</w:t>
            </w:r>
          </w:p>
        </w:tc>
        <w:tc>
          <w:tcPr>
            <w:tcW w:w="1080" w:type="dxa"/>
            <w:vAlign w:val="bottom"/>
            <w:shd w:val="clear" w:color="auto" w:fill="E9E9E9"/>
          </w:tcPr>
          <w:p>
            <w:pPr>
              <w:jc w:val="right"/>
              <w:ind w:right="48"/>
              <w:spacing w:after="0"/>
              <w:rPr>
                <w:sz w:val="20"/>
                <w:szCs w:val="20"/>
                <w:color w:val="auto"/>
              </w:rPr>
            </w:pPr>
            <w:r>
              <w:rPr>
                <w:rFonts w:ascii="Arial" w:cs="Arial" w:eastAsia="Arial" w:hAnsi="Arial"/>
                <w:sz w:val="14"/>
                <w:szCs w:val="14"/>
                <w:b w:val="1"/>
                <w:bCs w:val="1"/>
                <w:color w:val="auto"/>
              </w:rPr>
              <w:t>4.2%</w:t>
            </w:r>
          </w:p>
        </w:tc>
      </w:tr>
      <w:tr>
        <w:trPr>
          <w:trHeight w:val="277"/>
        </w:trPr>
        <w:tc>
          <w:tcPr>
            <w:tcW w:w="510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Base Salary</w:t>
            </w:r>
            <w:r>
              <w:rPr>
                <w:rFonts w:ascii="Arial" w:cs="Arial" w:eastAsia="Arial" w:hAnsi="Arial"/>
                <w:sz w:val="18"/>
                <w:szCs w:val="18"/>
                <w:color w:val="auto"/>
                <w:vertAlign w:val="superscript"/>
              </w:rPr>
              <w:t>(2)</w:t>
            </w:r>
          </w:p>
        </w:tc>
        <w:tc>
          <w:tcPr>
            <w:tcW w:w="36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600,000</w:t>
            </w:r>
          </w:p>
        </w:tc>
        <w:tc>
          <w:tcPr>
            <w:tcW w:w="14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625,000</w:t>
            </w:r>
          </w:p>
        </w:tc>
        <w:tc>
          <w:tcPr>
            <w:tcW w:w="1080" w:type="dxa"/>
            <w:vAlign w:val="bottom"/>
            <w:tcBorders>
              <w:bottom w:val="single" w:sz="8" w:color="auto"/>
            </w:tcBorders>
          </w:tcPr>
          <w:p>
            <w:pPr>
              <w:spacing w:after="0"/>
              <w:rPr>
                <w:sz w:val="24"/>
                <w:szCs w:val="24"/>
                <w:color w:val="auto"/>
              </w:rPr>
            </w:pPr>
          </w:p>
        </w:tc>
      </w:tr>
      <w:tr>
        <w:trPr>
          <w:trHeight w:val="274"/>
        </w:trPr>
        <w:tc>
          <w:tcPr>
            <w:tcW w:w="5100" w:type="dxa"/>
            <w:vAlign w:val="bottom"/>
          </w:tcPr>
          <w:p>
            <w:pPr>
              <w:ind w:left="440"/>
              <w:spacing w:after="0"/>
              <w:rPr>
                <w:sz w:val="20"/>
                <w:szCs w:val="20"/>
                <w:color w:val="auto"/>
              </w:rPr>
            </w:pPr>
            <w:r>
              <w:rPr>
                <w:rFonts w:ascii="Arial" w:cs="Arial" w:eastAsia="Arial" w:hAnsi="Arial"/>
                <w:sz w:val="14"/>
                <w:szCs w:val="14"/>
                <w:color w:val="auto"/>
              </w:rPr>
              <w:t>Target Performance Bonus</w:t>
            </w:r>
            <w:r>
              <w:rPr>
                <w:rFonts w:ascii="Arial" w:cs="Arial" w:eastAsia="Arial" w:hAnsi="Arial"/>
                <w:sz w:val="18"/>
                <w:szCs w:val="18"/>
                <w:color w:val="auto"/>
                <w:vertAlign w:val="superscript"/>
              </w:rPr>
              <w:t>(3)</w:t>
            </w:r>
          </w:p>
        </w:tc>
        <w:tc>
          <w:tcPr>
            <w:tcW w:w="3620" w:type="dxa"/>
            <w:vAlign w:val="bottom"/>
          </w:tcPr>
          <w:p>
            <w:pPr>
              <w:jc w:val="right"/>
              <w:ind w:right="308"/>
              <w:spacing w:after="0"/>
              <w:rPr>
                <w:sz w:val="20"/>
                <w:szCs w:val="20"/>
                <w:color w:val="auto"/>
              </w:rPr>
            </w:pPr>
            <w:r>
              <w:rPr>
                <w:rFonts w:ascii="Arial" w:cs="Arial" w:eastAsia="Arial" w:hAnsi="Arial"/>
                <w:sz w:val="14"/>
                <w:szCs w:val="14"/>
                <w:color w:val="auto"/>
              </w:rPr>
              <w:t>330,000</w:t>
            </w:r>
          </w:p>
        </w:tc>
        <w:tc>
          <w:tcPr>
            <w:tcW w:w="1440" w:type="dxa"/>
            <w:vAlign w:val="bottom"/>
          </w:tcPr>
          <w:p>
            <w:pPr>
              <w:jc w:val="right"/>
              <w:ind w:right="348"/>
              <w:spacing w:after="0"/>
              <w:rPr>
                <w:sz w:val="20"/>
                <w:szCs w:val="20"/>
                <w:color w:val="auto"/>
              </w:rPr>
            </w:pPr>
            <w:r>
              <w:rPr>
                <w:rFonts w:ascii="Arial" w:cs="Arial" w:eastAsia="Arial" w:hAnsi="Arial"/>
                <w:sz w:val="14"/>
                <w:szCs w:val="14"/>
                <w:color w:val="auto"/>
              </w:rPr>
              <w:t>343,750</w:t>
            </w:r>
          </w:p>
        </w:tc>
        <w:tc>
          <w:tcPr>
            <w:tcW w:w="1080" w:type="dxa"/>
            <w:vAlign w:val="bottom"/>
          </w:tcPr>
          <w:p>
            <w:pPr>
              <w:spacing w:after="0"/>
              <w:rPr>
                <w:sz w:val="23"/>
                <w:szCs w:val="23"/>
                <w:color w:val="auto"/>
              </w:rPr>
            </w:pPr>
          </w:p>
        </w:tc>
      </w:tr>
      <w:tr>
        <w:trPr>
          <w:trHeight w:val="239"/>
        </w:trPr>
        <w:tc>
          <w:tcPr>
            <w:tcW w:w="5100" w:type="dxa"/>
            <w:vAlign w:val="bottom"/>
            <w:tcBorders>
              <w:bottom w:val="single" w:sz="8" w:color="852166"/>
            </w:tcBorders>
            <w:shd w:val="clear" w:color="auto" w:fill="E9E9E9"/>
          </w:tcPr>
          <w:p>
            <w:pPr>
              <w:ind w:left="100"/>
              <w:spacing w:after="0"/>
              <w:rPr>
                <w:sz w:val="20"/>
                <w:szCs w:val="20"/>
                <w:color w:val="auto"/>
              </w:rPr>
            </w:pPr>
            <w:r>
              <w:rPr>
                <w:rFonts w:ascii="Arial" w:cs="Arial" w:eastAsia="Arial" w:hAnsi="Arial"/>
                <w:sz w:val="14"/>
                <w:szCs w:val="14"/>
                <w:b w:val="1"/>
                <w:bCs w:val="1"/>
                <w:color w:val="auto"/>
              </w:rPr>
              <w:t>Target Equity Compensation</w:t>
            </w:r>
            <w:r>
              <w:rPr>
                <w:rFonts w:ascii="Arial" w:cs="Arial" w:eastAsia="Arial" w:hAnsi="Arial"/>
                <w:sz w:val="18"/>
                <w:szCs w:val="18"/>
                <w:b w:val="1"/>
                <w:bCs w:val="1"/>
                <w:color w:val="auto"/>
                <w:vertAlign w:val="superscript"/>
              </w:rPr>
              <w:t>(4)</w:t>
            </w:r>
          </w:p>
        </w:tc>
        <w:tc>
          <w:tcPr>
            <w:tcW w:w="3620" w:type="dxa"/>
            <w:vAlign w:val="bottom"/>
            <w:tcBorders>
              <w:bottom w:val="single" w:sz="8" w:color="852166"/>
            </w:tcBorders>
            <w:shd w:val="clear" w:color="auto" w:fill="E9E9E9"/>
          </w:tcPr>
          <w:p>
            <w:pPr>
              <w:jc w:val="right"/>
              <w:ind w:right="308"/>
              <w:spacing w:after="0"/>
              <w:rPr>
                <w:sz w:val="20"/>
                <w:szCs w:val="20"/>
                <w:color w:val="auto"/>
              </w:rPr>
            </w:pPr>
            <w:r>
              <w:rPr>
                <w:rFonts w:ascii="Arial" w:cs="Arial" w:eastAsia="Arial" w:hAnsi="Arial"/>
                <w:sz w:val="14"/>
                <w:szCs w:val="14"/>
                <w:b w:val="1"/>
                <w:bCs w:val="1"/>
                <w:color w:val="auto"/>
              </w:rPr>
              <w:t>2,800,000</w:t>
            </w:r>
          </w:p>
        </w:tc>
        <w:tc>
          <w:tcPr>
            <w:tcW w:w="1440" w:type="dxa"/>
            <w:vAlign w:val="bottom"/>
            <w:tcBorders>
              <w:bottom w:val="single" w:sz="8" w:color="852166"/>
            </w:tcBorders>
            <w:shd w:val="clear" w:color="auto" w:fill="E9E9E9"/>
          </w:tcPr>
          <w:p>
            <w:pPr>
              <w:jc w:val="right"/>
              <w:ind w:right="348"/>
              <w:spacing w:after="0"/>
              <w:rPr>
                <w:sz w:val="20"/>
                <w:szCs w:val="20"/>
                <w:color w:val="auto"/>
              </w:rPr>
            </w:pPr>
            <w:r>
              <w:rPr>
                <w:rFonts w:ascii="Arial" w:cs="Arial" w:eastAsia="Arial" w:hAnsi="Arial"/>
                <w:sz w:val="14"/>
                <w:szCs w:val="14"/>
                <w:b w:val="1"/>
                <w:bCs w:val="1"/>
                <w:color w:val="auto"/>
              </w:rPr>
              <w:t>3,100,000</w:t>
            </w:r>
          </w:p>
        </w:tc>
        <w:tc>
          <w:tcPr>
            <w:tcW w:w="1080" w:type="dxa"/>
            <w:vAlign w:val="bottom"/>
            <w:tcBorders>
              <w:bottom w:val="single" w:sz="8" w:color="852166"/>
            </w:tcBorders>
            <w:shd w:val="clear" w:color="auto" w:fill="E9E9E9"/>
          </w:tcPr>
          <w:p>
            <w:pPr>
              <w:jc w:val="right"/>
              <w:ind w:right="48"/>
              <w:spacing w:after="0"/>
              <w:rPr>
                <w:sz w:val="20"/>
                <w:szCs w:val="20"/>
                <w:color w:val="auto"/>
              </w:rPr>
            </w:pPr>
            <w:r>
              <w:rPr>
                <w:rFonts w:ascii="Arial" w:cs="Arial" w:eastAsia="Arial" w:hAnsi="Arial"/>
                <w:sz w:val="14"/>
                <w:szCs w:val="14"/>
                <w:b w:val="1"/>
                <w:bCs w:val="1"/>
                <w:color w:val="auto"/>
              </w:rPr>
              <w:t>10.7%</w:t>
            </w:r>
          </w:p>
        </w:tc>
      </w:tr>
      <w:tr>
        <w:trPr>
          <w:trHeight w:val="223"/>
        </w:trPr>
        <w:tc>
          <w:tcPr>
            <w:tcW w:w="5100" w:type="dxa"/>
            <w:vAlign w:val="bottom"/>
            <w:tcBorders>
              <w:bottom w:val="single" w:sz="8" w:color="852166"/>
            </w:tcBorders>
            <w:shd w:val="clear" w:color="auto" w:fill="E9E9E9"/>
          </w:tcPr>
          <w:p>
            <w:pPr>
              <w:ind w:left="100"/>
              <w:spacing w:after="0"/>
              <w:rPr>
                <w:sz w:val="20"/>
                <w:szCs w:val="20"/>
                <w:color w:val="auto"/>
              </w:rPr>
            </w:pPr>
            <w:r>
              <w:rPr>
                <w:rFonts w:ascii="Arial" w:cs="Arial" w:eastAsia="Arial" w:hAnsi="Arial"/>
                <w:sz w:val="14"/>
                <w:szCs w:val="14"/>
                <w:b w:val="1"/>
                <w:bCs w:val="1"/>
                <w:color w:val="auto"/>
              </w:rPr>
              <w:t>Target Total Direct Compensation</w:t>
            </w:r>
            <w:r>
              <w:rPr>
                <w:rFonts w:ascii="Arial" w:cs="Arial" w:eastAsia="Arial" w:hAnsi="Arial"/>
                <w:sz w:val="18"/>
                <w:szCs w:val="18"/>
                <w:b w:val="1"/>
                <w:bCs w:val="1"/>
                <w:color w:val="auto"/>
                <w:vertAlign w:val="superscript"/>
              </w:rPr>
              <w:t>(5)</w:t>
            </w:r>
          </w:p>
        </w:tc>
        <w:tc>
          <w:tcPr>
            <w:tcW w:w="3620" w:type="dxa"/>
            <w:vAlign w:val="bottom"/>
            <w:tcBorders>
              <w:bottom w:val="single" w:sz="8" w:color="852166"/>
            </w:tcBorders>
            <w:shd w:val="clear" w:color="auto" w:fill="E9E9E9"/>
          </w:tcPr>
          <w:p>
            <w:pPr>
              <w:jc w:val="right"/>
              <w:ind w:right="308"/>
              <w:spacing w:after="0"/>
              <w:rPr>
                <w:sz w:val="20"/>
                <w:szCs w:val="20"/>
                <w:color w:val="auto"/>
              </w:rPr>
            </w:pPr>
            <w:r>
              <w:rPr>
                <w:rFonts w:ascii="Arial" w:cs="Arial" w:eastAsia="Arial" w:hAnsi="Arial"/>
                <w:sz w:val="14"/>
                <w:szCs w:val="14"/>
                <w:b w:val="1"/>
                <w:bCs w:val="1"/>
                <w:color w:val="auto"/>
              </w:rPr>
              <w:t>3,730,000</w:t>
            </w:r>
          </w:p>
        </w:tc>
        <w:tc>
          <w:tcPr>
            <w:tcW w:w="1440" w:type="dxa"/>
            <w:vAlign w:val="bottom"/>
            <w:tcBorders>
              <w:bottom w:val="single" w:sz="8" w:color="852166"/>
            </w:tcBorders>
            <w:shd w:val="clear" w:color="auto" w:fill="E9E9E9"/>
          </w:tcPr>
          <w:p>
            <w:pPr>
              <w:jc w:val="right"/>
              <w:ind w:right="348"/>
              <w:spacing w:after="0"/>
              <w:rPr>
                <w:sz w:val="20"/>
                <w:szCs w:val="20"/>
                <w:color w:val="auto"/>
              </w:rPr>
            </w:pPr>
            <w:r>
              <w:rPr>
                <w:rFonts w:ascii="Arial" w:cs="Arial" w:eastAsia="Arial" w:hAnsi="Arial"/>
                <w:sz w:val="14"/>
                <w:szCs w:val="14"/>
                <w:b w:val="1"/>
                <w:bCs w:val="1"/>
                <w:color w:val="auto"/>
              </w:rPr>
              <w:t>4,068,750</w:t>
            </w:r>
          </w:p>
        </w:tc>
        <w:tc>
          <w:tcPr>
            <w:tcW w:w="1080" w:type="dxa"/>
            <w:vAlign w:val="bottom"/>
            <w:tcBorders>
              <w:bottom w:val="single" w:sz="8" w:color="852166"/>
            </w:tcBorders>
            <w:shd w:val="clear" w:color="auto" w:fill="E9E9E9"/>
          </w:tcPr>
          <w:p>
            <w:pPr>
              <w:jc w:val="right"/>
              <w:ind w:right="48"/>
              <w:spacing w:after="0"/>
              <w:rPr>
                <w:sz w:val="20"/>
                <w:szCs w:val="20"/>
                <w:color w:val="auto"/>
              </w:rPr>
            </w:pPr>
            <w:r>
              <w:rPr>
                <w:rFonts w:ascii="Arial" w:cs="Arial" w:eastAsia="Arial" w:hAnsi="Arial"/>
                <w:sz w:val="14"/>
                <w:szCs w:val="14"/>
                <w:b w:val="1"/>
                <w:bCs w:val="1"/>
                <w:color w:val="auto"/>
              </w:rPr>
              <w:t>9.1%</w:t>
            </w:r>
          </w:p>
        </w:tc>
      </w:tr>
    </w:tbl>
    <w:p>
      <w:pPr>
        <w:spacing w:after="0" w:line="139" w:lineRule="exact"/>
        <w:rPr>
          <w:sz w:val="20"/>
          <w:szCs w:val="20"/>
          <w:color w:val="auto"/>
        </w:rPr>
      </w:pPr>
    </w:p>
    <w:p>
      <w:pPr>
        <w:ind w:left="320" w:hanging="312"/>
        <w:spacing w:after="0"/>
        <w:tabs>
          <w:tab w:leader="none" w:pos="3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Ms. Sablich ceased serving in her role as Executive Vice President and General Manager, US, effective December 31, 2023.</w:t>
      </w:r>
    </w:p>
    <w:p>
      <w:pPr>
        <w:spacing w:after="0" w:line="82" w:lineRule="exact"/>
        <w:rPr>
          <w:rFonts w:ascii="Arial" w:cs="Arial" w:eastAsia="Arial" w:hAnsi="Arial"/>
          <w:sz w:val="14"/>
          <w:szCs w:val="14"/>
          <w:color w:val="auto"/>
        </w:rPr>
      </w:pPr>
    </w:p>
    <w:p>
      <w:pPr>
        <w:ind w:left="320" w:hanging="312"/>
        <w:spacing w:after="0"/>
        <w:tabs>
          <w:tab w:leader="none" w:pos="3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Represents annual base salary rate for the applicable year. 2023 base salary became effective March 2023.</w:t>
      </w:r>
    </w:p>
    <w:p>
      <w:pPr>
        <w:spacing w:after="0" w:line="82" w:lineRule="exact"/>
        <w:rPr>
          <w:rFonts w:ascii="Arial" w:cs="Arial" w:eastAsia="Arial" w:hAnsi="Arial"/>
          <w:sz w:val="14"/>
          <w:szCs w:val="14"/>
          <w:color w:val="auto"/>
        </w:rPr>
      </w:pPr>
    </w:p>
    <w:p>
      <w:pPr>
        <w:ind w:left="340" w:right="140" w:hanging="332"/>
        <w:spacing w:after="0" w:line="293" w:lineRule="auto"/>
        <w:tabs>
          <w:tab w:leader="none" w:pos="327"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There was no change to the target bonus as a percentage of base salary for 2023. The 2023 amount reflects a target performance bonus of 55% of base salary rate as of December 31, 2023. The actual 2023 performance bonus paid was $326,527 reflecting 95% of target performance bonus, based on the 95% overall achievement of the 2023 corporate performance objectives and Ms. Sablich’s individual contributions and leadership of the North America commercial organization during 2023.</w:t>
      </w:r>
    </w:p>
    <w:p>
      <w:pPr>
        <w:spacing w:after="0" w:line="17" w:lineRule="exact"/>
        <w:rPr>
          <w:rFonts w:ascii="Arial" w:cs="Arial" w:eastAsia="Arial" w:hAnsi="Arial"/>
          <w:sz w:val="14"/>
          <w:szCs w:val="14"/>
          <w:color w:val="auto"/>
        </w:rPr>
      </w:pPr>
    </w:p>
    <w:p>
      <w:pPr>
        <w:ind w:left="340" w:right="260" w:hanging="332"/>
        <w:spacing w:after="0" w:line="303" w:lineRule="auto"/>
        <w:tabs>
          <w:tab w:leader="none" w:pos="327" w:val="left"/>
        </w:tabs>
        <w:numPr>
          <w:ilvl w:val="0"/>
          <w:numId w:val="70"/>
        </w:numPr>
        <w:rPr>
          <w:rFonts w:ascii="Arial" w:cs="Arial" w:eastAsia="Arial" w:hAnsi="Arial"/>
          <w:sz w:val="14"/>
          <w:szCs w:val="14"/>
          <w:color w:val="auto"/>
        </w:rPr>
      </w:pPr>
      <w:r>
        <w:rPr>
          <w:rFonts w:ascii="Arial" w:cs="Arial" w:eastAsia="Arial" w:hAnsi="Arial"/>
          <w:sz w:val="14"/>
          <w:szCs w:val="14"/>
          <w:color w:val="auto"/>
        </w:rPr>
        <w:t xml:space="preserve">The target equity compensation presented in the chart above reflects the target dollar value approved by our compensation committee; this value differs from the values required to be shown in the Summary Compensation Table and Grants of Plan-Based Awards Table for 2022 and 2023, as applicable as further described above in </w:t>
      </w:r>
      <w:r>
        <w:rPr>
          <w:rFonts w:ascii="Arial" w:cs="Arial" w:eastAsia="Arial" w:hAnsi="Arial"/>
          <w:sz w:val="14"/>
          <w:szCs w:val="14"/>
          <w:i w:val="1"/>
          <w:iCs w:val="1"/>
          <w:color w:val="auto"/>
        </w:rPr>
        <w:t>“Summary of 2023 Compensation Decisions—Long-Term Incentive Program.”</w:t>
      </w:r>
    </w:p>
    <w:p>
      <w:pPr>
        <w:spacing w:after="0" w:line="11" w:lineRule="exact"/>
        <w:rPr>
          <w:rFonts w:ascii="Arial" w:cs="Arial" w:eastAsia="Arial" w:hAnsi="Arial"/>
          <w:sz w:val="14"/>
          <w:szCs w:val="14"/>
          <w:color w:val="auto"/>
        </w:rPr>
      </w:pPr>
    </w:p>
    <w:p>
      <w:pPr>
        <w:ind w:left="340" w:hanging="332"/>
        <w:spacing w:after="0" w:line="286" w:lineRule="auto"/>
        <w:tabs>
          <w:tab w:leader="none" w:pos="327" w:val="left"/>
        </w:tabs>
        <w:numPr>
          <w:ilvl w:val="0"/>
          <w:numId w:val="70"/>
        </w:numPr>
        <w:rPr>
          <w:rFonts w:ascii="Arial" w:cs="Arial" w:eastAsia="Arial" w:hAnsi="Arial"/>
          <w:sz w:val="14"/>
          <w:szCs w:val="14"/>
          <w:color w:val="auto"/>
        </w:rPr>
      </w:pPr>
      <w:r>
        <w:rPr>
          <w:rFonts w:ascii="Arial" w:cs="Arial" w:eastAsia="Arial" w:hAnsi="Arial"/>
          <w:sz w:val="14"/>
          <w:szCs w:val="14"/>
          <w:color w:val="auto"/>
        </w:rPr>
        <w:t>Our compensation committee designed Ms. Sablich’s target total direct compensation to be competitive as compared to the market data, as described in more detail above in “</w:t>
      </w:r>
      <w:r>
        <w:rPr>
          <w:rFonts w:ascii="Arial" w:cs="Arial" w:eastAsia="Arial" w:hAnsi="Arial"/>
          <w:sz w:val="14"/>
          <w:szCs w:val="14"/>
          <w:i w:val="1"/>
          <w:iCs w:val="1"/>
          <w:color w:val="auto"/>
        </w:rPr>
        <w:t>How We Determine Executive Compensation—Competitive Assessment of Compensation – Peer Companies and Market Data”</w:t>
      </w:r>
      <w:r>
        <w:rPr>
          <w:rFonts w:ascii="Arial" w:cs="Arial" w:eastAsia="Arial" w:hAnsi="Arial"/>
          <w:sz w:val="14"/>
          <w:szCs w:val="14"/>
          <w:color w:val="auto"/>
        </w:rPr>
        <w:t xml:space="preserve"> to be appropriate from an internal equity perspective and more heavily weighted towards equity compensation, in line with our pay-for-performance philosophy. Our compensation committee determined it was appropriate to increase Ms. Sablich’s base salary in an amount necessary to reflect her scope of responsibility and oversight of significant functions within the organization, as well as to maintain competitive positioning relative to the market data and the other NEOs. Based on our compensation committee’s professional experience and judgment, our compensation committee determined Ms. Sablich’s target total direct compensation to be competitive and appropriate.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Additional Compensation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Ownership Guidelines for Executive Officers</w:t>
      </w:r>
    </w:p>
    <w:p>
      <w:pPr>
        <w:spacing w:after="0" w:line="140"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auto"/>
        </w:rPr>
        <w:t>We maintain share ownership guidelines for our CEO and certain other employees who serve on our executive committee, including our NEOs. Under the guidelines, these individuals are expected to own a number of our ordinary shares with a value equal to six times base salary for our CEO, two times base salary for each other member of our executive committee who is an officer for purposes of Section 16 of the Exchange Act, and one times base salary for each other member of our executive committee. The guidelines provide that the officers are expected to establish the minimum ownership levels within five years of first becoming subject to the guidelines. Mr. Cozadd is in compliance with the guidelines. Each of our other continuing NEOs, who are subject to the guidelines, has five years from the date of his or her appointment to comply with the guidelines.</w:t>
      </w:r>
    </w:p>
    <w:p>
      <w:pPr>
        <w:spacing w:after="0" w:line="7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Shares that count toward satisfaction of these guidelines include: shares owned outright by the individual (including RSUs and/or PSUs that have vested or were earned but not yet settled, net of taxes); shares retained after an option exercise or issuance under another type of equity award granted under our equity incentive plans; shares retained after purchase under the ESPP; and shares held in trust for the benefit of the individual. Our compensation committee has discretion to develop an alternative individual guideline or an alternative method of complying with the applicable individual guideline for an individual covered by the guidelines if compliance would place a significant hardship on such individual.</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Clawback Policy</w:t>
      </w:r>
    </w:p>
    <w:p>
      <w:pPr>
        <w:spacing w:after="0" w:line="127"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In November 2023, our compensation committee adopted an incentive compensation recoupment policy, or Clawback Policy, that complies with the new listing standards adopted by Nasdaq that implement the new SEC rules under the Dodd-Frank Act and applies to our executive officers (as defined in applicable SEC rules). The Clawback Policy, which replaces and supersedes our prior clawback policy adopted in April 2021, requires us to recover from covered executive officers the amount of erroneously awarded compensation resulting from an accounting restatement due to the material our noncompliance with any financial reporting requirement under the securities laws. The Clawback Policy applies to incentive compensation that is received by a covered officer on or after October 2, 2023.</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406"/>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7" w:name="page68"/>
    <w:bookmarkEnd w:id="67"/>
    <w:p>
      <w:pPr>
        <w:ind w:right="140"/>
        <w:spacing w:after="0" w:line="310" w:lineRule="auto"/>
        <w:rPr>
          <w:sz w:val="20"/>
          <w:szCs w:val="20"/>
          <w:color w:val="auto"/>
        </w:rPr>
      </w:pPr>
      <w:r>
        <w:rPr>
          <w:rFonts w:ascii="Arial" w:cs="Arial" w:eastAsia="Arial" w:hAnsi="Arial"/>
          <w:sz w:val="16"/>
          <w:szCs w:val="16"/>
          <w:color w:val="auto"/>
        </w:rPr>
        <w:t>In addition, as a public company, if we are required to restate our financial results due to our material noncompliance with any financial reporting requirements under the federal securities laws as a result of misconduct, our CEO and CFO may be legally required to reimburse us for any bonus or other incentive-based or equity-based compensation they receive in accordance with the provisions of section 304 of the Sarbanes-Oxley Act of 2002.</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Change in Control Plan</w:t>
      </w:r>
    </w:p>
    <w:p>
      <w:pPr>
        <w:spacing w:after="0" w:line="140"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Our compensation committee periodically reviews the terms of our change in control plan, including its “double-trigger” structure and benefits, against market data to ensure that the benefits we offer remain appropriate.</w:t>
      </w:r>
    </w:p>
    <w:p>
      <w:pPr>
        <w:spacing w:after="0" w:line="61" w:lineRule="exact"/>
        <w:rPr>
          <w:sz w:val="20"/>
          <w:szCs w:val="20"/>
          <w:color w:val="auto"/>
        </w:rPr>
      </w:pPr>
    </w:p>
    <w:p>
      <w:pPr>
        <w:ind w:right="80"/>
        <w:spacing w:after="0" w:line="319" w:lineRule="auto"/>
        <w:rPr>
          <w:sz w:val="20"/>
          <w:szCs w:val="20"/>
          <w:color w:val="auto"/>
        </w:rPr>
      </w:pPr>
      <w:r>
        <w:rPr>
          <w:rFonts w:ascii="Arial" w:cs="Arial" w:eastAsia="Arial" w:hAnsi="Arial"/>
          <w:sz w:val="16"/>
          <w:szCs w:val="16"/>
          <w:color w:val="auto"/>
        </w:rPr>
        <w:t>Our executive officers are eligible to participate in the change in control plan, which includes all of our NEOs. Our compensation committee believes that the change in control benefits we provide are representative of market practice, both in terms of design and cost, and are sufficient to retain our current executive team and to recruit talented executive officers in the future.</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Equity Grant Timing and Equity Plan Information</w:t>
      </w:r>
    </w:p>
    <w:p>
      <w:pPr>
        <w:spacing w:after="0" w:line="127"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Our equity incentive grant policy generally provides that grants to executive officers occur on the second trading day following the filing date of our next quarterly or annual report filed under the Exchange Act that occurs after the date on which such grants are approved by our board or compensation committee, as applicable. Accordingly, our equity incentive grant policy generally requires that grants to our executive officers are made shortly after we have released information about our financial performance to the public for the applicable period. As a result, the timing of equity awards is not coordinated in a manner that intentionally benefits our executive officers.</w:t>
      </w:r>
    </w:p>
    <w:p>
      <w:pPr>
        <w:spacing w:after="0" w:line="77"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We currently grant equity awards to the NEOs, including PSUs and RSUs, under the 2011 Equity Incentive Plan, or the 2011 Plan. The 2011 Plan was adopted by Jazz Pharmaceuticals, Inc.’s board of directors and approved by Jazz Pharmaceuticals, Inc.’s stockholders in connection with their approval of the Azur Merger in December 2011 and was assumed by us upon the completion of the Azur Merger. Before the 2011 Plan was adopted, we granted stock options under our 2007 Equity Incentive Plan, or the 2007 Plan, which was adopted by Jazz Pharmaceuticals, Inc.’s board of directors and approved by Jazz Pharmaceuticals, Inc.’s stockholders in connection with Jazz Pharmaceuticals, Inc.’s initial public offering. The 2011 Plan affords our compensation committee the flexibility to utilize a broad array of equity incentives and performance cash incentives in order to secure and retain the services of our employees and its subsidiaries and to provide long-term incentives that align the interests of employees with the interests of our shareholders.</w:t>
      </w:r>
    </w:p>
    <w:p>
      <w:pPr>
        <w:spacing w:after="0" w:line="75" w:lineRule="exact"/>
        <w:rPr>
          <w:sz w:val="20"/>
          <w:szCs w:val="20"/>
          <w:color w:val="auto"/>
        </w:rPr>
      </w:pPr>
    </w:p>
    <w:p>
      <w:pPr>
        <w:ind w:right="360"/>
        <w:spacing w:after="0" w:line="321" w:lineRule="auto"/>
        <w:rPr>
          <w:sz w:val="20"/>
          <w:szCs w:val="20"/>
          <w:color w:val="auto"/>
        </w:rPr>
      </w:pPr>
      <w:r>
        <w:rPr>
          <w:rFonts w:ascii="Arial" w:cs="Arial" w:eastAsia="Arial" w:hAnsi="Arial"/>
          <w:sz w:val="16"/>
          <w:szCs w:val="16"/>
          <w:color w:val="auto"/>
        </w:rPr>
        <w:t>Additional long-term equity incentives are provided through the ESPP. Pursuant to the ESPP, all eligible employees, including the NEOs (if eligible), may allocate up to 15% of their base salary to purchase our stock at a 15% discount to the market price, subject to specified limits.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Accounting and Tax Considerations</w:t>
      </w:r>
    </w:p>
    <w:p>
      <w:pPr>
        <w:spacing w:after="0" w:line="140"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Under FASB ASC 718, we are required to estimate and record an expense for each award of equity compensation over the vesting period of the award. We record share-based compensation expense on an ongoing basis according to FASB ASC 718.</w:t>
      </w:r>
    </w:p>
    <w:p>
      <w:pPr>
        <w:spacing w:after="0" w:line="6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Under Section 162(m) of the Internal Revenue Code, or Section 162(m), compensation paid to each of our “covered employees” that exceeds $1 million per taxable year is generally non-deductible for tax purposes unless the compensation qualifies for certain grandfathered exceptions (including the “performance-based compensation” exception) for certain compensation paid pursuant to a written binding contract in effect on November 2, 2017, and not materially modified on or after such date.</w:t>
      </w:r>
    </w:p>
    <w:p>
      <w:pPr>
        <w:spacing w:after="0" w:line="7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Although our compensation committee will continue to consider tax implications as one factor in determining executive compensation, our compensation committee also looks at other factors in making its decisions and retains the flexibility to provide compensation for our named executive officers in a manner consistent with the goals of our executive compensation program and the best interests of our company and its stockholders, which may include providing for compensation that is not deductible by us due to the deduction limit under Section 162(m).</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64</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color w:val="852166"/>
        </w:rPr>
        <w:t>Risk Assessment Concerning Compensation Practices and Policies</w:t>
      </w:r>
    </w:p>
    <w:p>
      <w:pPr>
        <w:spacing w:after="0" w:line="127"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Our compensation committee periodically reviews our compensation policies and practices to assess whether they encourage employees to take inappropriate risks. Our compensation committee has determined that any risks arising from our compensation policies and practices for our employees are not reasonably likely to have a material adverse effect on us. Our compensation committee continues to believe that the mix and design of the elements of executive compensation do not encourage management to assume excessive risks, and significant compensation decisions, as well as decisions concerning the compensation of our executive officers, include subjective considerations by our compensation committee or our board, which restrain the influence of formulae or objective factors on excessive risk-taking. Additionally, significant weighting of long-term compensation (in the form of PSUs and RSUs) in each NEOs total compensation opportunity ensures greater focus on driving sustainable growth and shareholder value creation over the longer term, and the mix of short-term compensation (in the form of salary and annual bonus, if any), and long-term compensation (in the form of PSUs and RSUs) also minimizes undue focus on short-term results and helps align the interests of our executive officers with the interests of our shareholders. Finally, we maintain robust share ownership requirements, a formal incentive compensation clawback policy and a strict anti-hedging and pledging policy, which individually and collectively, act to minimize risk and ensure a long-term focus on our business.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Reconciliations of Non-GAAP Adjusted Net Income</w:t>
      </w:r>
    </w:p>
    <w:p>
      <w:pPr>
        <w:spacing w:after="0" w:line="127"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 this Compensation Discussion and Analysis, we present non-GAAP adjusted net income (and the related per share measure), which are non-GAAP financial measures that exclude from reported GAAP net income (loss) (and the related per share measure) certain items, as detailed in the reconciliation table that follows, and adjust for the income tax effect of the non-GAAP adjustments, as well as for the effect of the assumed conversion of our exchangeable senior notes.</w:t>
      </w:r>
    </w:p>
    <w:p>
      <w:pPr>
        <w:spacing w:after="0" w:line="69" w:lineRule="exact"/>
        <w:rPr>
          <w:sz w:val="20"/>
          <w:szCs w:val="20"/>
          <w:color w:val="auto"/>
        </w:rPr>
      </w:pPr>
    </w:p>
    <w:p>
      <w:pPr>
        <w:ind w:right="80"/>
        <w:spacing w:after="0" w:line="300" w:lineRule="auto"/>
        <w:rPr>
          <w:sz w:val="20"/>
          <w:szCs w:val="20"/>
          <w:color w:val="auto"/>
        </w:rPr>
      </w:pPr>
      <w:r>
        <w:rPr>
          <w:rFonts w:ascii="Arial" w:cs="Arial" w:eastAsia="Arial" w:hAnsi="Arial"/>
          <w:sz w:val="16"/>
          <w:szCs w:val="16"/>
          <w:color w:val="auto"/>
        </w:rPr>
        <w:t>We believe that each of these non-GAAP financial measures provides useful supplementary information to, and facilitates additional analysis by, investors and analysts. In particular, we believe that each of these non-GAAP financial measures, when considered together with our financial information prepared in accordance with GAAP, can enhance investors’ and analysts’ ability to meaningfully compare our results from period to period, and to identify operating trends in our business. In addition, these non-GAAP financial measures are regularly used by investors and analysts to model and track our financial performance. Our management also regularly uses these non-GAAP financial measures internally to understand, manage and evaluate our business and to make operating decisions. Because these non-GAAP financial measures are important internal measurements for our management, we also believe that these non-GAAP financial measures are useful to investors and analysts since these measures allow for greater transparency with respect to key financial metrics we use in assessing our own operating performance and making operating decisions.</w:t>
      </w:r>
    </w:p>
    <w:p>
      <w:pPr>
        <w:spacing w:after="0" w:line="77" w:lineRule="exact"/>
        <w:rPr>
          <w:sz w:val="20"/>
          <w:szCs w:val="20"/>
          <w:color w:val="auto"/>
        </w:rPr>
      </w:pPr>
    </w:p>
    <w:p>
      <w:pPr>
        <w:ind w:right="60"/>
        <w:spacing w:after="0" w:line="300" w:lineRule="auto"/>
        <w:rPr>
          <w:sz w:val="20"/>
          <w:szCs w:val="20"/>
          <w:color w:val="auto"/>
        </w:rPr>
      </w:pPr>
      <w:r>
        <w:rPr>
          <w:rFonts w:ascii="Arial" w:cs="Arial" w:eastAsia="Arial" w:hAnsi="Arial"/>
          <w:sz w:val="16"/>
          <w:szCs w:val="16"/>
          <w:color w:val="auto"/>
        </w:rPr>
        <w:t>These non-GAAP financial measures are not meant to be considered in isolation or as a substitute for comparable GAAP measures; should be read in conjunction with our consolidated financial statements prepared in accordance with GAAP; have no standardized meaning prescribed by GAAP; and are not prepared under any comprehensive set of accounting rules or principles. In addition, from time to time in the future there may be other items that we may exclude for purposes of our non-GAAP financial measures; and we have ceased, and may in the future cease, to exclude items that we have historically excluded for purposes of our non-GAAP financial measures. Likewise, we may determine to modify the nature of our adjustments to arrive at our non-GAAP financial measures. Because of the non-standardized definitions of non-GAAP financial measures, the non-GAAP financial measures as used by us in this Compensation Discussion and Analysis have limits in their usefulness to investors and may be calculated differently from, and therefore may not be directly comparable to, similarly titled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39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t>Reconciliations of GAAP reported net income (loss) to non-GAAP adjusted net income (and the related per share measures) for the 2022 and 2023 annual</w:t>
      </w:r>
    </w:p>
    <w:p>
      <w:pPr>
        <w:sectPr>
          <w:pgSz w:w="11900" w:h="16838" w:orient="portrait"/>
          <w:cols w:equalWidth="0" w:num="1">
            <w:col w:w="11240"/>
          </w:cols>
          <w:pgMar w:left="320" w:top="1070" w:right="339" w:bottom="1440" w:gutter="0" w:footer="0" w:header="0"/>
        </w:sectPr>
      </w:pP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periods are as follows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4457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GAAP reported</w:t>
      </w:r>
      <w:r>
        <w:rPr>
          <w:rFonts w:ascii="Arial" w:cs="Arial" w:eastAsia="Arial" w:hAnsi="Arial"/>
          <w:sz w:val="18"/>
          <w:szCs w:val="1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54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Intangible asset amortization</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46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Acquisition accounting inventory fair value step-up</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Restructuring and other costs</w:t>
      </w:r>
      <w:r>
        <w:rPr>
          <w:rFonts w:ascii="Arial" w:cs="Arial" w:eastAsia="Arial" w:hAnsi="Arial"/>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1797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Non-cash interest expense</w:t>
      </w:r>
      <w:r>
        <w:rPr>
          <w:rFonts w:ascii="Arial" w:cs="Arial" w:eastAsia="Arial" w:hAnsi="Arial"/>
          <w:sz w:val="18"/>
          <w:szCs w:val="18"/>
          <w:color w:val="auto"/>
          <w:vertAlign w:val="superscript"/>
        </w:rPr>
        <w:t>(3)</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Intangible asset impairment charge</w:t>
      </w:r>
      <w:r>
        <w:rPr>
          <w:rFonts w:ascii="Arial" w:cs="Arial" w:eastAsia="Arial" w:hAnsi="Arial"/>
          <w:sz w:val="18"/>
          <w:szCs w:val="18"/>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1803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Costs related to disposal of a business</w:t>
      </w:r>
      <w:r>
        <w:rPr>
          <w:rFonts w:ascii="Arial" w:cs="Arial" w:eastAsia="Arial" w:hAnsi="Arial"/>
          <w:sz w:val="18"/>
          <w:szCs w:val="18"/>
          <w:color w:val="auto"/>
          <w:vertAlign w:val="superscript"/>
        </w:rPr>
        <w:t>(5)</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Transaction and integration related expenses</w:t>
      </w:r>
      <w:r>
        <w:rPr>
          <w:rFonts w:ascii="Arial" w:cs="Arial" w:eastAsia="Arial" w:hAnsi="Arial"/>
          <w:sz w:val="18"/>
          <w:szCs w:val="18"/>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1454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Income tax effect of above adjustments</w:t>
      </w:r>
    </w:p>
    <w:p>
      <w:pPr>
        <w:spacing w:after="0" w:line="69" w:lineRule="exact"/>
        <w:rPr>
          <w:sz w:val="20"/>
          <w:szCs w:val="20"/>
          <w:color w:val="auto"/>
        </w:rPr>
      </w:pPr>
    </w:p>
    <w:p>
      <w:pPr>
        <w:ind w:left="100" w:right="1840" w:firstLine="324"/>
        <w:spacing w:after="0" w:line="343" w:lineRule="auto"/>
        <w:rPr>
          <w:sz w:val="20"/>
          <w:szCs w:val="20"/>
          <w:color w:val="auto"/>
        </w:rPr>
      </w:pPr>
      <w:r>
        <w:rPr>
          <w:rFonts w:ascii="Arial" w:cs="Arial" w:eastAsia="Arial" w:hAnsi="Arial"/>
          <w:sz w:val="14"/>
          <w:szCs w:val="14"/>
          <w:color w:val="auto"/>
        </w:rPr>
        <w:t>Effect of assumed conversion of Exchangeable Senior Notes Non-GAAP adjusted</w:t>
      </w:r>
      <w:r>
        <w:rPr>
          <w:rFonts w:ascii="Arial" w:cs="Arial" w:eastAsia="Arial" w:hAnsi="Arial"/>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803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4"/>
          <w:szCs w:val="14"/>
          <w:b w:val="1"/>
          <w:bCs w:val="1"/>
          <w:color w:val="auto"/>
        </w:rPr>
        <w:t>Weighted-average ordinary shares used in diluted per share calculations -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803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Dilutive effect of Exchangeable Senior Notes</w:t>
      </w:r>
      <w:r>
        <w:rPr>
          <w:rFonts w:ascii="Arial" w:cs="Arial" w:eastAsia="Arial" w:hAnsi="Arial"/>
          <w:sz w:val="18"/>
          <w:szCs w:val="18"/>
          <w:color w:val="auto"/>
          <w:vertAlign w:val="superscript"/>
        </w:rPr>
        <w:t>(1)</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Dilutive effect of employee equity incentive and purchase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97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Weighted-average ordinary shares used in diluted per share calculations - non-GAAP</w:t>
      </w:r>
      <w:r>
        <w:rPr>
          <w:rFonts w:ascii="Arial" w:cs="Arial" w:eastAsia="Arial" w:hAnsi="Arial"/>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44145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41452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Amounts may not total due to rounding.</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Explanation of Adjustments and Certain Line Items: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FFFFFF"/>
              </w:rPr>
              <w:t>2022</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FFFFFF"/>
              </w:rPr>
              <w:t>2023</w:t>
            </w:r>
          </w:p>
        </w:tc>
        <w:tc>
          <w:tcPr>
            <w:tcW w:w="940" w:type="dxa"/>
            <w:vAlign w:val="bottom"/>
          </w:tcPr>
          <w:p>
            <w:pPr>
              <w:spacing w:after="0"/>
              <w:rPr>
                <w:sz w:val="17"/>
                <w:szCs w:val="17"/>
                <w:color w:val="auto"/>
              </w:rPr>
            </w:pPr>
          </w:p>
        </w:tc>
      </w:tr>
      <w:tr>
        <w:trPr>
          <w:trHeight w:val="222"/>
        </w:trPr>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FFFFFF"/>
              </w:rPr>
              <w:t>Net Income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FFFFFF"/>
              </w:rPr>
              <w:t>Diluted</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4"/>
        </w:trPr>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FFFFFF"/>
              </w:rPr>
              <w:t>(Loss)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FFFFFF"/>
              </w:rPr>
              <w:t>EPS/(LPS)</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FFFFFF"/>
              </w:rPr>
              <w:t>Net Income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FFFFFF"/>
              </w:rPr>
              <w:t>Diluted EPS</w:t>
            </w:r>
          </w:p>
        </w:tc>
      </w:tr>
      <w:tr>
        <w:trPr>
          <w:trHeight w:val="62"/>
        </w:trPr>
        <w:tc>
          <w:tcPr>
            <w:tcW w:w="100" w:type="dxa"/>
            <w:vAlign w:val="bottom"/>
            <w:shd w:val="clear" w:color="auto" w:fill="852166"/>
          </w:tcPr>
          <w:p>
            <w:pPr>
              <w:spacing w:after="0"/>
              <w:rPr>
                <w:sz w:val="5"/>
                <w:szCs w:val="5"/>
                <w:color w:val="auto"/>
              </w:rPr>
            </w:pPr>
          </w:p>
        </w:tc>
        <w:tc>
          <w:tcPr>
            <w:tcW w:w="140" w:type="dxa"/>
            <w:vAlign w:val="bottom"/>
            <w:shd w:val="clear" w:color="auto" w:fill="852166"/>
          </w:tcPr>
          <w:p>
            <w:pPr>
              <w:spacing w:after="0"/>
              <w:rPr>
                <w:sz w:val="5"/>
                <w:szCs w:val="5"/>
                <w:color w:val="auto"/>
              </w:rPr>
            </w:pPr>
          </w:p>
        </w:tc>
        <w:tc>
          <w:tcPr>
            <w:tcW w:w="840" w:type="dxa"/>
            <w:vAlign w:val="bottom"/>
            <w:shd w:val="clear" w:color="auto" w:fill="852166"/>
          </w:tcPr>
          <w:p>
            <w:pPr>
              <w:spacing w:after="0"/>
              <w:rPr>
                <w:sz w:val="5"/>
                <w:szCs w:val="5"/>
                <w:color w:val="auto"/>
              </w:rPr>
            </w:pPr>
          </w:p>
        </w:tc>
        <w:tc>
          <w:tcPr>
            <w:tcW w:w="100" w:type="dxa"/>
            <w:vAlign w:val="bottom"/>
            <w:shd w:val="clear" w:color="auto" w:fill="852166"/>
          </w:tcPr>
          <w:p>
            <w:pPr>
              <w:spacing w:after="0"/>
              <w:rPr>
                <w:sz w:val="5"/>
                <w:szCs w:val="5"/>
                <w:color w:val="auto"/>
              </w:rPr>
            </w:pPr>
          </w:p>
        </w:tc>
        <w:tc>
          <w:tcPr>
            <w:tcW w:w="180" w:type="dxa"/>
            <w:vAlign w:val="bottom"/>
            <w:shd w:val="clear" w:color="auto" w:fill="852166"/>
          </w:tcPr>
          <w:p>
            <w:pPr>
              <w:spacing w:after="0"/>
              <w:rPr>
                <w:sz w:val="5"/>
                <w:szCs w:val="5"/>
                <w:color w:val="auto"/>
              </w:rPr>
            </w:pPr>
          </w:p>
        </w:tc>
        <w:tc>
          <w:tcPr>
            <w:tcW w:w="800" w:type="dxa"/>
            <w:vAlign w:val="bottom"/>
            <w:shd w:val="clear" w:color="auto" w:fill="852166"/>
          </w:tcPr>
          <w:p>
            <w:pPr>
              <w:spacing w:after="0"/>
              <w:rPr>
                <w:sz w:val="5"/>
                <w:szCs w:val="5"/>
                <w:color w:val="auto"/>
              </w:rPr>
            </w:pPr>
          </w:p>
        </w:tc>
        <w:tc>
          <w:tcPr>
            <w:tcW w:w="80" w:type="dxa"/>
            <w:vAlign w:val="bottom"/>
            <w:shd w:val="clear" w:color="auto" w:fill="852166"/>
          </w:tcPr>
          <w:p>
            <w:pPr>
              <w:spacing w:after="0"/>
              <w:rPr>
                <w:sz w:val="5"/>
                <w:szCs w:val="5"/>
                <w:color w:val="auto"/>
              </w:rPr>
            </w:pPr>
          </w:p>
        </w:tc>
        <w:tc>
          <w:tcPr>
            <w:tcW w:w="140" w:type="dxa"/>
            <w:vAlign w:val="bottom"/>
            <w:shd w:val="clear" w:color="auto" w:fill="852166"/>
          </w:tcPr>
          <w:p>
            <w:pPr>
              <w:spacing w:after="0"/>
              <w:rPr>
                <w:sz w:val="5"/>
                <w:szCs w:val="5"/>
                <w:color w:val="auto"/>
              </w:rPr>
            </w:pPr>
          </w:p>
        </w:tc>
        <w:tc>
          <w:tcPr>
            <w:tcW w:w="840" w:type="dxa"/>
            <w:vAlign w:val="bottom"/>
            <w:shd w:val="clear" w:color="auto" w:fill="852166"/>
          </w:tcPr>
          <w:p>
            <w:pPr>
              <w:spacing w:after="0"/>
              <w:rPr>
                <w:sz w:val="5"/>
                <w:szCs w:val="5"/>
                <w:color w:val="auto"/>
              </w:rPr>
            </w:pPr>
          </w:p>
        </w:tc>
        <w:tc>
          <w:tcPr>
            <w:tcW w:w="100" w:type="dxa"/>
            <w:vAlign w:val="bottom"/>
            <w:shd w:val="clear" w:color="auto" w:fill="852166"/>
          </w:tcPr>
          <w:p>
            <w:pPr>
              <w:spacing w:after="0"/>
              <w:rPr>
                <w:sz w:val="5"/>
                <w:szCs w:val="5"/>
                <w:color w:val="auto"/>
              </w:rPr>
            </w:pPr>
          </w:p>
        </w:tc>
        <w:tc>
          <w:tcPr>
            <w:tcW w:w="120" w:type="dxa"/>
            <w:vAlign w:val="bottom"/>
            <w:shd w:val="clear" w:color="auto" w:fill="852166"/>
          </w:tcPr>
          <w:p>
            <w:pPr>
              <w:spacing w:after="0"/>
              <w:rPr>
                <w:sz w:val="5"/>
                <w:szCs w:val="5"/>
                <w:color w:val="auto"/>
              </w:rPr>
            </w:pPr>
          </w:p>
        </w:tc>
        <w:tc>
          <w:tcPr>
            <w:tcW w:w="940" w:type="dxa"/>
            <w:vAlign w:val="bottom"/>
            <w:shd w:val="clear" w:color="auto" w:fill="852166"/>
          </w:tcPr>
          <w:p>
            <w:pPr>
              <w:spacing w:after="0"/>
              <w:rPr>
                <w:sz w:val="5"/>
                <w:szCs w:val="5"/>
                <w:color w:val="auto"/>
              </w:rPr>
            </w:pPr>
          </w:p>
        </w:tc>
      </w:tr>
      <w:tr>
        <w:trPr>
          <w:trHeight w:val="214"/>
        </w:trPr>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(224.1)</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(3.58)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414.8</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b w:val="1"/>
                <w:bCs w:val="1"/>
                <w:color w:val="auto"/>
              </w:rPr>
              <w:t>6.10</w:t>
            </w:r>
          </w:p>
        </w:tc>
      </w:tr>
      <w:tr>
        <w:trPr>
          <w:trHeight w:val="223"/>
        </w:trPr>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599.2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608.3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8.44</w:t>
            </w:r>
          </w:p>
        </w:tc>
      </w:tr>
      <w:tr>
        <w:trPr>
          <w:trHeight w:val="229"/>
        </w:trPr>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218.2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3.15</w:t>
            </w:r>
          </w:p>
        </w:tc>
      </w:tr>
      <w:tr>
        <w:trPr>
          <w:trHeight w:val="230"/>
        </w:trPr>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273.4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2.10</w:t>
            </w:r>
          </w:p>
        </w:tc>
      </w:tr>
      <w:tr>
        <w:trPr>
          <w:trHeight w:val="257"/>
        </w:trPr>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77.3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1.18</w:t>
            </w:r>
          </w:p>
        </w:tc>
      </w:tr>
      <w:tr>
        <w:trPr>
          <w:trHeight w:val="283"/>
        </w:trPr>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0.52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0.31</w:t>
            </w:r>
          </w:p>
        </w:tc>
      </w:tr>
      <w:tr>
        <w:trPr>
          <w:trHeight w:val="283"/>
        </w:trPr>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133.6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1.84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83"/>
        </w:trPr>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0.66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83"/>
        </w:trPr>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0.32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57"/>
        </w:trPr>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(253.3)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(213.2)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(2.95)</w:t>
            </w:r>
          </w:p>
        </w:tc>
      </w:tr>
      <w:tr>
        <w:trPr>
          <w:trHeight w:val="229"/>
        </w:trPr>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0.84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(0.04)</w:t>
            </w:r>
          </w:p>
        </w:tc>
      </w:tr>
      <w:tr>
        <w:trPr>
          <w:trHeight w:val="22"/>
        </w:trPr>
        <w:tc>
          <w:tcPr>
            <w:tcW w:w="100" w:type="dxa"/>
            <w:vAlign w:val="bottom"/>
          </w:tcPr>
          <w:p>
            <w:pPr>
              <w:spacing w:after="0" w:line="20" w:lineRule="exact"/>
              <w:rPr>
                <w:sz w:val="1"/>
                <w:szCs w:val="1"/>
                <w:color w:val="auto"/>
              </w:rPr>
            </w:pPr>
          </w:p>
        </w:tc>
        <w:tc>
          <w:tcPr>
            <w:tcW w:w="140" w:type="dxa"/>
            <w:vAlign w:val="bottom"/>
            <w:tcBorders>
              <w:bottom w:val="single" w:sz="8" w:color="852166"/>
            </w:tcBorders>
          </w:tcPr>
          <w:p>
            <w:pPr>
              <w:spacing w:after="0" w:line="20" w:lineRule="exact"/>
              <w:rPr>
                <w:sz w:val="1"/>
                <w:szCs w:val="1"/>
                <w:color w:val="auto"/>
              </w:rPr>
            </w:pPr>
          </w:p>
        </w:tc>
        <w:tc>
          <w:tcPr>
            <w:tcW w:w="840" w:type="dxa"/>
            <w:vAlign w:val="bottom"/>
            <w:tcBorders>
              <w:bottom w:val="single" w:sz="8" w:color="85216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852166"/>
            </w:tcBorders>
          </w:tcPr>
          <w:p>
            <w:pPr>
              <w:spacing w:after="0" w:line="20" w:lineRule="exact"/>
              <w:rPr>
                <w:sz w:val="1"/>
                <w:szCs w:val="1"/>
                <w:color w:val="auto"/>
              </w:rPr>
            </w:pPr>
          </w:p>
        </w:tc>
        <w:tc>
          <w:tcPr>
            <w:tcW w:w="800" w:type="dxa"/>
            <w:vAlign w:val="bottom"/>
            <w:tcBorders>
              <w:bottom w:val="single" w:sz="8" w:color="85216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852166"/>
            </w:tcBorders>
          </w:tcPr>
          <w:p>
            <w:pPr>
              <w:spacing w:after="0" w:line="20" w:lineRule="exact"/>
              <w:rPr>
                <w:sz w:val="1"/>
                <w:szCs w:val="1"/>
                <w:color w:val="auto"/>
              </w:rPr>
            </w:pPr>
          </w:p>
        </w:tc>
        <w:tc>
          <w:tcPr>
            <w:tcW w:w="840" w:type="dxa"/>
            <w:vAlign w:val="bottom"/>
            <w:tcBorders>
              <w:bottom w:val="single" w:sz="8" w:color="85216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852166"/>
            </w:tcBorders>
          </w:tcPr>
          <w:p>
            <w:pPr>
              <w:spacing w:after="0" w:line="20" w:lineRule="exact"/>
              <w:rPr>
                <w:sz w:val="1"/>
                <w:szCs w:val="1"/>
                <w:color w:val="auto"/>
              </w:rPr>
            </w:pPr>
          </w:p>
        </w:tc>
        <w:tc>
          <w:tcPr>
            <w:tcW w:w="940" w:type="dxa"/>
            <w:vAlign w:val="bottom"/>
            <w:tcBorders>
              <w:bottom w:val="single" w:sz="8" w:color="852166"/>
            </w:tcBorders>
          </w:tcPr>
          <w:p>
            <w:pPr>
              <w:spacing w:after="0" w:line="20" w:lineRule="exact"/>
              <w:rPr>
                <w:sz w:val="1"/>
                <w:szCs w:val="1"/>
                <w:color w:val="auto"/>
              </w:rPr>
            </w:pPr>
          </w:p>
        </w:tc>
      </w:tr>
      <w:tr>
        <w:trPr>
          <w:trHeight w:val="202"/>
        </w:trPr>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933.6</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13.20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1,295.8</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18.29</w:t>
            </w:r>
          </w:p>
        </w:tc>
      </w:tr>
      <w:tr>
        <w:trPr>
          <w:trHeight w:val="35"/>
        </w:trPr>
        <w:tc>
          <w:tcPr>
            <w:tcW w:w="100" w:type="dxa"/>
            <w:vAlign w:val="bottom"/>
          </w:tcPr>
          <w:p>
            <w:pPr>
              <w:spacing w:after="0"/>
              <w:rPr>
                <w:sz w:val="3"/>
                <w:szCs w:val="3"/>
                <w:color w:val="auto"/>
              </w:rPr>
            </w:pPr>
          </w:p>
        </w:tc>
        <w:tc>
          <w:tcPr>
            <w:tcW w:w="140" w:type="dxa"/>
            <w:vAlign w:val="bottom"/>
            <w:tcBorders>
              <w:bottom w:val="single" w:sz="8" w:color="852166"/>
            </w:tcBorders>
          </w:tcPr>
          <w:p>
            <w:pPr>
              <w:spacing w:after="0"/>
              <w:rPr>
                <w:sz w:val="3"/>
                <w:szCs w:val="3"/>
                <w:color w:val="auto"/>
              </w:rPr>
            </w:pPr>
          </w:p>
        </w:tc>
        <w:tc>
          <w:tcPr>
            <w:tcW w:w="840" w:type="dxa"/>
            <w:vAlign w:val="bottom"/>
            <w:tcBorders>
              <w:bottom w:val="single" w:sz="8" w:color="852166"/>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852166"/>
            </w:tcBorders>
          </w:tcPr>
          <w:p>
            <w:pPr>
              <w:spacing w:after="0"/>
              <w:rPr>
                <w:sz w:val="3"/>
                <w:szCs w:val="3"/>
                <w:color w:val="auto"/>
              </w:rPr>
            </w:pPr>
          </w:p>
        </w:tc>
        <w:tc>
          <w:tcPr>
            <w:tcW w:w="800" w:type="dxa"/>
            <w:vAlign w:val="bottom"/>
            <w:tcBorders>
              <w:bottom w:val="single" w:sz="8" w:color="852166"/>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852166"/>
            </w:tcBorders>
          </w:tcPr>
          <w:p>
            <w:pPr>
              <w:spacing w:after="0"/>
              <w:rPr>
                <w:sz w:val="3"/>
                <w:szCs w:val="3"/>
                <w:color w:val="auto"/>
              </w:rPr>
            </w:pPr>
          </w:p>
        </w:tc>
        <w:tc>
          <w:tcPr>
            <w:tcW w:w="840" w:type="dxa"/>
            <w:vAlign w:val="bottom"/>
            <w:tcBorders>
              <w:bottom w:val="single" w:sz="8" w:color="852166"/>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852166"/>
            </w:tcBorders>
          </w:tcPr>
          <w:p>
            <w:pPr>
              <w:spacing w:after="0"/>
              <w:rPr>
                <w:sz w:val="3"/>
                <w:szCs w:val="3"/>
                <w:color w:val="auto"/>
              </w:rPr>
            </w:pPr>
          </w:p>
        </w:tc>
        <w:tc>
          <w:tcPr>
            <w:tcW w:w="940" w:type="dxa"/>
            <w:vAlign w:val="bottom"/>
            <w:tcBorders>
              <w:bottom w:val="single" w:sz="8" w:color="852166"/>
            </w:tcBorders>
          </w:tcPr>
          <w:p>
            <w:pPr>
              <w:spacing w:after="0"/>
              <w:rPr>
                <w:sz w:val="3"/>
                <w:szCs w:val="3"/>
                <w:color w:val="auto"/>
              </w:rPr>
            </w:pPr>
          </w:p>
        </w:tc>
      </w:tr>
      <w:tr>
        <w:trPr>
          <w:trHeight w:val="21"/>
        </w:trPr>
        <w:tc>
          <w:tcPr>
            <w:tcW w:w="100" w:type="dxa"/>
            <w:vAlign w:val="bottom"/>
          </w:tcPr>
          <w:p>
            <w:pPr>
              <w:spacing w:after="0" w:line="20" w:lineRule="exact"/>
              <w:rPr>
                <w:sz w:val="1"/>
                <w:szCs w:val="1"/>
                <w:color w:val="auto"/>
              </w:rPr>
            </w:pPr>
          </w:p>
        </w:tc>
        <w:tc>
          <w:tcPr>
            <w:tcW w:w="140" w:type="dxa"/>
            <w:vAlign w:val="bottom"/>
            <w:tcBorders>
              <w:bottom w:val="single" w:sz="8" w:color="852166"/>
            </w:tcBorders>
          </w:tcPr>
          <w:p>
            <w:pPr>
              <w:spacing w:after="0" w:line="20" w:lineRule="exact"/>
              <w:rPr>
                <w:sz w:val="1"/>
                <w:szCs w:val="1"/>
                <w:color w:val="auto"/>
              </w:rPr>
            </w:pPr>
          </w:p>
        </w:tc>
        <w:tc>
          <w:tcPr>
            <w:tcW w:w="840" w:type="dxa"/>
            <w:vAlign w:val="bottom"/>
            <w:tcBorders>
              <w:bottom w:val="single" w:sz="8" w:color="85216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852166"/>
            </w:tcBorders>
          </w:tcPr>
          <w:p>
            <w:pPr>
              <w:spacing w:after="0" w:line="20" w:lineRule="exact"/>
              <w:rPr>
                <w:sz w:val="1"/>
                <w:szCs w:val="1"/>
                <w:color w:val="auto"/>
              </w:rPr>
            </w:pPr>
          </w:p>
        </w:tc>
        <w:tc>
          <w:tcPr>
            <w:tcW w:w="800" w:type="dxa"/>
            <w:vAlign w:val="bottom"/>
            <w:tcBorders>
              <w:bottom w:val="single" w:sz="8" w:color="85216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852166"/>
            </w:tcBorders>
          </w:tcPr>
          <w:p>
            <w:pPr>
              <w:spacing w:after="0" w:line="20" w:lineRule="exact"/>
              <w:rPr>
                <w:sz w:val="1"/>
                <w:szCs w:val="1"/>
                <w:color w:val="auto"/>
              </w:rPr>
            </w:pPr>
          </w:p>
        </w:tc>
        <w:tc>
          <w:tcPr>
            <w:tcW w:w="840" w:type="dxa"/>
            <w:vAlign w:val="bottom"/>
            <w:tcBorders>
              <w:bottom w:val="single" w:sz="8" w:color="85216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852166"/>
            </w:tcBorders>
          </w:tcPr>
          <w:p>
            <w:pPr>
              <w:spacing w:after="0" w:line="20" w:lineRule="exact"/>
              <w:rPr>
                <w:sz w:val="1"/>
                <w:szCs w:val="1"/>
                <w:color w:val="auto"/>
              </w:rPr>
            </w:pPr>
          </w:p>
        </w:tc>
        <w:tc>
          <w:tcPr>
            <w:tcW w:w="940" w:type="dxa"/>
            <w:vAlign w:val="bottom"/>
            <w:tcBorders>
              <w:bottom w:val="single" w:sz="8" w:color="852166"/>
            </w:tcBorders>
          </w:tcPr>
          <w:p>
            <w:pPr>
              <w:spacing w:after="0" w:line="20" w:lineRule="exact"/>
              <w:rPr>
                <w:sz w:val="1"/>
                <w:szCs w:val="1"/>
                <w:color w:val="auto"/>
              </w:rPr>
            </w:pPr>
          </w:p>
        </w:tc>
      </w:tr>
      <w:tr>
        <w:trPr>
          <w:trHeight w:val="207"/>
        </w:trPr>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62.5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72.1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1"/>
        </w:trPr>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7"/>
        </w:trPr>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
        </w:trPr>
        <w:tc>
          <w:tcPr>
            <w:tcW w:w="100" w:type="dxa"/>
            <w:vAlign w:val="bottom"/>
          </w:tcPr>
          <w:p>
            <w:pPr>
              <w:spacing w:after="0" w:line="20" w:lineRule="exact"/>
              <w:rPr>
                <w:sz w:val="1"/>
                <w:szCs w:val="1"/>
                <w:color w:val="auto"/>
              </w:rPr>
            </w:pPr>
          </w:p>
        </w:tc>
        <w:tc>
          <w:tcPr>
            <w:tcW w:w="140" w:type="dxa"/>
            <w:vAlign w:val="bottom"/>
            <w:tcBorders>
              <w:bottom w:val="single" w:sz="8" w:color="852166"/>
            </w:tcBorders>
          </w:tcPr>
          <w:p>
            <w:pPr>
              <w:spacing w:after="0" w:line="20" w:lineRule="exact"/>
              <w:rPr>
                <w:sz w:val="1"/>
                <w:szCs w:val="1"/>
                <w:color w:val="auto"/>
              </w:rPr>
            </w:pPr>
          </w:p>
        </w:tc>
        <w:tc>
          <w:tcPr>
            <w:tcW w:w="840" w:type="dxa"/>
            <w:vAlign w:val="bottom"/>
            <w:tcBorders>
              <w:bottom w:val="single" w:sz="8" w:color="85216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852166"/>
            </w:tcBorders>
          </w:tcPr>
          <w:p>
            <w:pPr>
              <w:spacing w:after="0" w:line="20" w:lineRule="exact"/>
              <w:rPr>
                <w:sz w:val="1"/>
                <w:szCs w:val="1"/>
                <w:color w:val="auto"/>
              </w:rPr>
            </w:pPr>
          </w:p>
        </w:tc>
        <w:tc>
          <w:tcPr>
            <w:tcW w:w="840" w:type="dxa"/>
            <w:vAlign w:val="bottom"/>
            <w:tcBorders>
              <w:bottom w:val="single" w:sz="8" w:color="85216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2"/>
        </w:trPr>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5"/>
        </w:trPr>
        <w:tc>
          <w:tcPr>
            <w:tcW w:w="100" w:type="dxa"/>
            <w:vAlign w:val="bottom"/>
          </w:tcPr>
          <w:p>
            <w:pPr>
              <w:spacing w:after="0"/>
              <w:rPr>
                <w:sz w:val="3"/>
                <w:szCs w:val="3"/>
                <w:color w:val="auto"/>
              </w:rPr>
            </w:pPr>
          </w:p>
        </w:tc>
        <w:tc>
          <w:tcPr>
            <w:tcW w:w="140" w:type="dxa"/>
            <w:vAlign w:val="bottom"/>
            <w:tcBorders>
              <w:bottom w:val="single" w:sz="8" w:color="852166"/>
            </w:tcBorders>
          </w:tcPr>
          <w:p>
            <w:pPr>
              <w:spacing w:after="0"/>
              <w:rPr>
                <w:sz w:val="3"/>
                <w:szCs w:val="3"/>
                <w:color w:val="auto"/>
              </w:rPr>
            </w:pPr>
          </w:p>
        </w:tc>
        <w:tc>
          <w:tcPr>
            <w:tcW w:w="840" w:type="dxa"/>
            <w:vAlign w:val="bottom"/>
            <w:tcBorders>
              <w:bottom w:val="single" w:sz="8" w:color="852166"/>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852166"/>
            </w:tcBorders>
          </w:tcPr>
          <w:p>
            <w:pPr>
              <w:spacing w:after="0"/>
              <w:rPr>
                <w:sz w:val="3"/>
                <w:szCs w:val="3"/>
                <w:color w:val="auto"/>
              </w:rPr>
            </w:pPr>
          </w:p>
        </w:tc>
        <w:tc>
          <w:tcPr>
            <w:tcW w:w="840" w:type="dxa"/>
            <w:vAlign w:val="bottom"/>
            <w:tcBorders>
              <w:bottom w:val="single" w:sz="8" w:color="852166"/>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0"/>
        </w:trPr>
        <w:tc>
          <w:tcPr>
            <w:tcW w:w="100" w:type="dxa"/>
            <w:vAlign w:val="bottom"/>
          </w:tcPr>
          <w:p>
            <w:pPr>
              <w:spacing w:after="0" w:line="20" w:lineRule="exact"/>
              <w:rPr>
                <w:sz w:val="1"/>
                <w:szCs w:val="1"/>
                <w:color w:val="auto"/>
              </w:rPr>
            </w:pPr>
          </w:p>
        </w:tc>
        <w:tc>
          <w:tcPr>
            <w:tcW w:w="140" w:type="dxa"/>
            <w:vAlign w:val="bottom"/>
            <w:tcBorders>
              <w:bottom w:val="single" w:sz="8" w:color="852166"/>
            </w:tcBorders>
          </w:tcPr>
          <w:p>
            <w:pPr>
              <w:spacing w:after="0" w:line="20" w:lineRule="exact"/>
              <w:rPr>
                <w:sz w:val="1"/>
                <w:szCs w:val="1"/>
                <w:color w:val="auto"/>
              </w:rPr>
            </w:pPr>
          </w:p>
        </w:tc>
        <w:tc>
          <w:tcPr>
            <w:tcW w:w="840" w:type="dxa"/>
            <w:vAlign w:val="bottom"/>
            <w:tcBorders>
              <w:bottom w:val="single" w:sz="8" w:color="852166"/>
            </w:tcBorders>
          </w:tcPr>
          <w:p>
            <w:pPr>
              <w:spacing w:after="0" w:line="20" w:lineRule="exact"/>
              <w:rPr>
                <w:sz w:val="1"/>
                <w:szCs w:val="1"/>
                <w:color w:val="auto"/>
              </w:rPr>
            </w:pPr>
          </w:p>
        </w:tc>
        <w:tc>
          <w:tcPr>
            <w:tcW w:w="100" w:type="dxa"/>
            <w:vAlign w:val="bottom"/>
            <w:tcBorders>
              <w:bottom w:val="single" w:sz="8" w:color="852166"/>
            </w:tcBorders>
          </w:tcPr>
          <w:p>
            <w:pPr>
              <w:spacing w:after="0" w:line="20" w:lineRule="exact"/>
              <w:rPr>
                <w:sz w:val="1"/>
                <w:szCs w:val="1"/>
                <w:color w:val="auto"/>
              </w:rPr>
            </w:pPr>
          </w:p>
        </w:tc>
        <w:tc>
          <w:tcPr>
            <w:tcW w:w="180" w:type="dxa"/>
            <w:vAlign w:val="bottom"/>
            <w:tcBorders>
              <w:bottom w:val="single" w:sz="8" w:color="852166"/>
            </w:tcBorders>
          </w:tcPr>
          <w:p>
            <w:pPr>
              <w:spacing w:after="0" w:line="20" w:lineRule="exact"/>
              <w:rPr>
                <w:sz w:val="1"/>
                <w:szCs w:val="1"/>
                <w:color w:val="auto"/>
              </w:rPr>
            </w:pPr>
          </w:p>
        </w:tc>
        <w:tc>
          <w:tcPr>
            <w:tcW w:w="800" w:type="dxa"/>
            <w:vAlign w:val="bottom"/>
            <w:tcBorders>
              <w:bottom w:val="single" w:sz="8" w:color="852166"/>
            </w:tcBorders>
          </w:tcPr>
          <w:p>
            <w:pPr>
              <w:spacing w:after="0" w:line="20" w:lineRule="exact"/>
              <w:rPr>
                <w:sz w:val="1"/>
                <w:szCs w:val="1"/>
                <w:color w:val="auto"/>
              </w:rPr>
            </w:pPr>
          </w:p>
        </w:tc>
        <w:tc>
          <w:tcPr>
            <w:tcW w:w="80" w:type="dxa"/>
            <w:vAlign w:val="bottom"/>
            <w:tcBorders>
              <w:bottom w:val="single" w:sz="8" w:color="852166"/>
            </w:tcBorders>
          </w:tcPr>
          <w:p>
            <w:pPr>
              <w:spacing w:after="0" w:line="20" w:lineRule="exact"/>
              <w:rPr>
                <w:sz w:val="1"/>
                <w:szCs w:val="1"/>
                <w:color w:val="auto"/>
              </w:rPr>
            </w:pPr>
          </w:p>
        </w:tc>
        <w:tc>
          <w:tcPr>
            <w:tcW w:w="140" w:type="dxa"/>
            <w:vAlign w:val="bottom"/>
            <w:tcBorders>
              <w:bottom w:val="single" w:sz="8" w:color="852166"/>
            </w:tcBorders>
          </w:tcPr>
          <w:p>
            <w:pPr>
              <w:spacing w:after="0" w:line="20" w:lineRule="exact"/>
              <w:rPr>
                <w:sz w:val="1"/>
                <w:szCs w:val="1"/>
                <w:color w:val="auto"/>
              </w:rPr>
            </w:pPr>
          </w:p>
        </w:tc>
        <w:tc>
          <w:tcPr>
            <w:tcW w:w="840" w:type="dxa"/>
            <w:vAlign w:val="bottom"/>
            <w:tcBorders>
              <w:bottom w:val="single" w:sz="8" w:color="852166"/>
            </w:tcBorders>
          </w:tcPr>
          <w:p>
            <w:pPr>
              <w:spacing w:after="0" w:line="20" w:lineRule="exact"/>
              <w:rPr>
                <w:sz w:val="1"/>
                <w:szCs w:val="1"/>
                <w:color w:val="auto"/>
              </w:rPr>
            </w:pPr>
          </w:p>
        </w:tc>
        <w:tc>
          <w:tcPr>
            <w:tcW w:w="100" w:type="dxa"/>
            <w:vAlign w:val="bottom"/>
            <w:tcBorders>
              <w:bottom w:val="single" w:sz="8" w:color="852166"/>
            </w:tcBorders>
          </w:tcPr>
          <w:p>
            <w:pPr>
              <w:spacing w:after="0" w:line="20" w:lineRule="exact"/>
              <w:rPr>
                <w:sz w:val="1"/>
                <w:szCs w:val="1"/>
                <w:color w:val="auto"/>
              </w:rPr>
            </w:pPr>
          </w:p>
        </w:tc>
        <w:tc>
          <w:tcPr>
            <w:tcW w:w="120" w:type="dxa"/>
            <w:vAlign w:val="bottom"/>
            <w:tcBorders>
              <w:bottom w:val="single" w:sz="8" w:color="852166"/>
            </w:tcBorders>
          </w:tcPr>
          <w:p>
            <w:pPr>
              <w:spacing w:after="0" w:line="20" w:lineRule="exact"/>
              <w:rPr>
                <w:sz w:val="1"/>
                <w:szCs w:val="1"/>
                <w:color w:val="auto"/>
              </w:rPr>
            </w:pPr>
          </w:p>
        </w:tc>
        <w:tc>
          <w:tcPr>
            <w:tcW w:w="940" w:type="dxa"/>
            <w:vAlign w:val="bottom"/>
            <w:tcBorders>
              <w:bottom w:val="single" w:sz="8" w:color="852166"/>
            </w:tcBorders>
          </w:tcPr>
          <w:p>
            <w:pPr>
              <w:spacing w:after="0" w:line="20" w:lineRule="exact"/>
              <w:rPr>
                <w:sz w:val="1"/>
                <w:szCs w:val="1"/>
                <w:color w:val="auto"/>
              </w:rPr>
            </w:pPr>
          </w:p>
        </w:tc>
      </w:tr>
    </w:tbl>
    <w:p>
      <w:pPr>
        <w:spacing w:after="0" w:line="612" w:lineRule="exact"/>
        <w:rPr>
          <w:sz w:val="20"/>
          <w:szCs w:val="20"/>
          <w:color w:val="auto"/>
        </w:rPr>
      </w:pPr>
    </w:p>
    <w:p>
      <w:pPr>
        <w:sectPr>
          <w:pgSz w:w="11900" w:h="16838" w:orient="portrait"/>
          <w:cols w:equalWidth="0" w:num="2">
            <w:col w:w="6140" w:space="720"/>
            <w:col w:w="4380"/>
          </w:cols>
          <w:pgMar w:left="320" w:top="1070" w:right="339" w:bottom="1440" w:gutter="0" w:footer="0" w:header="0"/>
          <w:type w:val="continuous"/>
        </w:sectPr>
      </w:pPr>
    </w:p>
    <w:p>
      <w:pPr>
        <w:ind w:left="340" w:hanging="332"/>
        <w:spacing w:after="0" w:line="284" w:lineRule="auto"/>
        <w:tabs>
          <w:tab w:leader="none" w:pos="327" w:val="left"/>
        </w:tabs>
        <w:numPr>
          <w:ilvl w:val="0"/>
          <w:numId w:val="71"/>
        </w:numPr>
        <w:rPr>
          <w:rFonts w:ascii="Arial" w:cs="Arial" w:eastAsia="Arial" w:hAnsi="Arial"/>
          <w:sz w:val="14"/>
          <w:szCs w:val="14"/>
          <w:color w:val="auto"/>
        </w:rPr>
      </w:pPr>
      <w:r>
        <w:rPr>
          <w:rFonts w:ascii="Arial" w:cs="Arial" w:eastAsia="Arial" w:hAnsi="Arial"/>
          <w:sz w:val="14"/>
          <w:szCs w:val="14"/>
          <w:color w:val="auto"/>
        </w:rPr>
        <w:t>Diluted EPS was calculated using the “if-converted” method in relation to the 1.50% exchangeable senior notes due 2024, or the 2024 Notes, and the exchangeable senior notes due 2026, or the 2026 Notes, which we refer to collectively as the Exchangeable Senior Notes. In August 2023, we made an irrevocable election to fix the settlement method for exchanges of the 2024 Notes to a combination of cash and our ordinary shares with a specified cash amount per $1,000 principal amount of the 2024 Notes of $1,000. As a result, the assumed issuance of ordinary shares upon exchange of the 2024 Notes has only been included in the calculation of diluted net income per ordinary share, on a GAAP and on a non-GAAP adjusted basis, in the year ended December 31, 2023 up to the date the irrevocable election was made. GAAP reported and non-GAAP adjusted net income per diluted share for the year ended December 31, 2023 included 8.0 million shares related to the assumed conversion of the Exchangeable Senior Notes and the associated interest expense add-back to net income of $24.9 million and $22.2 million, on a GAAP and on a Non-GAAP adjusted basis, respectively. There was no impact on GAAP reported net loss per diluted share for the year ended December 31, 2022, as the Exchangeable Senior Notes were anti-dilutive. Non-GAAP adjusted net income per diluted share for the year ended December 31, 2022 included 9.0 million shares related to the assumed conversion of the Exchangeable Senior Notes and the associated interest expense add-back to non-GAAP adjusted net income of $25.2 million.</w:t>
      </w:r>
    </w:p>
    <w:p>
      <w:pPr>
        <w:spacing w:after="0" w:line="25" w:lineRule="exact"/>
        <w:rPr>
          <w:rFonts w:ascii="Arial" w:cs="Arial" w:eastAsia="Arial" w:hAnsi="Arial"/>
          <w:sz w:val="14"/>
          <w:szCs w:val="14"/>
          <w:color w:val="auto"/>
        </w:rPr>
      </w:pPr>
    </w:p>
    <w:p>
      <w:pPr>
        <w:ind w:left="320" w:hanging="312"/>
        <w:spacing w:after="0"/>
        <w:tabs>
          <w:tab w:leader="none" w:pos="3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Includes costs related to the impairment of facility assets, program terminations and restructuring.</w:t>
      </w:r>
    </w:p>
    <w:p>
      <w:pPr>
        <w:spacing w:after="0" w:line="82" w:lineRule="exact"/>
        <w:rPr>
          <w:rFonts w:ascii="Arial" w:cs="Arial" w:eastAsia="Arial" w:hAnsi="Arial"/>
          <w:sz w:val="14"/>
          <w:szCs w:val="14"/>
          <w:color w:val="auto"/>
        </w:rPr>
      </w:pPr>
    </w:p>
    <w:p>
      <w:pPr>
        <w:ind w:left="320" w:hanging="312"/>
        <w:spacing w:after="0"/>
        <w:tabs>
          <w:tab w:leader="none" w:pos="3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Non-cash interest expense associated with debt issuance costs.</w:t>
      </w:r>
    </w:p>
    <w:p>
      <w:pPr>
        <w:spacing w:after="0" w:line="82" w:lineRule="exact"/>
        <w:rPr>
          <w:rFonts w:ascii="Arial" w:cs="Arial" w:eastAsia="Arial" w:hAnsi="Arial"/>
          <w:sz w:val="14"/>
          <w:szCs w:val="14"/>
          <w:color w:val="auto"/>
        </w:rPr>
      </w:pPr>
    </w:p>
    <w:p>
      <w:pPr>
        <w:ind w:left="320" w:hanging="312"/>
        <w:spacing w:after="0"/>
        <w:tabs>
          <w:tab w:leader="none" w:pos="3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Intangible asset impairment charge related to the IPR&amp;D asset impairment following the discontinuation of our nabiximols program.</w:t>
      </w:r>
    </w:p>
    <w:p>
      <w:pPr>
        <w:spacing w:after="0" w:line="82" w:lineRule="exact"/>
        <w:rPr>
          <w:rFonts w:ascii="Arial" w:cs="Arial" w:eastAsia="Arial" w:hAnsi="Arial"/>
          <w:sz w:val="14"/>
          <w:szCs w:val="14"/>
          <w:color w:val="auto"/>
        </w:rPr>
      </w:pPr>
    </w:p>
    <w:p>
      <w:pPr>
        <w:ind w:left="320" w:hanging="312"/>
        <w:spacing w:after="0"/>
        <w:tabs>
          <w:tab w:leader="none" w:pos="3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Loss on disposal of Sunosi to Axsome Therapeutics Inc. and associated costs.</w:t>
      </w:r>
    </w:p>
    <w:p>
      <w:pPr>
        <w:spacing w:after="0" w:line="68" w:lineRule="exact"/>
        <w:rPr>
          <w:rFonts w:ascii="Arial" w:cs="Arial" w:eastAsia="Arial" w:hAnsi="Arial"/>
          <w:sz w:val="14"/>
          <w:szCs w:val="14"/>
          <w:color w:val="auto"/>
        </w:rPr>
      </w:pPr>
    </w:p>
    <w:p>
      <w:pPr>
        <w:ind w:left="320" w:hanging="312"/>
        <w:spacing w:after="0"/>
        <w:tabs>
          <w:tab w:leader="none" w:pos="3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Transaction and integration expenses related to the acquisition of GW Pharmaceuticals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66</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20"/>
          <w:szCs w:val="20"/>
          <w:b w:val="1"/>
          <w:bCs w:val="1"/>
          <w:color w:val="852166"/>
        </w:rPr>
        <w:t>Summary of Compensation</w:t>
      </w:r>
    </w:p>
    <w:p>
      <w:pPr>
        <w:spacing w:after="0" w:line="131" w:lineRule="exact"/>
        <w:rPr>
          <w:sz w:val="20"/>
          <w:szCs w:val="20"/>
          <w:color w:val="auto"/>
        </w:rPr>
      </w:pPr>
    </w:p>
    <w:p>
      <w:pPr>
        <w:ind w:right="160"/>
        <w:spacing w:after="0" w:line="339" w:lineRule="auto"/>
        <w:rPr>
          <w:sz w:val="20"/>
          <w:szCs w:val="20"/>
          <w:color w:val="auto"/>
        </w:rPr>
      </w:pPr>
      <w:r>
        <w:rPr>
          <w:rFonts w:ascii="Arial" w:cs="Arial" w:eastAsia="Arial" w:hAnsi="Arial"/>
          <w:sz w:val="16"/>
          <w:szCs w:val="16"/>
          <w:color w:val="auto"/>
        </w:rPr>
        <w:t>The following table sets forth certain summary information for the years indicated with respect to the compensation earned by the NEOs during fiscal years 2023, 2022 and 2021, as applicable.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 w:type="dxa"/>
            <w:vAlign w:val="bottom"/>
            <w:shd w:val="clear" w:color="auto" w:fill="852166"/>
          </w:tcPr>
          <w:p>
            <w:pPr>
              <w:spacing w:after="0"/>
              <w:rPr>
                <w:sz w:val="15"/>
                <w:szCs w:val="15"/>
                <w:color w:val="auto"/>
              </w:rPr>
            </w:pPr>
          </w:p>
        </w:tc>
        <w:tc>
          <w:tcPr>
            <w:tcW w:w="4020" w:type="dxa"/>
            <w:vAlign w:val="bottom"/>
            <w:shd w:val="clear" w:color="auto" w:fill="852166"/>
          </w:tcPr>
          <w:p>
            <w:pPr>
              <w:spacing w:after="0"/>
              <w:rPr>
                <w:sz w:val="15"/>
                <w:szCs w:val="15"/>
                <w:color w:val="auto"/>
              </w:rPr>
            </w:pPr>
          </w:p>
        </w:tc>
        <w:tc>
          <w:tcPr>
            <w:tcW w:w="720" w:type="dxa"/>
            <w:vAlign w:val="bottom"/>
            <w:shd w:val="clear" w:color="auto" w:fill="852166"/>
          </w:tcPr>
          <w:p>
            <w:pPr>
              <w:spacing w:after="0"/>
              <w:rPr>
                <w:sz w:val="15"/>
                <w:szCs w:val="15"/>
                <w:color w:val="auto"/>
              </w:rPr>
            </w:pPr>
          </w:p>
        </w:tc>
        <w:tc>
          <w:tcPr>
            <w:tcW w:w="1080" w:type="dxa"/>
            <w:vAlign w:val="bottom"/>
            <w:shd w:val="clear" w:color="auto" w:fill="852166"/>
          </w:tcPr>
          <w:p>
            <w:pPr>
              <w:spacing w:after="0"/>
              <w:rPr>
                <w:sz w:val="15"/>
                <w:szCs w:val="15"/>
                <w:color w:val="auto"/>
              </w:rPr>
            </w:pPr>
          </w:p>
        </w:tc>
        <w:tc>
          <w:tcPr>
            <w:tcW w:w="1360" w:type="dxa"/>
            <w:vAlign w:val="bottom"/>
            <w:shd w:val="clear" w:color="auto" w:fill="852166"/>
          </w:tcPr>
          <w:p>
            <w:pPr>
              <w:spacing w:after="0"/>
              <w:rPr>
                <w:sz w:val="15"/>
                <w:szCs w:val="15"/>
                <w:color w:val="auto"/>
              </w:rPr>
            </w:pPr>
          </w:p>
        </w:tc>
        <w:tc>
          <w:tcPr>
            <w:tcW w:w="1440" w:type="dxa"/>
            <w:vAlign w:val="bottom"/>
            <w:shd w:val="clear" w:color="auto" w:fill="852166"/>
          </w:tcPr>
          <w:p>
            <w:pPr>
              <w:jc w:val="right"/>
              <w:ind w:right="169"/>
              <w:spacing w:after="0"/>
              <w:rPr>
                <w:sz w:val="20"/>
                <w:szCs w:val="20"/>
                <w:color w:val="auto"/>
              </w:rPr>
            </w:pPr>
            <w:r>
              <w:rPr>
                <w:rFonts w:ascii="Arial" w:cs="Arial" w:eastAsia="Arial" w:hAnsi="Arial"/>
                <w:sz w:val="14"/>
                <w:szCs w:val="14"/>
                <w:b w:val="1"/>
                <w:bCs w:val="1"/>
                <w:color w:val="FFFFFF"/>
              </w:rPr>
              <w:t>Non-Equity</w:t>
            </w:r>
          </w:p>
        </w:tc>
        <w:tc>
          <w:tcPr>
            <w:tcW w:w="1460" w:type="dxa"/>
            <w:vAlign w:val="bottom"/>
            <w:shd w:val="clear" w:color="auto" w:fill="852166"/>
          </w:tcPr>
          <w:p>
            <w:pPr>
              <w:spacing w:after="0"/>
              <w:rPr>
                <w:sz w:val="15"/>
                <w:szCs w:val="15"/>
                <w:color w:val="auto"/>
              </w:rPr>
            </w:pPr>
          </w:p>
        </w:tc>
        <w:tc>
          <w:tcPr>
            <w:tcW w:w="1080" w:type="dxa"/>
            <w:vAlign w:val="bottom"/>
            <w:shd w:val="clear" w:color="auto" w:fill="852166"/>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 w:type="dxa"/>
            <w:vAlign w:val="bottom"/>
            <w:shd w:val="clear" w:color="auto" w:fill="852166"/>
          </w:tcPr>
          <w:p>
            <w:pPr>
              <w:spacing w:after="0"/>
              <w:rPr>
                <w:sz w:val="15"/>
                <w:szCs w:val="15"/>
                <w:color w:val="auto"/>
              </w:rPr>
            </w:pPr>
          </w:p>
        </w:tc>
        <w:tc>
          <w:tcPr>
            <w:tcW w:w="4020" w:type="dxa"/>
            <w:vAlign w:val="bottom"/>
            <w:shd w:val="clear" w:color="auto" w:fill="852166"/>
          </w:tcPr>
          <w:p>
            <w:pPr>
              <w:spacing w:after="0"/>
              <w:rPr>
                <w:sz w:val="15"/>
                <w:szCs w:val="15"/>
                <w:color w:val="auto"/>
              </w:rPr>
            </w:pPr>
          </w:p>
        </w:tc>
        <w:tc>
          <w:tcPr>
            <w:tcW w:w="720" w:type="dxa"/>
            <w:vAlign w:val="bottom"/>
            <w:shd w:val="clear" w:color="auto" w:fill="852166"/>
          </w:tcPr>
          <w:p>
            <w:pPr>
              <w:spacing w:after="0"/>
              <w:rPr>
                <w:sz w:val="15"/>
                <w:szCs w:val="15"/>
                <w:color w:val="auto"/>
              </w:rPr>
            </w:pPr>
          </w:p>
        </w:tc>
        <w:tc>
          <w:tcPr>
            <w:tcW w:w="1080" w:type="dxa"/>
            <w:vAlign w:val="bottom"/>
            <w:shd w:val="clear" w:color="auto" w:fill="852166"/>
          </w:tcPr>
          <w:p>
            <w:pPr>
              <w:spacing w:after="0"/>
              <w:rPr>
                <w:sz w:val="15"/>
                <w:szCs w:val="15"/>
                <w:color w:val="auto"/>
              </w:rPr>
            </w:pPr>
          </w:p>
        </w:tc>
        <w:tc>
          <w:tcPr>
            <w:tcW w:w="1360" w:type="dxa"/>
            <w:vAlign w:val="bottom"/>
            <w:shd w:val="clear" w:color="auto" w:fill="852166"/>
          </w:tcPr>
          <w:p>
            <w:pPr>
              <w:jc w:val="right"/>
              <w:ind w:right="128"/>
              <w:spacing w:after="0"/>
              <w:rPr>
                <w:sz w:val="20"/>
                <w:szCs w:val="20"/>
                <w:color w:val="auto"/>
              </w:rPr>
            </w:pPr>
            <w:r>
              <w:rPr>
                <w:rFonts w:ascii="Arial" w:cs="Arial" w:eastAsia="Arial" w:hAnsi="Arial"/>
                <w:sz w:val="14"/>
                <w:szCs w:val="14"/>
                <w:b w:val="1"/>
                <w:bCs w:val="1"/>
                <w:color w:val="FFFFFF"/>
              </w:rPr>
              <w:t>Stock</w:t>
            </w:r>
          </w:p>
        </w:tc>
        <w:tc>
          <w:tcPr>
            <w:tcW w:w="1440" w:type="dxa"/>
            <w:vAlign w:val="bottom"/>
            <w:shd w:val="clear" w:color="auto" w:fill="852166"/>
          </w:tcPr>
          <w:p>
            <w:pPr>
              <w:jc w:val="right"/>
              <w:ind w:right="169"/>
              <w:spacing w:after="0"/>
              <w:rPr>
                <w:sz w:val="20"/>
                <w:szCs w:val="20"/>
                <w:color w:val="auto"/>
              </w:rPr>
            </w:pPr>
            <w:r>
              <w:rPr>
                <w:rFonts w:ascii="Arial" w:cs="Arial" w:eastAsia="Arial" w:hAnsi="Arial"/>
                <w:sz w:val="14"/>
                <w:szCs w:val="14"/>
                <w:b w:val="1"/>
                <w:bCs w:val="1"/>
                <w:color w:val="FFFFFF"/>
              </w:rPr>
              <w:t>Incentive Plan</w:t>
            </w:r>
          </w:p>
        </w:tc>
        <w:tc>
          <w:tcPr>
            <w:tcW w:w="1460" w:type="dxa"/>
            <w:vAlign w:val="bottom"/>
            <w:shd w:val="clear" w:color="auto" w:fill="852166"/>
          </w:tcPr>
          <w:p>
            <w:pPr>
              <w:jc w:val="right"/>
              <w:ind w:right="168"/>
              <w:spacing w:after="0"/>
              <w:rPr>
                <w:sz w:val="20"/>
                <w:szCs w:val="20"/>
                <w:color w:val="auto"/>
              </w:rPr>
            </w:pPr>
            <w:r>
              <w:rPr>
                <w:rFonts w:ascii="Arial" w:cs="Arial" w:eastAsia="Arial" w:hAnsi="Arial"/>
                <w:sz w:val="14"/>
                <w:szCs w:val="14"/>
                <w:b w:val="1"/>
                <w:bCs w:val="1"/>
                <w:color w:val="FFFFFF"/>
              </w:rPr>
              <w:t>All Other</w:t>
            </w:r>
          </w:p>
        </w:tc>
        <w:tc>
          <w:tcPr>
            <w:tcW w:w="1080" w:type="dxa"/>
            <w:vAlign w:val="bottom"/>
            <w:shd w:val="clear" w:color="auto" w:fill="852166"/>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852166"/>
          </w:tcPr>
          <w:p>
            <w:pPr>
              <w:spacing w:after="0"/>
              <w:rPr>
                <w:sz w:val="14"/>
                <w:szCs w:val="14"/>
                <w:color w:val="auto"/>
              </w:rPr>
            </w:pPr>
          </w:p>
        </w:tc>
        <w:tc>
          <w:tcPr>
            <w:tcW w:w="4020" w:type="dxa"/>
            <w:vAlign w:val="bottom"/>
            <w:shd w:val="clear" w:color="auto" w:fill="852166"/>
          </w:tcPr>
          <w:p>
            <w:pPr>
              <w:spacing w:after="0"/>
              <w:rPr>
                <w:sz w:val="14"/>
                <w:szCs w:val="14"/>
                <w:color w:val="auto"/>
              </w:rPr>
            </w:pPr>
          </w:p>
        </w:tc>
        <w:tc>
          <w:tcPr>
            <w:tcW w:w="720" w:type="dxa"/>
            <w:vAlign w:val="bottom"/>
            <w:shd w:val="clear" w:color="auto" w:fill="852166"/>
          </w:tcPr>
          <w:p>
            <w:pPr>
              <w:spacing w:after="0"/>
              <w:rPr>
                <w:sz w:val="14"/>
                <w:szCs w:val="14"/>
                <w:color w:val="auto"/>
              </w:rPr>
            </w:pPr>
          </w:p>
        </w:tc>
        <w:tc>
          <w:tcPr>
            <w:tcW w:w="1080" w:type="dxa"/>
            <w:vAlign w:val="bottom"/>
            <w:shd w:val="clear" w:color="auto" w:fill="852166"/>
          </w:tcPr>
          <w:p>
            <w:pPr>
              <w:jc w:val="right"/>
              <w:spacing w:after="0"/>
              <w:rPr>
                <w:sz w:val="20"/>
                <w:szCs w:val="20"/>
                <w:color w:val="auto"/>
              </w:rPr>
            </w:pPr>
            <w:r>
              <w:rPr>
                <w:rFonts w:ascii="Arial" w:cs="Arial" w:eastAsia="Arial" w:hAnsi="Arial"/>
                <w:sz w:val="14"/>
                <w:szCs w:val="14"/>
                <w:b w:val="1"/>
                <w:bCs w:val="1"/>
                <w:color w:val="FFFFFF"/>
              </w:rPr>
              <w:t>Salary</w:t>
            </w:r>
          </w:p>
        </w:tc>
        <w:tc>
          <w:tcPr>
            <w:tcW w:w="1360" w:type="dxa"/>
            <w:vAlign w:val="bottom"/>
            <w:shd w:val="clear" w:color="auto" w:fill="852166"/>
          </w:tcPr>
          <w:p>
            <w:pPr>
              <w:jc w:val="right"/>
              <w:ind w:right="128"/>
              <w:spacing w:after="0"/>
              <w:rPr>
                <w:sz w:val="20"/>
                <w:szCs w:val="20"/>
                <w:color w:val="auto"/>
              </w:rPr>
            </w:pPr>
            <w:r>
              <w:rPr>
                <w:rFonts w:ascii="Arial" w:cs="Arial" w:eastAsia="Arial" w:hAnsi="Arial"/>
                <w:sz w:val="14"/>
                <w:szCs w:val="14"/>
                <w:b w:val="1"/>
                <w:bCs w:val="1"/>
                <w:color w:val="FFFFFF"/>
              </w:rPr>
              <w:t>Awards</w:t>
            </w:r>
          </w:p>
        </w:tc>
        <w:tc>
          <w:tcPr>
            <w:tcW w:w="1440" w:type="dxa"/>
            <w:vAlign w:val="bottom"/>
            <w:shd w:val="clear" w:color="auto" w:fill="852166"/>
          </w:tcPr>
          <w:p>
            <w:pPr>
              <w:jc w:val="right"/>
              <w:ind w:right="169"/>
              <w:spacing w:after="0"/>
              <w:rPr>
                <w:sz w:val="20"/>
                <w:szCs w:val="20"/>
                <w:color w:val="auto"/>
              </w:rPr>
            </w:pPr>
            <w:r>
              <w:rPr>
                <w:rFonts w:ascii="Arial" w:cs="Arial" w:eastAsia="Arial" w:hAnsi="Arial"/>
                <w:sz w:val="14"/>
                <w:szCs w:val="14"/>
                <w:b w:val="1"/>
                <w:bCs w:val="1"/>
                <w:color w:val="FFFFFF"/>
              </w:rPr>
              <w:t>Compensation</w:t>
            </w:r>
          </w:p>
        </w:tc>
        <w:tc>
          <w:tcPr>
            <w:tcW w:w="1460" w:type="dxa"/>
            <w:vAlign w:val="bottom"/>
            <w:shd w:val="clear" w:color="auto" w:fill="852166"/>
          </w:tcPr>
          <w:p>
            <w:pPr>
              <w:jc w:val="right"/>
              <w:ind w:right="168"/>
              <w:spacing w:after="0"/>
              <w:rPr>
                <w:sz w:val="20"/>
                <w:szCs w:val="20"/>
                <w:color w:val="auto"/>
              </w:rPr>
            </w:pPr>
            <w:r>
              <w:rPr>
                <w:rFonts w:ascii="Arial" w:cs="Arial" w:eastAsia="Arial" w:hAnsi="Arial"/>
                <w:sz w:val="14"/>
                <w:szCs w:val="14"/>
                <w:b w:val="1"/>
                <w:bCs w:val="1"/>
                <w:color w:val="FFFFFF"/>
              </w:rPr>
              <w:t>Compensation</w:t>
            </w:r>
          </w:p>
        </w:tc>
        <w:tc>
          <w:tcPr>
            <w:tcW w:w="1080" w:type="dxa"/>
            <w:vAlign w:val="bottom"/>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59"/>
        </w:trPr>
        <w:tc>
          <w:tcPr>
            <w:tcW w:w="80" w:type="dxa"/>
            <w:vAlign w:val="bottom"/>
            <w:tcBorders>
              <w:bottom w:val="single" w:sz="8" w:color="852166"/>
            </w:tcBorders>
            <w:shd w:val="clear" w:color="auto" w:fill="852166"/>
          </w:tcPr>
          <w:p>
            <w:pPr>
              <w:spacing w:after="0"/>
              <w:rPr>
                <w:sz w:val="22"/>
                <w:szCs w:val="22"/>
                <w:color w:val="auto"/>
              </w:rPr>
            </w:pPr>
          </w:p>
        </w:tc>
        <w:tc>
          <w:tcPr>
            <w:tcW w:w="4020" w:type="dxa"/>
            <w:vAlign w:val="bottom"/>
            <w:tcBorders>
              <w:bottom w:val="single" w:sz="8" w:color="852166"/>
            </w:tcBorders>
            <w:shd w:val="clear" w:color="auto" w:fill="852166"/>
          </w:tcPr>
          <w:p>
            <w:pPr>
              <w:ind w:left="20"/>
              <w:spacing w:after="0"/>
              <w:rPr>
                <w:sz w:val="20"/>
                <w:szCs w:val="20"/>
                <w:color w:val="auto"/>
              </w:rPr>
            </w:pPr>
            <w:r>
              <w:rPr>
                <w:rFonts w:ascii="Arial" w:cs="Arial" w:eastAsia="Arial" w:hAnsi="Arial"/>
                <w:sz w:val="14"/>
                <w:szCs w:val="14"/>
                <w:b w:val="1"/>
                <w:bCs w:val="1"/>
                <w:color w:val="FFFFFF"/>
              </w:rPr>
              <w:t>Name and Principal Position</w:t>
            </w:r>
          </w:p>
        </w:tc>
        <w:tc>
          <w:tcPr>
            <w:tcW w:w="720" w:type="dxa"/>
            <w:vAlign w:val="bottom"/>
            <w:tcBorders>
              <w:bottom w:val="single" w:sz="8" w:color="852166"/>
            </w:tcBorders>
            <w:shd w:val="clear" w:color="auto" w:fill="852166"/>
          </w:tcPr>
          <w:p>
            <w:pPr>
              <w:ind w:left="200"/>
              <w:spacing w:after="0"/>
              <w:rPr>
                <w:sz w:val="20"/>
                <w:szCs w:val="20"/>
                <w:color w:val="auto"/>
              </w:rPr>
            </w:pPr>
            <w:r>
              <w:rPr>
                <w:rFonts w:ascii="Arial" w:cs="Arial" w:eastAsia="Arial" w:hAnsi="Arial"/>
                <w:sz w:val="14"/>
                <w:szCs w:val="14"/>
                <w:b w:val="1"/>
                <w:bCs w:val="1"/>
                <w:color w:val="FFFFFF"/>
              </w:rPr>
              <w:t>Year</w:t>
            </w:r>
          </w:p>
        </w:tc>
        <w:tc>
          <w:tcPr>
            <w:tcW w:w="1080" w:type="dxa"/>
            <w:vAlign w:val="bottom"/>
            <w:tcBorders>
              <w:bottom w:val="single" w:sz="8" w:color="852166"/>
            </w:tcBorders>
            <w:shd w:val="clear" w:color="auto" w:fill="852166"/>
          </w:tcPr>
          <w:p>
            <w:pPr>
              <w:jc w:val="right"/>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(1)</w:t>
            </w:r>
          </w:p>
        </w:tc>
        <w:tc>
          <w:tcPr>
            <w:tcW w:w="1360" w:type="dxa"/>
            <w:vAlign w:val="bottom"/>
            <w:tcBorders>
              <w:bottom w:val="single" w:sz="8" w:color="852166"/>
            </w:tcBorders>
            <w:shd w:val="clear" w:color="auto" w:fill="852166"/>
          </w:tcPr>
          <w:p>
            <w:pPr>
              <w:jc w:val="right"/>
              <w:ind w:right="12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9"/>
                <w:szCs w:val="9"/>
                <w:b w:val="1"/>
                <w:bCs w:val="1"/>
                <w:color w:val="FFFFFF"/>
              </w:rPr>
              <w:t>(2)</w:t>
            </w:r>
          </w:p>
        </w:tc>
        <w:tc>
          <w:tcPr>
            <w:tcW w:w="1440" w:type="dxa"/>
            <w:vAlign w:val="bottom"/>
            <w:tcBorders>
              <w:bottom w:val="single" w:sz="8" w:color="852166"/>
            </w:tcBorders>
            <w:shd w:val="clear" w:color="auto" w:fill="852166"/>
          </w:tcPr>
          <w:p>
            <w:pPr>
              <w:jc w:val="right"/>
              <w:ind w:right="169"/>
              <w:spacing w:after="0" w:line="225" w:lineRule="exact"/>
              <w:rPr>
                <w:sz w:val="20"/>
                <w:szCs w:val="20"/>
                <w:color w:val="auto"/>
              </w:rPr>
            </w:pPr>
            <w:r>
              <w:rPr>
                <w:rFonts w:ascii="Arial" w:cs="Arial" w:eastAsia="Arial" w:hAnsi="Arial"/>
                <w:sz w:val="26"/>
                <w:szCs w:val="26"/>
                <w:b w:val="1"/>
                <w:bCs w:val="1"/>
                <w:color w:val="FFFFFF"/>
                <w:vertAlign w:val="subscript"/>
              </w:rPr>
              <w:t>($)</w:t>
            </w:r>
            <w:r>
              <w:rPr>
                <w:rFonts w:ascii="Arial" w:cs="Arial" w:eastAsia="Arial" w:hAnsi="Arial"/>
                <w:sz w:val="9"/>
                <w:szCs w:val="9"/>
                <w:b w:val="1"/>
                <w:bCs w:val="1"/>
                <w:color w:val="FFFFFF"/>
              </w:rPr>
              <w:t>(3)</w:t>
            </w:r>
          </w:p>
        </w:tc>
        <w:tc>
          <w:tcPr>
            <w:tcW w:w="1460" w:type="dxa"/>
            <w:vAlign w:val="bottom"/>
            <w:tcBorders>
              <w:bottom w:val="single" w:sz="8" w:color="852166"/>
            </w:tcBorders>
            <w:shd w:val="clear" w:color="auto" w:fill="852166"/>
          </w:tcPr>
          <w:p>
            <w:pPr>
              <w:jc w:val="right"/>
              <w:ind w:right="16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9"/>
                <w:szCs w:val="9"/>
                <w:b w:val="1"/>
                <w:bCs w:val="1"/>
                <w:color w:val="FFFFFF"/>
              </w:rPr>
              <w:t>(4)</w:t>
            </w:r>
          </w:p>
        </w:tc>
        <w:tc>
          <w:tcPr>
            <w:tcW w:w="1080" w:type="dxa"/>
            <w:vAlign w:val="bottom"/>
            <w:tcBorders>
              <w:bottom w:val="single" w:sz="8" w:color="852166"/>
            </w:tcBorders>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720" w:type="dxa"/>
            <w:vAlign w:val="bottom"/>
          </w:tcPr>
          <w:p>
            <w:pPr>
              <w:ind w:left="200"/>
              <w:spacing w:after="0"/>
              <w:rPr>
                <w:sz w:val="20"/>
                <w:szCs w:val="20"/>
                <w:color w:val="auto"/>
              </w:rPr>
            </w:pPr>
            <w:r>
              <w:rPr>
                <w:rFonts w:ascii="Arial" w:cs="Arial" w:eastAsia="Arial" w:hAnsi="Arial"/>
                <w:sz w:val="14"/>
                <w:szCs w:val="14"/>
                <w:color w:val="auto"/>
              </w:rPr>
              <w:t>2023</w:t>
            </w:r>
          </w:p>
        </w:tc>
        <w:tc>
          <w:tcPr>
            <w:tcW w:w="1080" w:type="dxa"/>
            <w:vAlign w:val="bottom"/>
          </w:tcPr>
          <w:p>
            <w:pPr>
              <w:jc w:val="right"/>
              <w:spacing w:after="0"/>
              <w:rPr>
                <w:sz w:val="20"/>
                <w:szCs w:val="20"/>
                <w:color w:val="auto"/>
              </w:rPr>
            </w:pPr>
            <w:r>
              <w:rPr>
                <w:rFonts w:ascii="Arial" w:cs="Arial" w:eastAsia="Arial" w:hAnsi="Arial"/>
                <w:sz w:val="14"/>
                <w:szCs w:val="14"/>
                <w:color w:val="auto"/>
              </w:rPr>
              <w:t>1,196,621</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12,896,545</w:t>
            </w:r>
          </w:p>
        </w:tc>
        <w:tc>
          <w:tcPr>
            <w:tcW w:w="1440" w:type="dxa"/>
            <w:vAlign w:val="bottom"/>
          </w:tcPr>
          <w:p>
            <w:pPr>
              <w:jc w:val="right"/>
              <w:ind w:right="169"/>
              <w:spacing w:after="0"/>
              <w:rPr>
                <w:sz w:val="20"/>
                <w:szCs w:val="20"/>
                <w:color w:val="auto"/>
              </w:rPr>
            </w:pPr>
            <w:r>
              <w:rPr>
                <w:rFonts w:ascii="Arial" w:cs="Arial" w:eastAsia="Arial" w:hAnsi="Arial"/>
                <w:sz w:val="14"/>
                <w:szCs w:val="14"/>
                <w:color w:val="auto"/>
              </w:rPr>
              <w:t>1,217,216</w:t>
            </w:r>
          </w:p>
        </w:tc>
        <w:tc>
          <w:tcPr>
            <w:tcW w:w="1460" w:type="dxa"/>
            <w:vAlign w:val="bottom"/>
          </w:tcPr>
          <w:p>
            <w:pPr>
              <w:jc w:val="right"/>
              <w:ind w:right="168"/>
              <w:spacing w:after="0"/>
              <w:rPr>
                <w:sz w:val="20"/>
                <w:szCs w:val="20"/>
                <w:color w:val="auto"/>
              </w:rPr>
            </w:pPr>
            <w:r>
              <w:rPr>
                <w:rFonts w:ascii="Arial" w:cs="Arial" w:eastAsia="Arial" w:hAnsi="Arial"/>
                <w:sz w:val="14"/>
                <w:szCs w:val="14"/>
                <w:color w:val="auto"/>
              </w:rPr>
              <w:t>30,853</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15,341,235</w:t>
            </w:r>
          </w:p>
        </w:tc>
        <w:tc>
          <w:tcPr>
            <w:tcW w:w="0" w:type="dxa"/>
            <w:vAlign w:val="bottom"/>
          </w:tcPr>
          <w:p>
            <w:pPr>
              <w:spacing w:after="0"/>
              <w:rPr>
                <w:sz w:val="1"/>
                <w:szCs w:val="1"/>
                <w:color w:val="auto"/>
              </w:rPr>
            </w:pPr>
          </w:p>
        </w:tc>
      </w:tr>
      <w:tr>
        <w:trPr>
          <w:trHeight w:val="75"/>
        </w:trPr>
        <w:tc>
          <w:tcPr>
            <w:tcW w:w="80" w:type="dxa"/>
            <w:vAlign w:val="bottom"/>
          </w:tcPr>
          <w:p>
            <w:pPr>
              <w:spacing w:after="0"/>
              <w:rPr>
                <w:sz w:val="6"/>
                <w:szCs w:val="6"/>
                <w:color w:val="auto"/>
              </w:rPr>
            </w:pPr>
          </w:p>
        </w:tc>
        <w:tc>
          <w:tcPr>
            <w:tcW w:w="4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Bruce C. Cozadd</w:t>
            </w:r>
          </w:p>
        </w:tc>
        <w:tc>
          <w:tcPr>
            <w:tcW w:w="7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80" w:type="dxa"/>
            <w:vAlign w:val="bottom"/>
          </w:tcPr>
          <w:p>
            <w:pPr>
              <w:spacing w:after="0"/>
              <w:rPr>
                <w:sz w:val="8"/>
                <w:szCs w:val="8"/>
                <w:color w:val="auto"/>
              </w:rPr>
            </w:pPr>
          </w:p>
        </w:tc>
        <w:tc>
          <w:tcPr>
            <w:tcW w:w="4020" w:type="dxa"/>
            <w:vAlign w:val="bottom"/>
            <w:vMerge w:val="continue"/>
          </w:tcPr>
          <w:p>
            <w:pPr>
              <w:spacing w:after="0"/>
              <w:rPr>
                <w:sz w:val="8"/>
                <w:szCs w:val="8"/>
                <w:color w:val="auto"/>
              </w:rPr>
            </w:pPr>
          </w:p>
        </w:tc>
        <w:tc>
          <w:tcPr>
            <w:tcW w:w="720" w:type="dxa"/>
            <w:vAlign w:val="bottom"/>
            <w:vMerge w:val="restart"/>
          </w:tcPr>
          <w:p>
            <w:pPr>
              <w:ind w:left="200"/>
              <w:spacing w:after="0"/>
              <w:rPr>
                <w:sz w:val="20"/>
                <w:szCs w:val="20"/>
                <w:color w:val="auto"/>
              </w:rPr>
            </w:pPr>
            <w:r>
              <w:rPr>
                <w:rFonts w:ascii="Arial" w:cs="Arial" w:eastAsia="Arial" w:hAnsi="Arial"/>
                <w:sz w:val="14"/>
                <w:szCs w:val="14"/>
                <w:color w:val="auto"/>
              </w:rPr>
              <w:t>2022</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1,199,169</w:t>
            </w:r>
          </w:p>
        </w:tc>
        <w:tc>
          <w:tcPr>
            <w:tcW w:w="1360" w:type="dxa"/>
            <w:vAlign w:val="bottom"/>
            <w:vMerge w:val="restart"/>
          </w:tcPr>
          <w:p>
            <w:pPr>
              <w:jc w:val="right"/>
              <w:ind w:right="128"/>
              <w:spacing w:after="0"/>
              <w:rPr>
                <w:sz w:val="20"/>
                <w:szCs w:val="20"/>
                <w:color w:val="auto"/>
              </w:rPr>
            </w:pPr>
            <w:r>
              <w:rPr>
                <w:rFonts w:ascii="Arial" w:cs="Arial" w:eastAsia="Arial" w:hAnsi="Arial"/>
                <w:sz w:val="14"/>
                <w:szCs w:val="14"/>
                <w:color w:val="auto"/>
              </w:rPr>
              <w:t>14,873,643</w:t>
            </w:r>
          </w:p>
        </w:tc>
        <w:tc>
          <w:tcPr>
            <w:tcW w:w="1440" w:type="dxa"/>
            <w:vAlign w:val="bottom"/>
            <w:vMerge w:val="restart"/>
          </w:tcPr>
          <w:p>
            <w:pPr>
              <w:jc w:val="right"/>
              <w:ind w:right="169"/>
              <w:spacing w:after="0"/>
              <w:rPr>
                <w:sz w:val="20"/>
                <w:szCs w:val="20"/>
                <w:color w:val="auto"/>
              </w:rPr>
            </w:pPr>
            <w:r>
              <w:rPr>
                <w:rFonts w:ascii="Arial" w:cs="Arial" w:eastAsia="Arial" w:hAnsi="Arial"/>
                <w:sz w:val="14"/>
                <w:szCs w:val="14"/>
                <w:color w:val="auto"/>
              </w:rPr>
              <w:t>1,232,000</w:t>
            </w:r>
          </w:p>
        </w:tc>
        <w:tc>
          <w:tcPr>
            <w:tcW w:w="1460" w:type="dxa"/>
            <w:vAlign w:val="bottom"/>
            <w:vMerge w:val="restart"/>
          </w:tcPr>
          <w:p>
            <w:pPr>
              <w:jc w:val="right"/>
              <w:ind w:right="168"/>
              <w:spacing w:after="0"/>
              <w:rPr>
                <w:sz w:val="20"/>
                <w:szCs w:val="20"/>
                <w:color w:val="auto"/>
              </w:rPr>
            </w:pPr>
            <w:r>
              <w:rPr>
                <w:rFonts w:ascii="Arial" w:cs="Arial" w:eastAsia="Arial" w:hAnsi="Arial"/>
                <w:sz w:val="14"/>
                <w:szCs w:val="14"/>
                <w:color w:val="auto"/>
              </w:rPr>
              <w:t>20,806</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17,325,618</w:t>
            </w: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auto"/>
              </w:rPr>
              <w:t>Chairperson and CEO</w:t>
            </w:r>
          </w:p>
        </w:tc>
        <w:tc>
          <w:tcPr>
            <w:tcW w:w="7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720" w:type="dxa"/>
            <w:vAlign w:val="bottom"/>
          </w:tcPr>
          <w:p>
            <w:pPr>
              <w:ind w:left="200"/>
              <w:spacing w:after="0"/>
              <w:rPr>
                <w:sz w:val="20"/>
                <w:szCs w:val="20"/>
                <w:color w:val="auto"/>
              </w:rPr>
            </w:pPr>
            <w:r>
              <w:rPr>
                <w:rFonts w:ascii="Arial" w:cs="Arial" w:eastAsia="Arial" w:hAnsi="Arial"/>
                <w:sz w:val="14"/>
                <w:szCs w:val="14"/>
                <w:color w:val="auto"/>
              </w:rPr>
              <w:t>2021</w:t>
            </w:r>
          </w:p>
        </w:tc>
        <w:tc>
          <w:tcPr>
            <w:tcW w:w="1080" w:type="dxa"/>
            <w:vAlign w:val="bottom"/>
          </w:tcPr>
          <w:p>
            <w:pPr>
              <w:jc w:val="right"/>
              <w:spacing w:after="0"/>
              <w:rPr>
                <w:sz w:val="20"/>
                <w:szCs w:val="20"/>
                <w:color w:val="auto"/>
              </w:rPr>
            </w:pPr>
            <w:r>
              <w:rPr>
                <w:rFonts w:ascii="Arial" w:cs="Arial" w:eastAsia="Arial" w:hAnsi="Arial"/>
                <w:sz w:val="14"/>
                <w:szCs w:val="14"/>
                <w:color w:val="auto"/>
              </w:rPr>
              <w:t>1,077,254</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13,414,116</w:t>
            </w:r>
          </w:p>
        </w:tc>
        <w:tc>
          <w:tcPr>
            <w:tcW w:w="1440" w:type="dxa"/>
            <w:vAlign w:val="bottom"/>
          </w:tcPr>
          <w:p>
            <w:pPr>
              <w:jc w:val="right"/>
              <w:ind w:right="169"/>
              <w:spacing w:after="0"/>
              <w:rPr>
                <w:sz w:val="20"/>
                <w:szCs w:val="20"/>
                <w:color w:val="auto"/>
              </w:rPr>
            </w:pPr>
            <w:r>
              <w:rPr>
                <w:rFonts w:ascii="Arial" w:cs="Arial" w:eastAsia="Arial" w:hAnsi="Arial"/>
                <w:sz w:val="14"/>
                <w:szCs w:val="14"/>
                <w:color w:val="auto"/>
              </w:rPr>
              <w:t>1,163,400</w:t>
            </w:r>
          </w:p>
        </w:tc>
        <w:tc>
          <w:tcPr>
            <w:tcW w:w="1460" w:type="dxa"/>
            <w:vAlign w:val="bottom"/>
          </w:tcPr>
          <w:p>
            <w:pPr>
              <w:jc w:val="right"/>
              <w:ind w:right="168"/>
              <w:spacing w:after="0"/>
              <w:rPr>
                <w:sz w:val="20"/>
                <w:szCs w:val="20"/>
                <w:color w:val="auto"/>
              </w:rPr>
            </w:pPr>
            <w:r>
              <w:rPr>
                <w:rFonts w:ascii="Arial" w:cs="Arial" w:eastAsia="Arial" w:hAnsi="Arial"/>
                <w:sz w:val="14"/>
                <w:szCs w:val="14"/>
                <w:color w:val="auto"/>
              </w:rPr>
              <w:t>24,541</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15,679,311</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40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80" w:type="dxa"/>
            <w:vAlign w:val="bottom"/>
            <w:shd w:val="clear" w:color="auto" w:fill="EAEAEA"/>
          </w:tcPr>
          <w:p>
            <w:pPr>
              <w:spacing w:after="0"/>
              <w:rPr>
                <w:sz w:val="21"/>
                <w:szCs w:val="21"/>
                <w:color w:val="auto"/>
              </w:rPr>
            </w:pPr>
          </w:p>
        </w:tc>
        <w:tc>
          <w:tcPr>
            <w:tcW w:w="4020" w:type="dxa"/>
            <w:vAlign w:val="bottom"/>
            <w:vMerge w:val="restart"/>
            <w:shd w:val="clear" w:color="auto" w:fill="EAEAEA"/>
          </w:tcPr>
          <w:p>
            <w:pPr>
              <w:ind w:left="20"/>
              <w:spacing w:after="0"/>
              <w:rPr>
                <w:sz w:val="20"/>
                <w:szCs w:val="20"/>
                <w:color w:val="auto"/>
              </w:rPr>
            </w:pPr>
            <w:r>
              <w:rPr>
                <w:rFonts w:ascii="Arial" w:cs="Arial" w:eastAsia="Arial" w:hAnsi="Arial"/>
                <w:sz w:val="14"/>
                <w:szCs w:val="14"/>
                <w:b w:val="1"/>
                <w:bCs w:val="1"/>
                <w:color w:val="auto"/>
              </w:rPr>
              <w:t>Renée Galá</w:t>
            </w:r>
            <w:r>
              <w:rPr>
                <w:rFonts w:ascii="Arial" w:cs="Arial" w:eastAsia="Arial" w:hAnsi="Arial"/>
                <w:sz w:val="18"/>
                <w:szCs w:val="18"/>
                <w:b w:val="1"/>
                <w:bCs w:val="1"/>
                <w:color w:val="auto"/>
                <w:vertAlign w:val="superscript"/>
              </w:rPr>
              <w:t>(5)</w:t>
            </w:r>
          </w:p>
        </w:tc>
        <w:tc>
          <w:tcPr>
            <w:tcW w:w="720" w:type="dxa"/>
            <w:vAlign w:val="bottom"/>
            <w:shd w:val="clear" w:color="auto" w:fill="EAEAEA"/>
          </w:tcPr>
          <w:p>
            <w:pPr>
              <w:ind w:left="200"/>
              <w:spacing w:after="0"/>
              <w:rPr>
                <w:sz w:val="20"/>
                <w:szCs w:val="20"/>
                <w:color w:val="auto"/>
              </w:rPr>
            </w:pPr>
            <w:r>
              <w:rPr>
                <w:rFonts w:ascii="Arial" w:cs="Arial" w:eastAsia="Arial" w:hAnsi="Arial"/>
                <w:sz w:val="14"/>
                <w:szCs w:val="14"/>
                <w:color w:val="auto"/>
              </w:rPr>
              <w:t>2023</w:t>
            </w:r>
          </w:p>
        </w:tc>
        <w:tc>
          <w:tcPr>
            <w:tcW w:w="10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767,719</w:t>
            </w:r>
          </w:p>
        </w:tc>
        <w:tc>
          <w:tcPr>
            <w:tcW w:w="1360" w:type="dxa"/>
            <w:vAlign w:val="bottom"/>
            <w:shd w:val="clear" w:color="auto" w:fill="EAEAEA"/>
          </w:tcPr>
          <w:p>
            <w:pPr>
              <w:jc w:val="right"/>
              <w:ind w:right="128"/>
              <w:spacing w:after="0"/>
              <w:rPr>
                <w:sz w:val="20"/>
                <w:szCs w:val="20"/>
                <w:color w:val="auto"/>
              </w:rPr>
            </w:pPr>
            <w:r>
              <w:rPr>
                <w:rFonts w:ascii="Arial" w:cs="Arial" w:eastAsia="Arial" w:hAnsi="Arial"/>
                <w:sz w:val="14"/>
                <w:szCs w:val="14"/>
                <w:color w:val="auto"/>
              </w:rPr>
              <w:t>4,077,397</w:t>
            </w:r>
          </w:p>
        </w:tc>
        <w:tc>
          <w:tcPr>
            <w:tcW w:w="1440" w:type="dxa"/>
            <w:vAlign w:val="bottom"/>
            <w:shd w:val="clear" w:color="auto" w:fill="EAEAEA"/>
          </w:tcPr>
          <w:p>
            <w:pPr>
              <w:jc w:val="right"/>
              <w:ind w:right="169"/>
              <w:spacing w:after="0"/>
              <w:rPr>
                <w:sz w:val="20"/>
                <w:szCs w:val="20"/>
                <w:color w:val="auto"/>
              </w:rPr>
            </w:pPr>
            <w:r>
              <w:rPr>
                <w:rFonts w:ascii="Arial" w:cs="Arial" w:eastAsia="Arial" w:hAnsi="Arial"/>
                <w:sz w:val="14"/>
                <w:szCs w:val="14"/>
                <w:color w:val="auto"/>
              </w:rPr>
              <w:t>570,000</w:t>
            </w:r>
          </w:p>
        </w:tc>
        <w:tc>
          <w:tcPr>
            <w:tcW w:w="1460" w:type="dxa"/>
            <w:vAlign w:val="bottom"/>
            <w:shd w:val="clear" w:color="auto" w:fill="EAEAEA"/>
          </w:tcPr>
          <w:p>
            <w:pPr>
              <w:jc w:val="right"/>
              <w:ind w:right="168"/>
              <w:spacing w:after="0"/>
              <w:rPr>
                <w:sz w:val="20"/>
                <w:szCs w:val="20"/>
                <w:color w:val="auto"/>
              </w:rPr>
            </w:pPr>
            <w:r>
              <w:rPr>
                <w:rFonts w:ascii="Arial" w:cs="Arial" w:eastAsia="Arial" w:hAnsi="Arial"/>
                <w:sz w:val="14"/>
                <w:szCs w:val="14"/>
                <w:color w:val="auto"/>
              </w:rPr>
              <w:t>19,272</w:t>
            </w:r>
          </w:p>
        </w:tc>
        <w:tc>
          <w:tcPr>
            <w:tcW w:w="1080" w:type="dxa"/>
            <w:vAlign w:val="bottom"/>
            <w:shd w:val="clear" w:color="auto" w:fill="EAEAEA"/>
          </w:tcPr>
          <w:p>
            <w:pPr>
              <w:jc w:val="right"/>
              <w:ind w:right="48"/>
              <w:spacing w:after="0"/>
              <w:rPr>
                <w:sz w:val="20"/>
                <w:szCs w:val="20"/>
                <w:color w:val="auto"/>
              </w:rPr>
            </w:pPr>
            <w:r>
              <w:rPr>
                <w:rFonts w:ascii="Arial" w:cs="Arial" w:eastAsia="Arial" w:hAnsi="Arial"/>
                <w:sz w:val="14"/>
                <w:szCs w:val="14"/>
                <w:color w:val="auto"/>
              </w:rPr>
              <w:t>5,434,388</w:t>
            </w:r>
          </w:p>
        </w:tc>
        <w:tc>
          <w:tcPr>
            <w:tcW w:w="0" w:type="dxa"/>
            <w:vAlign w:val="bottom"/>
          </w:tcPr>
          <w:p>
            <w:pPr>
              <w:spacing w:after="0"/>
              <w:rPr>
                <w:sz w:val="1"/>
                <w:szCs w:val="1"/>
                <w:color w:val="auto"/>
              </w:rPr>
            </w:pPr>
          </w:p>
        </w:tc>
      </w:tr>
      <w:tr>
        <w:trPr>
          <w:trHeight w:val="76"/>
        </w:trPr>
        <w:tc>
          <w:tcPr>
            <w:tcW w:w="80" w:type="dxa"/>
            <w:vAlign w:val="bottom"/>
            <w:tcBorders>
              <w:bottom w:val="single" w:sz="8" w:color="EAEAEA"/>
            </w:tcBorders>
            <w:shd w:val="clear" w:color="auto" w:fill="EAEAEA"/>
          </w:tcPr>
          <w:p>
            <w:pPr>
              <w:spacing w:after="0"/>
              <w:rPr>
                <w:sz w:val="6"/>
                <w:szCs w:val="6"/>
                <w:color w:val="auto"/>
              </w:rPr>
            </w:pPr>
          </w:p>
        </w:tc>
        <w:tc>
          <w:tcPr>
            <w:tcW w:w="4020" w:type="dxa"/>
            <w:vAlign w:val="bottom"/>
            <w:tcBorders>
              <w:bottom w:val="single" w:sz="8" w:color="EAEAEA"/>
            </w:tcBorders>
            <w:vMerge w:val="continue"/>
            <w:shd w:val="clear" w:color="auto" w:fill="EAEAEA"/>
          </w:tcPr>
          <w:p>
            <w:pPr>
              <w:spacing w:after="0"/>
              <w:rPr>
                <w:sz w:val="6"/>
                <w:szCs w:val="6"/>
                <w:color w:val="auto"/>
              </w:rPr>
            </w:pPr>
          </w:p>
        </w:tc>
        <w:tc>
          <w:tcPr>
            <w:tcW w:w="720" w:type="dxa"/>
            <w:vAlign w:val="bottom"/>
            <w:tcBorders>
              <w:bottom w:val="single" w:sz="8" w:color="auto"/>
            </w:tcBorders>
            <w:shd w:val="clear" w:color="auto" w:fill="EAEAEA"/>
          </w:tcPr>
          <w:p>
            <w:pPr>
              <w:spacing w:after="0"/>
              <w:rPr>
                <w:sz w:val="6"/>
                <w:szCs w:val="6"/>
                <w:color w:val="auto"/>
              </w:rPr>
            </w:pPr>
          </w:p>
        </w:tc>
        <w:tc>
          <w:tcPr>
            <w:tcW w:w="1080" w:type="dxa"/>
            <w:vAlign w:val="bottom"/>
            <w:tcBorders>
              <w:bottom w:val="single" w:sz="8" w:color="auto"/>
            </w:tcBorders>
            <w:shd w:val="clear" w:color="auto" w:fill="EAEAEA"/>
          </w:tcPr>
          <w:p>
            <w:pPr>
              <w:spacing w:after="0"/>
              <w:rPr>
                <w:sz w:val="6"/>
                <w:szCs w:val="6"/>
                <w:color w:val="auto"/>
              </w:rPr>
            </w:pPr>
          </w:p>
        </w:tc>
        <w:tc>
          <w:tcPr>
            <w:tcW w:w="1360" w:type="dxa"/>
            <w:vAlign w:val="bottom"/>
            <w:tcBorders>
              <w:bottom w:val="single" w:sz="8" w:color="auto"/>
            </w:tcBorders>
            <w:shd w:val="clear" w:color="auto" w:fill="EAEAEA"/>
          </w:tcPr>
          <w:p>
            <w:pPr>
              <w:spacing w:after="0"/>
              <w:rPr>
                <w:sz w:val="6"/>
                <w:szCs w:val="6"/>
                <w:color w:val="auto"/>
              </w:rPr>
            </w:pPr>
          </w:p>
        </w:tc>
        <w:tc>
          <w:tcPr>
            <w:tcW w:w="1440" w:type="dxa"/>
            <w:vAlign w:val="bottom"/>
            <w:tcBorders>
              <w:bottom w:val="single" w:sz="8" w:color="auto"/>
            </w:tcBorders>
            <w:shd w:val="clear" w:color="auto" w:fill="EAEAEA"/>
          </w:tcPr>
          <w:p>
            <w:pPr>
              <w:spacing w:after="0"/>
              <w:rPr>
                <w:sz w:val="6"/>
                <w:szCs w:val="6"/>
                <w:color w:val="auto"/>
              </w:rPr>
            </w:pPr>
          </w:p>
        </w:tc>
        <w:tc>
          <w:tcPr>
            <w:tcW w:w="1460" w:type="dxa"/>
            <w:vAlign w:val="bottom"/>
            <w:tcBorders>
              <w:bottom w:val="single" w:sz="8" w:color="auto"/>
            </w:tcBorders>
            <w:shd w:val="clear" w:color="auto" w:fill="EAEAEA"/>
          </w:tcPr>
          <w:p>
            <w:pPr>
              <w:spacing w:after="0"/>
              <w:rPr>
                <w:sz w:val="6"/>
                <w:szCs w:val="6"/>
                <w:color w:val="auto"/>
              </w:rPr>
            </w:pPr>
          </w:p>
        </w:tc>
        <w:tc>
          <w:tcPr>
            <w:tcW w:w="10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0" w:type="dxa"/>
            <w:vAlign w:val="bottom"/>
            <w:shd w:val="clear" w:color="auto" w:fill="EAEAEA"/>
          </w:tcPr>
          <w:p>
            <w:pPr>
              <w:spacing w:after="0"/>
              <w:rPr>
                <w:sz w:val="17"/>
                <w:szCs w:val="17"/>
                <w:color w:val="auto"/>
              </w:rPr>
            </w:pPr>
          </w:p>
        </w:tc>
        <w:tc>
          <w:tcPr>
            <w:tcW w:w="4020" w:type="dxa"/>
            <w:vAlign w:val="bottom"/>
            <w:shd w:val="clear" w:color="auto" w:fill="EAEAEA"/>
          </w:tcPr>
          <w:p>
            <w:pPr>
              <w:ind w:left="20"/>
              <w:spacing w:after="0"/>
              <w:rPr>
                <w:sz w:val="20"/>
                <w:szCs w:val="20"/>
                <w:color w:val="auto"/>
              </w:rPr>
            </w:pPr>
            <w:r>
              <w:rPr>
                <w:rFonts w:ascii="Arial" w:cs="Arial" w:eastAsia="Arial" w:hAnsi="Arial"/>
                <w:sz w:val="14"/>
                <w:szCs w:val="14"/>
                <w:color w:val="auto"/>
              </w:rPr>
              <w:t>President</w:t>
            </w:r>
          </w:p>
        </w:tc>
        <w:tc>
          <w:tcPr>
            <w:tcW w:w="720" w:type="dxa"/>
            <w:vAlign w:val="bottom"/>
            <w:shd w:val="clear" w:color="auto" w:fill="EAEAEA"/>
          </w:tcPr>
          <w:p>
            <w:pPr>
              <w:ind w:left="200"/>
              <w:spacing w:after="0"/>
              <w:rPr>
                <w:sz w:val="20"/>
                <w:szCs w:val="20"/>
                <w:color w:val="auto"/>
              </w:rPr>
            </w:pPr>
            <w:r>
              <w:rPr>
                <w:rFonts w:ascii="Arial" w:cs="Arial" w:eastAsia="Arial" w:hAnsi="Arial"/>
                <w:sz w:val="14"/>
                <w:szCs w:val="14"/>
                <w:color w:val="auto"/>
              </w:rPr>
              <w:t>2022</w:t>
            </w:r>
          </w:p>
        </w:tc>
        <w:tc>
          <w:tcPr>
            <w:tcW w:w="10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690,357</w:t>
            </w:r>
          </w:p>
        </w:tc>
        <w:tc>
          <w:tcPr>
            <w:tcW w:w="1360" w:type="dxa"/>
            <w:vAlign w:val="bottom"/>
            <w:shd w:val="clear" w:color="auto" w:fill="EAEAEA"/>
          </w:tcPr>
          <w:p>
            <w:pPr>
              <w:jc w:val="right"/>
              <w:ind w:right="128"/>
              <w:spacing w:after="0"/>
              <w:rPr>
                <w:sz w:val="20"/>
                <w:szCs w:val="20"/>
                <w:color w:val="auto"/>
              </w:rPr>
            </w:pPr>
            <w:r>
              <w:rPr>
                <w:rFonts w:ascii="Arial" w:cs="Arial" w:eastAsia="Arial" w:hAnsi="Arial"/>
                <w:sz w:val="14"/>
                <w:szCs w:val="14"/>
                <w:color w:val="auto"/>
              </w:rPr>
              <w:t>3,895,415</w:t>
            </w:r>
          </w:p>
        </w:tc>
        <w:tc>
          <w:tcPr>
            <w:tcW w:w="1440" w:type="dxa"/>
            <w:vAlign w:val="bottom"/>
            <w:shd w:val="clear" w:color="auto" w:fill="EAEAEA"/>
          </w:tcPr>
          <w:p>
            <w:pPr>
              <w:jc w:val="right"/>
              <w:ind w:right="169"/>
              <w:spacing w:after="0"/>
              <w:rPr>
                <w:sz w:val="20"/>
                <w:szCs w:val="20"/>
                <w:color w:val="auto"/>
              </w:rPr>
            </w:pPr>
            <w:r>
              <w:rPr>
                <w:rFonts w:ascii="Arial" w:cs="Arial" w:eastAsia="Arial" w:hAnsi="Arial"/>
                <w:sz w:val="14"/>
                <w:szCs w:val="14"/>
                <w:color w:val="auto"/>
              </w:rPr>
              <w:t>430,000</w:t>
            </w:r>
          </w:p>
        </w:tc>
        <w:tc>
          <w:tcPr>
            <w:tcW w:w="1460" w:type="dxa"/>
            <w:vAlign w:val="bottom"/>
            <w:shd w:val="clear" w:color="auto" w:fill="EAEAEA"/>
          </w:tcPr>
          <w:p>
            <w:pPr>
              <w:jc w:val="right"/>
              <w:ind w:right="168"/>
              <w:spacing w:after="0"/>
              <w:rPr>
                <w:sz w:val="20"/>
                <w:szCs w:val="20"/>
                <w:color w:val="auto"/>
              </w:rPr>
            </w:pPr>
            <w:r>
              <w:rPr>
                <w:rFonts w:ascii="Arial" w:cs="Arial" w:eastAsia="Arial" w:hAnsi="Arial"/>
                <w:sz w:val="14"/>
                <w:szCs w:val="14"/>
                <w:color w:val="auto"/>
              </w:rPr>
              <w:t>13,664</w:t>
            </w:r>
          </w:p>
        </w:tc>
        <w:tc>
          <w:tcPr>
            <w:tcW w:w="1080" w:type="dxa"/>
            <w:vAlign w:val="bottom"/>
            <w:shd w:val="clear" w:color="auto" w:fill="EAEAEA"/>
          </w:tcPr>
          <w:p>
            <w:pPr>
              <w:jc w:val="right"/>
              <w:ind w:right="48"/>
              <w:spacing w:after="0"/>
              <w:rPr>
                <w:sz w:val="20"/>
                <w:szCs w:val="20"/>
                <w:color w:val="auto"/>
              </w:rPr>
            </w:pPr>
            <w:r>
              <w:rPr>
                <w:rFonts w:ascii="Arial" w:cs="Arial" w:eastAsia="Arial" w:hAnsi="Arial"/>
                <w:sz w:val="14"/>
                <w:szCs w:val="14"/>
                <w:color w:val="auto"/>
              </w:rPr>
              <w:t>5,029,436</w:t>
            </w:r>
          </w:p>
        </w:tc>
        <w:tc>
          <w:tcPr>
            <w:tcW w:w="0" w:type="dxa"/>
            <w:vAlign w:val="bottom"/>
          </w:tcPr>
          <w:p>
            <w:pPr>
              <w:spacing w:after="0"/>
              <w:rPr>
                <w:sz w:val="1"/>
                <w:szCs w:val="1"/>
                <w:color w:val="auto"/>
              </w:rPr>
            </w:pPr>
          </w:p>
        </w:tc>
      </w:tr>
      <w:tr>
        <w:trPr>
          <w:trHeight w:val="108"/>
        </w:trPr>
        <w:tc>
          <w:tcPr>
            <w:tcW w:w="80" w:type="dxa"/>
            <w:vAlign w:val="bottom"/>
            <w:tcBorders>
              <w:bottom w:val="single" w:sz="8" w:color="EAEAEA"/>
            </w:tcBorders>
            <w:shd w:val="clear" w:color="auto" w:fill="EAEAEA"/>
          </w:tcPr>
          <w:p>
            <w:pPr>
              <w:spacing w:after="0"/>
              <w:rPr>
                <w:sz w:val="9"/>
                <w:szCs w:val="9"/>
                <w:color w:val="auto"/>
              </w:rPr>
            </w:pPr>
          </w:p>
        </w:tc>
        <w:tc>
          <w:tcPr>
            <w:tcW w:w="4020" w:type="dxa"/>
            <w:vAlign w:val="bottom"/>
            <w:tcBorders>
              <w:bottom w:val="single" w:sz="8" w:color="EAEAEA"/>
            </w:tcBorders>
            <w:vMerge w:val="restart"/>
            <w:shd w:val="clear" w:color="auto" w:fill="EAEAEA"/>
          </w:tcPr>
          <w:p>
            <w:pPr>
              <w:ind w:left="20"/>
              <w:spacing w:after="0"/>
              <w:rPr>
                <w:sz w:val="20"/>
                <w:szCs w:val="20"/>
                <w:color w:val="auto"/>
              </w:rPr>
            </w:pPr>
            <w:r>
              <w:rPr>
                <w:rFonts w:ascii="Arial" w:cs="Arial" w:eastAsia="Arial" w:hAnsi="Arial"/>
                <w:sz w:val="14"/>
                <w:szCs w:val="14"/>
                <w:color w:val="auto"/>
              </w:rPr>
              <w:t>and COO</w:t>
            </w:r>
          </w:p>
        </w:tc>
        <w:tc>
          <w:tcPr>
            <w:tcW w:w="720" w:type="dxa"/>
            <w:vAlign w:val="bottom"/>
            <w:tcBorders>
              <w:bottom w:val="single" w:sz="8" w:color="auto"/>
            </w:tcBorders>
            <w:shd w:val="clear" w:color="auto" w:fill="EAEAEA"/>
          </w:tcPr>
          <w:p>
            <w:pPr>
              <w:spacing w:after="0"/>
              <w:rPr>
                <w:sz w:val="9"/>
                <w:szCs w:val="9"/>
                <w:color w:val="auto"/>
              </w:rPr>
            </w:pPr>
          </w:p>
        </w:tc>
        <w:tc>
          <w:tcPr>
            <w:tcW w:w="1080" w:type="dxa"/>
            <w:vAlign w:val="bottom"/>
            <w:tcBorders>
              <w:bottom w:val="single" w:sz="8" w:color="auto"/>
            </w:tcBorders>
            <w:shd w:val="clear" w:color="auto" w:fill="EAEAEA"/>
          </w:tcPr>
          <w:p>
            <w:pPr>
              <w:spacing w:after="0"/>
              <w:rPr>
                <w:sz w:val="9"/>
                <w:szCs w:val="9"/>
                <w:color w:val="auto"/>
              </w:rPr>
            </w:pPr>
          </w:p>
        </w:tc>
        <w:tc>
          <w:tcPr>
            <w:tcW w:w="1360" w:type="dxa"/>
            <w:vAlign w:val="bottom"/>
            <w:tcBorders>
              <w:bottom w:val="single" w:sz="8" w:color="auto"/>
            </w:tcBorders>
            <w:shd w:val="clear" w:color="auto" w:fill="EAEAEA"/>
          </w:tcPr>
          <w:p>
            <w:pPr>
              <w:spacing w:after="0"/>
              <w:rPr>
                <w:sz w:val="9"/>
                <w:szCs w:val="9"/>
                <w:color w:val="auto"/>
              </w:rPr>
            </w:pPr>
          </w:p>
        </w:tc>
        <w:tc>
          <w:tcPr>
            <w:tcW w:w="1440" w:type="dxa"/>
            <w:vAlign w:val="bottom"/>
            <w:tcBorders>
              <w:bottom w:val="single" w:sz="8" w:color="auto"/>
            </w:tcBorders>
            <w:shd w:val="clear" w:color="auto" w:fill="EAEAEA"/>
          </w:tcPr>
          <w:p>
            <w:pPr>
              <w:spacing w:after="0"/>
              <w:rPr>
                <w:sz w:val="9"/>
                <w:szCs w:val="9"/>
                <w:color w:val="auto"/>
              </w:rPr>
            </w:pPr>
          </w:p>
        </w:tc>
        <w:tc>
          <w:tcPr>
            <w:tcW w:w="1460" w:type="dxa"/>
            <w:vAlign w:val="bottom"/>
            <w:tcBorders>
              <w:bottom w:val="single" w:sz="8" w:color="auto"/>
            </w:tcBorders>
            <w:shd w:val="clear" w:color="auto" w:fill="EAEAEA"/>
          </w:tcPr>
          <w:p>
            <w:pPr>
              <w:spacing w:after="0"/>
              <w:rPr>
                <w:sz w:val="9"/>
                <w:szCs w:val="9"/>
                <w:color w:val="auto"/>
              </w:rPr>
            </w:pPr>
          </w:p>
        </w:tc>
        <w:tc>
          <w:tcPr>
            <w:tcW w:w="1080" w:type="dxa"/>
            <w:vAlign w:val="bottom"/>
            <w:tcBorders>
              <w:bottom w:val="single" w:sz="8" w:color="auto"/>
            </w:tcBorders>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80" w:type="dxa"/>
            <w:vAlign w:val="bottom"/>
            <w:shd w:val="clear" w:color="auto" w:fill="EAEAEA"/>
          </w:tcPr>
          <w:p>
            <w:pPr>
              <w:spacing w:after="0"/>
              <w:rPr>
                <w:sz w:val="5"/>
                <w:szCs w:val="5"/>
                <w:color w:val="auto"/>
              </w:rPr>
            </w:pPr>
          </w:p>
        </w:tc>
        <w:tc>
          <w:tcPr>
            <w:tcW w:w="4020" w:type="dxa"/>
            <w:vAlign w:val="bottom"/>
            <w:vMerge w:val="continue"/>
            <w:shd w:val="clear" w:color="auto" w:fill="EAEAEA"/>
          </w:tcPr>
          <w:p>
            <w:pPr>
              <w:spacing w:after="0"/>
              <w:rPr>
                <w:sz w:val="5"/>
                <w:szCs w:val="5"/>
                <w:color w:val="auto"/>
              </w:rPr>
            </w:pPr>
          </w:p>
        </w:tc>
        <w:tc>
          <w:tcPr>
            <w:tcW w:w="720" w:type="dxa"/>
            <w:vAlign w:val="bottom"/>
            <w:vMerge w:val="restart"/>
            <w:shd w:val="clear" w:color="auto" w:fill="EAEAEA"/>
          </w:tcPr>
          <w:p>
            <w:pPr>
              <w:ind w:left="200"/>
              <w:spacing w:after="0"/>
              <w:rPr>
                <w:sz w:val="20"/>
                <w:szCs w:val="20"/>
                <w:color w:val="auto"/>
              </w:rPr>
            </w:pPr>
            <w:r>
              <w:rPr>
                <w:rFonts w:ascii="Arial" w:cs="Arial" w:eastAsia="Arial" w:hAnsi="Arial"/>
                <w:sz w:val="14"/>
                <w:szCs w:val="14"/>
                <w:color w:val="auto"/>
              </w:rPr>
              <w:t>2021</w:t>
            </w:r>
          </w:p>
        </w:tc>
        <w:tc>
          <w:tcPr>
            <w:tcW w:w="1080" w:type="dxa"/>
            <w:vAlign w:val="bottom"/>
            <w:vMerge w:val="restart"/>
            <w:shd w:val="clear" w:color="auto" w:fill="EAEAEA"/>
          </w:tcPr>
          <w:p>
            <w:pPr>
              <w:jc w:val="right"/>
              <w:spacing w:after="0"/>
              <w:rPr>
                <w:sz w:val="20"/>
                <w:szCs w:val="20"/>
                <w:color w:val="auto"/>
              </w:rPr>
            </w:pPr>
            <w:r>
              <w:rPr>
                <w:rFonts w:ascii="Arial" w:cs="Arial" w:eastAsia="Arial" w:hAnsi="Arial"/>
                <w:sz w:val="14"/>
                <w:szCs w:val="14"/>
                <w:color w:val="auto"/>
              </w:rPr>
              <w:t>616,923</w:t>
            </w:r>
          </w:p>
        </w:tc>
        <w:tc>
          <w:tcPr>
            <w:tcW w:w="1360" w:type="dxa"/>
            <w:vAlign w:val="bottom"/>
            <w:vMerge w:val="restart"/>
            <w:shd w:val="clear" w:color="auto" w:fill="EAEAEA"/>
          </w:tcPr>
          <w:p>
            <w:pPr>
              <w:jc w:val="right"/>
              <w:ind w:right="128"/>
              <w:spacing w:after="0"/>
              <w:rPr>
                <w:sz w:val="20"/>
                <w:szCs w:val="20"/>
                <w:color w:val="auto"/>
              </w:rPr>
            </w:pPr>
            <w:r>
              <w:rPr>
                <w:rFonts w:ascii="Arial" w:cs="Arial" w:eastAsia="Arial" w:hAnsi="Arial"/>
                <w:sz w:val="14"/>
                <w:szCs w:val="14"/>
                <w:color w:val="auto"/>
              </w:rPr>
              <w:t>3,577,891</w:t>
            </w:r>
          </w:p>
        </w:tc>
        <w:tc>
          <w:tcPr>
            <w:tcW w:w="1440" w:type="dxa"/>
            <w:vAlign w:val="bottom"/>
            <w:vMerge w:val="restart"/>
            <w:shd w:val="clear" w:color="auto" w:fill="EAEAEA"/>
          </w:tcPr>
          <w:p>
            <w:pPr>
              <w:jc w:val="right"/>
              <w:ind w:right="169"/>
              <w:spacing w:after="0"/>
              <w:rPr>
                <w:sz w:val="20"/>
                <w:szCs w:val="20"/>
                <w:color w:val="auto"/>
              </w:rPr>
            </w:pPr>
            <w:r>
              <w:rPr>
                <w:rFonts w:ascii="Arial" w:cs="Arial" w:eastAsia="Arial" w:hAnsi="Arial"/>
                <w:sz w:val="14"/>
                <w:szCs w:val="14"/>
                <w:color w:val="auto"/>
              </w:rPr>
              <w:t>400,000</w:t>
            </w:r>
          </w:p>
        </w:tc>
        <w:tc>
          <w:tcPr>
            <w:tcW w:w="1460" w:type="dxa"/>
            <w:vAlign w:val="bottom"/>
            <w:vMerge w:val="restart"/>
            <w:shd w:val="clear" w:color="auto" w:fill="EAEAEA"/>
          </w:tcPr>
          <w:p>
            <w:pPr>
              <w:jc w:val="right"/>
              <w:ind w:right="168"/>
              <w:spacing w:after="0"/>
              <w:rPr>
                <w:sz w:val="20"/>
                <w:szCs w:val="20"/>
                <w:color w:val="auto"/>
              </w:rPr>
            </w:pPr>
            <w:r>
              <w:rPr>
                <w:rFonts w:ascii="Arial" w:cs="Arial" w:eastAsia="Arial" w:hAnsi="Arial"/>
                <w:sz w:val="14"/>
                <w:szCs w:val="14"/>
                <w:color w:val="auto"/>
              </w:rPr>
              <w:t>10,410</w:t>
            </w:r>
          </w:p>
        </w:tc>
        <w:tc>
          <w:tcPr>
            <w:tcW w:w="1080" w:type="dxa"/>
            <w:vAlign w:val="bottom"/>
            <w:vMerge w:val="restart"/>
            <w:shd w:val="clear" w:color="auto" w:fill="EAEAEA"/>
          </w:tcPr>
          <w:p>
            <w:pPr>
              <w:jc w:val="right"/>
              <w:ind w:right="48"/>
              <w:spacing w:after="0"/>
              <w:rPr>
                <w:sz w:val="20"/>
                <w:szCs w:val="20"/>
                <w:color w:val="auto"/>
              </w:rPr>
            </w:pPr>
            <w:r>
              <w:rPr>
                <w:rFonts w:ascii="Arial" w:cs="Arial" w:eastAsia="Arial" w:hAnsi="Arial"/>
                <w:sz w:val="14"/>
                <w:szCs w:val="14"/>
                <w:color w:val="auto"/>
              </w:rPr>
              <w:t>4,605,224</w:t>
            </w:r>
          </w:p>
        </w:tc>
        <w:tc>
          <w:tcPr>
            <w:tcW w:w="0" w:type="dxa"/>
            <w:vAlign w:val="bottom"/>
          </w:tcPr>
          <w:p>
            <w:pPr>
              <w:spacing w:after="0"/>
              <w:rPr>
                <w:sz w:val="1"/>
                <w:szCs w:val="1"/>
                <w:color w:val="auto"/>
              </w:rPr>
            </w:pPr>
          </w:p>
        </w:tc>
      </w:tr>
      <w:tr>
        <w:trPr>
          <w:trHeight w:val="180"/>
        </w:trPr>
        <w:tc>
          <w:tcPr>
            <w:tcW w:w="80" w:type="dxa"/>
            <w:vAlign w:val="bottom"/>
            <w:shd w:val="clear" w:color="auto" w:fill="EAEAEA"/>
          </w:tcPr>
          <w:p>
            <w:pPr>
              <w:spacing w:after="0"/>
              <w:rPr>
                <w:sz w:val="15"/>
                <w:szCs w:val="15"/>
                <w:color w:val="auto"/>
              </w:rPr>
            </w:pPr>
          </w:p>
        </w:tc>
        <w:tc>
          <w:tcPr>
            <w:tcW w:w="4020" w:type="dxa"/>
            <w:vAlign w:val="bottom"/>
            <w:shd w:val="clear" w:color="auto" w:fill="EAEAEA"/>
          </w:tcPr>
          <w:p>
            <w:pPr>
              <w:spacing w:after="0"/>
              <w:rPr>
                <w:sz w:val="15"/>
                <w:szCs w:val="15"/>
                <w:color w:val="auto"/>
              </w:rPr>
            </w:pPr>
          </w:p>
        </w:tc>
        <w:tc>
          <w:tcPr>
            <w:tcW w:w="720" w:type="dxa"/>
            <w:vAlign w:val="bottom"/>
            <w:vMerge w:val="continue"/>
            <w:shd w:val="clear" w:color="auto" w:fill="EAEAEA"/>
          </w:tcPr>
          <w:p>
            <w:pPr>
              <w:spacing w:after="0"/>
              <w:rPr>
                <w:sz w:val="15"/>
                <w:szCs w:val="15"/>
                <w:color w:val="auto"/>
              </w:rPr>
            </w:pPr>
          </w:p>
        </w:tc>
        <w:tc>
          <w:tcPr>
            <w:tcW w:w="1080" w:type="dxa"/>
            <w:vAlign w:val="bottom"/>
            <w:vMerge w:val="continue"/>
            <w:shd w:val="clear" w:color="auto" w:fill="EAEAEA"/>
          </w:tcPr>
          <w:p>
            <w:pPr>
              <w:spacing w:after="0"/>
              <w:rPr>
                <w:sz w:val="15"/>
                <w:szCs w:val="15"/>
                <w:color w:val="auto"/>
              </w:rPr>
            </w:pPr>
          </w:p>
        </w:tc>
        <w:tc>
          <w:tcPr>
            <w:tcW w:w="1360" w:type="dxa"/>
            <w:vAlign w:val="bottom"/>
            <w:vMerge w:val="continue"/>
            <w:shd w:val="clear" w:color="auto" w:fill="EAEAEA"/>
          </w:tcPr>
          <w:p>
            <w:pPr>
              <w:spacing w:after="0"/>
              <w:rPr>
                <w:sz w:val="15"/>
                <w:szCs w:val="15"/>
                <w:color w:val="auto"/>
              </w:rPr>
            </w:pPr>
          </w:p>
        </w:tc>
        <w:tc>
          <w:tcPr>
            <w:tcW w:w="1440" w:type="dxa"/>
            <w:vAlign w:val="bottom"/>
            <w:vMerge w:val="continue"/>
            <w:shd w:val="clear" w:color="auto" w:fill="EAEAEA"/>
          </w:tcPr>
          <w:p>
            <w:pPr>
              <w:spacing w:after="0"/>
              <w:rPr>
                <w:sz w:val="15"/>
                <w:szCs w:val="15"/>
                <w:color w:val="auto"/>
              </w:rPr>
            </w:pPr>
          </w:p>
        </w:tc>
        <w:tc>
          <w:tcPr>
            <w:tcW w:w="1460" w:type="dxa"/>
            <w:vAlign w:val="bottom"/>
            <w:vMerge w:val="continue"/>
            <w:shd w:val="clear" w:color="auto" w:fill="EAEAEA"/>
          </w:tcPr>
          <w:p>
            <w:pPr>
              <w:spacing w:after="0"/>
              <w:rPr>
                <w:sz w:val="15"/>
                <w:szCs w:val="15"/>
                <w:color w:val="auto"/>
              </w:rPr>
            </w:pPr>
          </w:p>
        </w:tc>
        <w:tc>
          <w:tcPr>
            <w:tcW w:w="1080" w:type="dxa"/>
            <w:vAlign w:val="bottom"/>
            <w:vMerge w:val="continue"/>
            <w:shd w:val="clear" w:color="auto" w:fill="EAEAEA"/>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80" w:type="dxa"/>
            <w:vAlign w:val="bottom"/>
            <w:shd w:val="clear" w:color="auto" w:fill="EAEAEA"/>
          </w:tcPr>
          <w:p>
            <w:pPr>
              <w:spacing w:after="0"/>
              <w:rPr>
                <w:sz w:val="5"/>
                <w:szCs w:val="5"/>
                <w:color w:val="auto"/>
              </w:rPr>
            </w:pPr>
          </w:p>
        </w:tc>
        <w:tc>
          <w:tcPr>
            <w:tcW w:w="4020" w:type="dxa"/>
            <w:vAlign w:val="bottom"/>
            <w:shd w:val="clear" w:color="auto" w:fill="EAEAEA"/>
          </w:tcPr>
          <w:p>
            <w:pPr>
              <w:spacing w:after="0"/>
              <w:rPr>
                <w:sz w:val="5"/>
                <w:szCs w:val="5"/>
                <w:color w:val="auto"/>
              </w:rPr>
            </w:pPr>
          </w:p>
        </w:tc>
        <w:tc>
          <w:tcPr>
            <w:tcW w:w="720" w:type="dxa"/>
            <w:vAlign w:val="bottom"/>
            <w:shd w:val="clear" w:color="auto" w:fill="EAEAEA"/>
          </w:tcPr>
          <w:p>
            <w:pPr>
              <w:spacing w:after="0"/>
              <w:rPr>
                <w:sz w:val="5"/>
                <w:szCs w:val="5"/>
                <w:color w:val="auto"/>
              </w:rPr>
            </w:pPr>
          </w:p>
        </w:tc>
        <w:tc>
          <w:tcPr>
            <w:tcW w:w="1080" w:type="dxa"/>
            <w:vAlign w:val="bottom"/>
            <w:shd w:val="clear" w:color="auto" w:fill="EAEAEA"/>
          </w:tcPr>
          <w:p>
            <w:pPr>
              <w:spacing w:after="0"/>
              <w:rPr>
                <w:sz w:val="5"/>
                <w:szCs w:val="5"/>
                <w:color w:val="auto"/>
              </w:rPr>
            </w:pPr>
          </w:p>
        </w:tc>
        <w:tc>
          <w:tcPr>
            <w:tcW w:w="1360" w:type="dxa"/>
            <w:vAlign w:val="bottom"/>
            <w:shd w:val="clear" w:color="auto" w:fill="EAEAEA"/>
          </w:tcPr>
          <w:p>
            <w:pPr>
              <w:spacing w:after="0"/>
              <w:rPr>
                <w:sz w:val="5"/>
                <w:szCs w:val="5"/>
                <w:color w:val="auto"/>
              </w:rPr>
            </w:pPr>
          </w:p>
        </w:tc>
        <w:tc>
          <w:tcPr>
            <w:tcW w:w="1440" w:type="dxa"/>
            <w:vAlign w:val="bottom"/>
            <w:shd w:val="clear" w:color="auto" w:fill="EAEAEA"/>
          </w:tcPr>
          <w:p>
            <w:pPr>
              <w:spacing w:after="0"/>
              <w:rPr>
                <w:sz w:val="5"/>
                <w:szCs w:val="5"/>
                <w:color w:val="auto"/>
              </w:rPr>
            </w:pPr>
          </w:p>
        </w:tc>
        <w:tc>
          <w:tcPr>
            <w:tcW w:w="1460" w:type="dxa"/>
            <w:vAlign w:val="bottom"/>
            <w:shd w:val="clear" w:color="auto" w:fill="EAEAEA"/>
          </w:tcPr>
          <w:p>
            <w:pPr>
              <w:spacing w:after="0"/>
              <w:rPr>
                <w:sz w:val="5"/>
                <w:szCs w:val="5"/>
                <w:color w:val="auto"/>
              </w:rPr>
            </w:pPr>
          </w:p>
        </w:tc>
        <w:tc>
          <w:tcPr>
            <w:tcW w:w="1080" w:type="dxa"/>
            <w:vAlign w:val="bottom"/>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020" w:type="dxa"/>
            <w:vAlign w:val="bottom"/>
          </w:tcPr>
          <w:p>
            <w:pPr>
              <w:ind w:left="20"/>
              <w:spacing w:after="0" w:line="180" w:lineRule="exact"/>
              <w:rPr>
                <w:sz w:val="20"/>
                <w:szCs w:val="20"/>
                <w:color w:val="auto"/>
              </w:rPr>
            </w:pPr>
            <w:r>
              <w:rPr>
                <w:rFonts w:ascii="Arial" w:cs="Arial" w:eastAsia="Arial" w:hAnsi="Arial"/>
                <w:sz w:val="14"/>
                <w:szCs w:val="14"/>
                <w:b w:val="1"/>
                <w:bCs w:val="1"/>
                <w:color w:val="auto"/>
              </w:rPr>
              <w:t>Patricia Carr</w:t>
            </w:r>
            <w:r>
              <w:rPr>
                <w:rFonts w:ascii="Arial" w:cs="Arial" w:eastAsia="Arial" w:hAnsi="Arial"/>
                <w:sz w:val="18"/>
                <w:szCs w:val="18"/>
                <w:b w:val="1"/>
                <w:bCs w:val="1"/>
                <w:color w:val="auto"/>
                <w:vertAlign w:val="superscript"/>
              </w:rPr>
              <w:t>(6)</w:t>
            </w: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auto"/>
              </w:rPr>
              <w:t>Senior Vice President and Chief Accounting Officer</w:t>
            </w:r>
          </w:p>
        </w:tc>
        <w:tc>
          <w:tcPr>
            <w:tcW w:w="720" w:type="dxa"/>
            <w:vAlign w:val="bottom"/>
          </w:tcPr>
          <w:p>
            <w:pPr>
              <w:ind w:left="200"/>
              <w:spacing w:after="0"/>
              <w:rPr>
                <w:sz w:val="20"/>
                <w:szCs w:val="20"/>
                <w:color w:val="auto"/>
              </w:rPr>
            </w:pPr>
            <w:r>
              <w:rPr>
                <w:rFonts w:ascii="Arial" w:cs="Arial" w:eastAsia="Arial" w:hAnsi="Arial"/>
                <w:sz w:val="14"/>
                <w:szCs w:val="14"/>
                <w:color w:val="auto"/>
              </w:rPr>
              <w:t>2023</w:t>
            </w:r>
          </w:p>
        </w:tc>
        <w:tc>
          <w:tcPr>
            <w:tcW w:w="1080" w:type="dxa"/>
            <w:vAlign w:val="bottom"/>
          </w:tcPr>
          <w:p>
            <w:pPr>
              <w:jc w:val="right"/>
              <w:spacing w:after="0"/>
              <w:rPr>
                <w:sz w:val="20"/>
                <w:szCs w:val="20"/>
                <w:color w:val="auto"/>
              </w:rPr>
            </w:pPr>
            <w:r>
              <w:rPr>
                <w:rFonts w:ascii="Arial" w:cs="Arial" w:eastAsia="Arial" w:hAnsi="Arial"/>
                <w:sz w:val="14"/>
                <w:szCs w:val="14"/>
                <w:color w:val="auto"/>
              </w:rPr>
              <w:t>402,181</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767,623</w:t>
            </w:r>
          </w:p>
        </w:tc>
        <w:tc>
          <w:tcPr>
            <w:tcW w:w="1440" w:type="dxa"/>
            <w:vAlign w:val="bottom"/>
          </w:tcPr>
          <w:p>
            <w:pPr>
              <w:jc w:val="right"/>
              <w:ind w:right="169"/>
              <w:spacing w:after="0"/>
              <w:rPr>
                <w:sz w:val="20"/>
                <w:szCs w:val="20"/>
                <w:color w:val="auto"/>
              </w:rPr>
            </w:pPr>
            <w:r>
              <w:rPr>
                <w:rFonts w:ascii="Arial" w:cs="Arial" w:eastAsia="Arial" w:hAnsi="Arial"/>
                <w:sz w:val="14"/>
                <w:szCs w:val="14"/>
                <w:color w:val="auto"/>
              </w:rPr>
              <w:t>194,868</w:t>
            </w:r>
          </w:p>
        </w:tc>
        <w:tc>
          <w:tcPr>
            <w:tcW w:w="1460" w:type="dxa"/>
            <w:vAlign w:val="bottom"/>
          </w:tcPr>
          <w:p>
            <w:pPr>
              <w:jc w:val="right"/>
              <w:ind w:right="168"/>
              <w:spacing w:after="0"/>
              <w:rPr>
                <w:sz w:val="20"/>
                <w:szCs w:val="20"/>
                <w:color w:val="auto"/>
              </w:rPr>
            </w:pPr>
            <w:r>
              <w:rPr>
                <w:rFonts w:ascii="Arial" w:cs="Arial" w:eastAsia="Arial" w:hAnsi="Arial"/>
                <w:sz w:val="14"/>
                <w:szCs w:val="14"/>
                <w:color w:val="auto"/>
              </w:rPr>
              <w:t>36,356</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1,401,028</w:t>
            </w: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auto"/>
              </w:rPr>
              <w:t>(Former Interim Principal Financial Officer)</w:t>
            </w: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80" w:type="dxa"/>
            <w:vAlign w:val="bottom"/>
          </w:tcPr>
          <w:p>
            <w:pPr>
              <w:spacing w:after="0"/>
              <w:rPr>
                <w:sz w:val="6"/>
                <w:szCs w:val="6"/>
                <w:color w:val="auto"/>
              </w:rPr>
            </w:pPr>
          </w:p>
        </w:tc>
        <w:tc>
          <w:tcPr>
            <w:tcW w:w="4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80" w:type="dxa"/>
            <w:vAlign w:val="bottom"/>
            <w:shd w:val="clear" w:color="auto" w:fill="EAEAEA"/>
          </w:tcPr>
          <w:p>
            <w:pPr>
              <w:spacing w:after="0"/>
              <w:rPr>
                <w:sz w:val="21"/>
                <w:szCs w:val="21"/>
                <w:color w:val="auto"/>
              </w:rPr>
            </w:pPr>
          </w:p>
        </w:tc>
        <w:tc>
          <w:tcPr>
            <w:tcW w:w="4020" w:type="dxa"/>
            <w:vAlign w:val="bottom"/>
            <w:vMerge w:val="restart"/>
            <w:shd w:val="clear" w:color="auto" w:fill="EAEAEA"/>
          </w:tcPr>
          <w:p>
            <w:pPr>
              <w:ind w:left="20"/>
              <w:spacing w:after="0"/>
              <w:rPr>
                <w:sz w:val="20"/>
                <w:szCs w:val="20"/>
                <w:color w:val="auto"/>
              </w:rPr>
            </w:pPr>
            <w:r>
              <w:rPr>
                <w:rFonts w:ascii="Arial" w:cs="Arial" w:eastAsia="Arial" w:hAnsi="Arial"/>
                <w:sz w:val="14"/>
                <w:szCs w:val="14"/>
                <w:b w:val="1"/>
                <w:bCs w:val="1"/>
                <w:color w:val="auto"/>
              </w:rPr>
              <w:t>Robert Iannone, M.D., M.S.C.E</w:t>
            </w:r>
          </w:p>
        </w:tc>
        <w:tc>
          <w:tcPr>
            <w:tcW w:w="720" w:type="dxa"/>
            <w:vAlign w:val="bottom"/>
            <w:shd w:val="clear" w:color="auto" w:fill="EAEAEA"/>
          </w:tcPr>
          <w:p>
            <w:pPr>
              <w:ind w:left="200"/>
              <w:spacing w:after="0"/>
              <w:rPr>
                <w:sz w:val="20"/>
                <w:szCs w:val="20"/>
                <w:color w:val="auto"/>
              </w:rPr>
            </w:pPr>
            <w:r>
              <w:rPr>
                <w:rFonts w:ascii="Arial" w:cs="Arial" w:eastAsia="Arial" w:hAnsi="Arial"/>
                <w:sz w:val="14"/>
                <w:szCs w:val="14"/>
                <w:color w:val="auto"/>
              </w:rPr>
              <w:t>2023</w:t>
            </w:r>
          </w:p>
        </w:tc>
        <w:tc>
          <w:tcPr>
            <w:tcW w:w="10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720,526</w:t>
            </w:r>
          </w:p>
        </w:tc>
        <w:tc>
          <w:tcPr>
            <w:tcW w:w="1360" w:type="dxa"/>
            <w:vAlign w:val="bottom"/>
            <w:shd w:val="clear" w:color="auto" w:fill="EAEAEA"/>
          </w:tcPr>
          <w:p>
            <w:pPr>
              <w:jc w:val="right"/>
              <w:ind w:right="128"/>
              <w:spacing w:after="0"/>
              <w:rPr>
                <w:sz w:val="20"/>
                <w:szCs w:val="20"/>
                <w:color w:val="auto"/>
              </w:rPr>
            </w:pPr>
            <w:r>
              <w:rPr>
                <w:rFonts w:ascii="Arial" w:cs="Arial" w:eastAsia="Arial" w:hAnsi="Arial"/>
                <w:sz w:val="14"/>
                <w:szCs w:val="14"/>
                <w:color w:val="auto"/>
              </w:rPr>
              <w:t>3,786,999</w:t>
            </w:r>
          </w:p>
        </w:tc>
        <w:tc>
          <w:tcPr>
            <w:tcW w:w="1440" w:type="dxa"/>
            <w:vAlign w:val="bottom"/>
            <w:shd w:val="clear" w:color="auto" w:fill="EAEAEA"/>
          </w:tcPr>
          <w:p>
            <w:pPr>
              <w:jc w:val="right"/>
              <w:ind w:right="169"/>
              <w:spacing w:after="0"/>
              <w:rPr>
                <w:sz w:val="20"/>
                <w:szCs w:val="20"/>
                <w:color w:val="auto"/>
              </w:rPr>
            </w:pPr>
            <w:r>
              <w:rPr>
                <w:rFonts w:ascii="Arial" w:cs="Arial" w:eastAsia="Arial" w:hAnsi="Arial"/>
                <w:sz w:val="14"/>
                <w:szCs w:val="14"/>
                <w:color w:val="auto"/>
              </w:rPr>
              <w:t>450,000</w:t>
            </w:r>
          </w:p>
        </w:tc>
        <w:tc>
          <w:tcPr>
            <w:tcW w:w="1460" w:type="dxa"/>
            <w:vAlign w:val="bottom"/>
            <w:shd w:val="clear" w:color="auto" w:fill="EAEAEA"/>
          </w:tcPr>
          <w:p>
            <w:pPr>
              <w:jc w:val="right"/>
              <w:ind w:right="168"/>
              <w:spacing w:after="0"/>
              <w:rPr>
                <w:sz w:val="20"/>
                <w:szCs w:val="20"/>
                <w:color w:val="auto"/>
              </w:rPr>
            </w:pPr>
            <w:r>
              <w:rPr>
                <w:rFonts w:ascii="Arial" w:cs="Arial" w:eastAsia="Arial" w:hAnsi="Arial"/>
                <w:sz w:val="14"/>
                <w:szCs w:val="14"/>
                <w:color w:val="auto"/>
              </w:rPr>
              <w:t>21,552</w:t>
            </w:r>
          </w:p>
        </w:tc>
        <w:tc>
          <w:tcPr>
            <w:tcW w:w="1080" w:type="dxa"/>
            <w:vAlign w:val="bottom"/>
            <w:shd w:val="clear" w:color="auto" w:fill="EAEAEA"/>
          </w:tcPr>
          <w:p>
            <w:pPr>
              <w:jc w:val="right"/>
              <w:ind w:right="48"/>
              <w:spacing w:after="0"/>
              <w:rPr>
                <w:sz w:val="20"/>
                <w:szCs w:val="20"/>
                <w:color w:val="auto"/>
              </w:rPr>
            </w:pPr>
            <w:r>
              <w:rPr>
                <w:rFonts w:ascii="Arial" w:cs="Arial" w:eastAsia="Arial" w:hAnsi="Arial"/>
                <w:sz w:val="14"/>
                <w:szCs w:val="14"/>
                <w:color w:val="auto"/>
              </w:rPr>
              <w:t>4,979,077</w:t>
            </w:r>
          </w:p>
        </w:tc>
        <w:tc>
          <w:tcPr>
            <w:tcW w:w="0" w:type="dxa"/>
            <w:vAlign w:val="bottom"/>
          </w:tcPr>
          <w:p>
            <w:pPr>
              <w:spacing w:after="0"/>
              <w:rPr>
                <w:sz w:val="1"/>
                <w:szCs w:val="1"/>
                <w:color w:val="auto"/>
              </w:rPr>
            </w:pPr>
          </w:p>
        </w:tc>
      </w:tr>
      <w:tr>
        <w:trPr>
          <w:trHeight w:val="76"/>
        </w:trPr>
        <w:tc>
          <w:tcPr>
            <w:tcW w:w="80" w:type="dxa"/>
            <w:vAlign w:val="bottom"/>
            <w:tcBorders>
              <w:bottom w:val="single" w:sz="8" w:color="EAEAEA"/>
            </w:tcBorders>
            <w:shd w:val="clear" w:color="auto" w:fill="EAEAEA"/>
          </w:tcPr>
          <w:p>
            <w:pPr>
              <w:spacing w:after="0"/>
              <w:rPr>
                <w:sz w:val="6"/>
                <w:szCs w:val="6"/>
                <w:color w:val="auto"/>
              </w:rPr>
            </w:pPr>
          </w:p>
        </w:tc>
        <w:tc>
          <w:tcPr>
            <w:tcW w:w="4020" w:type="dxa"/>
            <w:vAlign w:val="bottom"/>
            <w:tcBorders>
              <w:bottom w:val="single" w:sz="8" w:color="EAEAEA"/>
            </w:tcBorders>
            <w:vMerge w:val="continue"/>
            <w:shd w:val="clear" w:color="auto" w:fill="EAEAEA"/>
          </w:tcPr>
          <w:p>
            <w:pPr>
              <w:spacing w:after="0"/>
              <w:rPr>
                <w:sz w:val="6"/>
                <w:szCs w:val="6"/>
                <w:color w:val="auto"/>
              </w:rPr>
            </w:pPr>
          </w:p>
        </w:tc>
        <w:tc>
          <w:tcPr>
            <w:tcW w:w="720" w:type="dxa"/>
            <w:vAlign w:val="bottom"/>
            <w:tcBorders>
              <w:bottom w:val="single" w:sz="8" w:color="auto"/>
            </w:tcBorders>
            <w:shd w:val="clear" w:color="auto" w:fill="EAEAEA"/>
          </w:tcPr>
          <w:p>
            <w:pPr>
              <w:spacing w:after="0"/>
              <w:rPr>
                <w:sz w:val="6"/>
                <w:szCs w:val="6"/>
                <w:color w:val="auto"/>
              </w:rPr>
            </w:pPr>
          </w:p>
        </w:tc>
        <w:tc>
          <w:tcPr>
            <w:tcW w:w="1080" w:type="dxa"/>
            <w:vAlign w:val="bottom"/>
            <w:tcBorders>
              <w:bottom w:val="single" w:sz="8" w:color="auto"/>
            </w:tcBorders>
            <w:shd w:val="clear" w:color="auto" w:fill="EAEAEA"/>
          </w:tcPr>
          <w:p>
            <w:pPr>
              <w:spacing w:after="0"/>
              <w:rPr>
                <w:sz w:val="6"/>
                <w:szCs w:val="6"/>
                <w:color w:val="auto"/>
              </w:rPr>
            </w:pPr>
          </w:p>
        </w:tc>
        <w:tc>
          <w:tcPr>
            <w:tcW w:w="1360" w:type="dxa"/>
            <w:vAlign w:val="bottom"/>
            <w:tcBorders>
              <w:bottom w:val="single" w:sz="8" w:color="auto"/>
            </w:tcBorders>
            <w:shd w:val="clear" w:color="auto" w:fill="EAEAEA"/>
          </w:tcPr>
          <w:p>
            <w:pPr>
              <w:spacing w:after="0"/>
              <w:rPr>
                <w:sz w:val="6"/>
                <w:szCs w:val="6"/>
                <w:color w:val="auto"/>
              </w:rPr>
            </w:pPr>
          </w:p>
        </w:tc>
        <w:tc>
          <w:tcPr>
            <w:tcW w:w="1440" w:type="dxa"/>
            <w:vAlign w:val="bottom"/>
            <w:tcBorders>
              <w:bottom w:val="single" w:sz="8" w:color="auto"/>
            </w:tcBorders>
            <w:shd w:val="clear" w:color="auto" w:fill="EAEAEA"/>
          </w:tcPr>
          <w:p>
            <w:pPr>
              <w:spacing w:after="0"/>
              <w:rPr>
                <w:sz w:val="6"/>
                <w:szCs w:val="6"/>
                <w:color w:val="auto"/>
              </w:rPr>
            </w:pPr>
          </w:p>
        </w:tc>
        <w:tc>
          <w:tcPr>
            <w:tcW w:w="1460" w:type="dxa"/>
            <w:vAlign w:val="bottom"/>
            <w:tcBorders>
              <w:bottom w:val="single" w:sz="8" w:color="auto"/>
            </w:tcBorders>
            <w:shd w:val="clear" w:color="auto" w:fill="EAEAEA"/>
          </w:tcPr>
          <w:p>
            <w:pPr>
              <w:spacing w:after="0"/>
              <w:rPr>
                <w:sz w:val="6"/>
                <w:szCs w:val="6"/>
                <w:color w:val="auto"/>
              </w:rPr>
            </w:pPr>
          </w:p>
        </w:tc>
        <w:tc>
          <w:tcPr>
            <w:tcW w:w="10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80" w:type="dxa"/>
            <w:vAlign w:val="bottom"/>
            <w:shd w:val="clear" w:color="auto" w:fill="EAEAEA"/>
          </w:tcPr>
          <w:p>
            <w:pPr>
              <w:spacing w:after="0"/>
              <w:rPr>
                <w:sz w:val="3"/>
                <w:szCs w:val="3"/>
                <w:color w:val="auto"/>
              </w:rPr>
            </w:pPr>
          </w:p>
        </w:tc>
        <w:tc>
          <w:tcPr>
            <w:tcW w:w="4020" w:type="dxa"/>
            <w:vAlign w:val="bottom"/>
            <w:vMerge w:val="continue"/>
            <w:shd w:val="clear" w:color="auto" w:fill="EAEAEA"/>
          </w:tcPr>
          <w:p>
            <w:pPr>
              <w:spacing w:after="0"/>
              <w:rPr>
                <w:sz w:val="3"/>
                <w:szCs w:val="3"/>
                <w:color w:val="auto"/>
              </w:rPr>
            </w:pPr>
          </w:p>
        </w:tc>
        <w:tc>
          <w:tcPr>
            <w:tcW w:w="720" w:type="dxa"/>
            <w:vAlign w:val="bottom"/>
            <w:shd w:val="clear" w:color="auto" w:fill="EAEAEA"/>
          </w:tcPr>
          <w:p>
            <w:pPr>
              <w:spacing w:after="0"/>
              <w:rPr>
                <w:sz w:val="3"/>
                <w:szCs w:val="3"/>
                <w:color w:val="auto"/>
              </w:rPr>
            </w:pPr>
          </w:p>
        </w:tc>
        <w:tc>
          <w:tcPr>
            <w:tcW w:w="1080" w:type="dxa"/>
            <w:vAlign w:val="bottom"/>
            <w:shd w:val="clear" w:color="auto" w:fill="EAEAEA"/>
          </w:tcPr>
          <w:p>
            <w:pPr>
              <w:spacing w:after="0"/>
              <w:rPr>
                <w:sz w:val="3"/>
                <w:szCs w:val="3"/>
                <w:color w:val="auto"/>
              </w:rPr>
            </w:pPr>
          </w:p>
        </w:tc>
        <w:tc>
          <w:tcPr>
            <w:tcW w:w="1360" w:type="dxa"/>
            <w:vAlign w:val="bottom"/>
            <w:shd w:val="clear" w:color="auto" w:fill="EAEAEA"/>
          </w:tcPr>
          <w:p>
            <w:pPr>
              <w:spacing w:after="0"/>
              <w:rPr>
                <w:sz w:val="3"/>
                <w:szCs w:val="3"/>
                <w:color w:val="auto"/>
              </w:rPr>
            </w:pPr>
          </w:p>
        </w:tc>
        <w:tc>
          <w:tcPr>
            <w:tcW w:w="1440" w:type="dxa"/>
            <w:vAlign w:val="bottom"/>
            <w:shd w:val="clear" w:color="auto" w:fill="EAEAEA"/>
          </w:tcPr>
          <w:p>
            <w:pPr>
              <w:spacing w:after="0"/>
              <w:rPr>
                <w:sz w:val="3"/>
                <w:szCs w:val="3"/>
                <w:color w:val="auto"/>
              </w:rPr>
            </w:pPr>
          </w:p>
        </w:tc>
        <w:tc>
          <w:tcPr>
            <w:tcW w:w="1460" w:type="dxa"/>
            <w:vAlign w:val="bottom"/>
            <w:shd w:val="clear" w:color="auto" w:fill="EAEAEA"/>
          </w:tcPr>
          <w:p>
            <w:pPr>
              <w:spacing w:after="0"/>
              <w:rPr>
                <w:sz w:val="3"/>
                <w:szCs w:val="3"/>
                <w:color w:val="auto"/>
              </w:rPr>
            </w:pPr>
          </w:p>
        </w:tc>
        <w:tc>
          <w:tcPr>
            <w:tcW w:w="1080" w:type="dxa"/>
            <w:vAlign w:val="bottom"/>
            <w:shd w:val="clear" w:color="auto" w:fill="EAEAEA"/>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shd w:val="clear" w:color="auto" w:fill="EAEAEA"/>
          </w:tcPr>
          <w:p>
            <w:pPr>
              <w:spacing w:after="0"/>
              <w:rPr>
                <w:sz w:val="15"/>
                <w:szCs w:val="15"/>
                <w:color w:val="auto"/>
              </w:rPr>
            </w:pPr>
          </w:p>
        </w:tc>
        <w:tc>
          <w:tcPr>
            <w:tcW w:w="4020" w:type="dxa"/>
            <w:vAlign w:val="bottom"/>
            <w:shd w:val="clear" w:color="auto" w:fill="EAEAEA"/>
          </w:tcPr>
          <w:p>
            <w:pPr>
              <w:ind w:left="20"/>
              <w:spacing w:after="0"/>
              <w:rPr>
                <w:sz w:val="20"/>
                <w:szCs w:val="20"/>
                <w:color w:val="auto"/>
              </w:rPr>
            </w:pPr>
            <w:r>
              <w:rPr>
                <w:rFonts w:ascii="Arial" w:cs="Arial" w:eastAsia="Arial" w:hAnsi="Arial"/>
                <w:sz w:val="14"/>
                <w:szCs w:val="14"/>
                <w:color w:val="auto"/>
              </w:rPr>
              <w:t>Executive Vice President,</w:t>
            </w:r>
          </w:p>
        </w:tc>
        <w:tc>
          <w:tcPr>
            <w:tcW w:w="720" w:type="dxa"/>
            <w:vAlign w:val="bottom"/>
            <w:shd w:val="clear" w:color="auto" w:fill="EAEAEA"/>
          </w:tcPr>
          <w:p>
            <w:pPr>
              <w:ind w:left="200"/>
              <w:spacing w:after="0"/>
              <w:rPr>
                <w:sz w:val="20"/>
                <w:szCs w:val="20"/>
                <w:color w:val="auto"/>
              </w:rPr>
            </w:pPr>
            <w:r>
              <w:rPr>
                <w:rFonts w:ascii="Arial" w:cs="Arial" w:eastAsia="Arial" w:hAnsi="Arial"/>
                <w:sz w:val="14"/>
                <w:szCs w:val="14"/>
                <w:color w:val="auto"/>
              </w:rPr>
              <w:t>2022</w:t>
            </w:r>
          </w:p>
        </w:tc>
        <w:tc>
          <w:tcPr>
            <w:tcW w:w="10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663,672</w:t>
            </w:r>
          </w:p>
        </w:tc>
        <w:tc>
          <w:tcPr>
            <w:tcW w:w="1360" w:type="dxa"/>
            <w:vAlign w:val="bottom"/>
            <w:shd w:val="clear" w:color="auto" w:fill="EAEAEA"/>
          </w:tcPr>
          <w:p>
            <w:pPr>
              <w:jc w:val="right"/>
              <w:ind w:right="128"/>
              <w:spacing w:after="0"/>
              <w:rPr>
                <w:sz w:val="20"/>
                <w:szCs w:val="20"/>
                <w:color w:val="auto"/>
              </w:rPr>
            </w:pPr>
            <w:r>
              <w:rPr>
                <w:rFonts w:ascii="Arial" w:cs="Arial" w:eastAsia="Arial" w:hAnsi="Arial"/>
                <w:sz w:val="14"/>
                <w:szCs w:val="14"/>
                <w:color w:val="auto"/>
              </w:rPr>
              <w:t>3,777,191</w:t>
            </w:r>
          </w:p>
        </w:tc>
        <w:tc>
          <w:tcPr>
            <w:tcW w:w="1440" w:type="dxa"/>
            <w:vAlign w:val="bottom"/>
            <w:shd w:val="clear" w:color="auto" w:fill="EAEAEA"/>
          </w:tcPr>
          <w:p>
            <w:pPr>
              <w:jc w:val="right"/>
              <w:ind w:right="169"/>
              <w:spacing w:after="0"/>
              <w:rPr>
                <w:sz w:val="20"/>
                <w:szCs w:val="20"/>
                <w:color w:val="auto"/>
              </w:rPr>
            </w:pPr>
            <w:r>
              <w:rPr>
                <w:rFonts w:ascii="Arial" w:cs="Arial" w:eastAsia="Arial" w:hAnsi="Arial"/>
                <w:sz w:val="14"/>
                <w:szCs w:val="14"/>
                <w:color w:val="auto"/>
              </w:rPr>
              <w:t>400,000</w:t>
            </w:r>
          </w:p>
        </w:tc>
        <w:tc>
          <w:tcPr>
            <w:tcW w:w="1460" w:type="dxa"/>
            <w:vAlign w:val="bottom"/>
            <w:shd w:val="clear" w:color="auto" w:fill="EAEAEA"/>
          </w:tcPr>
          <w:p>
            <w:pPr>
              <w:jc w:val="right"/>
              <w:ind w:right="168"/>
              <w:spacing w:after="0"/>
              <w:rPr>
                <w:sz w:val="20"/>
                <w:szCs w:val="20"/>
                <w:color w:val="auto"/>
              </w:rPr>
            </w:pPr>
            <w:r>
              <w:rPr>
                <w:rFonts w:ascii="Arial" w:cs="Arial" w:eastAsia="Arial" w:hAnsi="Arial"/>
                <w:sz w:val="14"/>
                <w:szCs w:val="14"/>
                <w:color w:val="auto"/>
              </w:rPr>
              <w:t>14,791</w:t>
            </w:r>
          </w:p>
        </w:tc>
        <w:tc>
          <w:tcPr>
            <w:tcW w:w="1080" w:type="dxa"/>
            <w:vAlign w:val="bottom"/>
            <w:shd w:val="clear" w:color="auto" w:fill="EAEAEA"/>
          </w:tcPr>
          <w:p>
            <w:pPr>
              <w:jc w:val="right"/>
              <w:ind w:right="48"/>
              <w:spacing w:after="0"/>
              <w:rPr>
                <w:sz w:val="20"/>
                <w:szCs w:val="20"/>
                <w:color w:val="auto"/>
              </w:rPr>
            </w:pPr>
            <w:r>
              <w:rPr>
                <w:rFonts w:ascii="Arial" w:cs="Arial" w:eastAsia="Arial" w:hAnsi="Arial"/>
                <w:sz w:val="14"/>
                <w:szCs w:val="14"/>
                <w:color w:val="auto"/>
              </w:rPr>
              <w:t>4,855,654</w:t>
            </w:r>
          </w:p>
        </w:tc>
        <w:tc>
          <w:tcPr>
            <w:tcW w:w="0" w:type="dxa"/>
            <w:vAlign w:val="bottom"/>
          </w:tcPr>
          <w:p>
            <w:pPr>
              <w:spacing w:after="0"/>
              <w:rPr>
                <w:sz w:val="1"/>
                <w:szCs w:val="1"/>
                <w:color w:val="auto"/>
              </w:rPr>
            </w:pPr>
          </w:p>
        </w:tc>
      </w:tr>
      <w:tr>
        <w:trPr>
          <w:trHeight w:val="90"/>
        </w:trPr>
        <w:tc>
          <w:tcPr>
            <w:tcW w:w="80" w:type="dxa"/>
            <w:vAlign w:val="bottom"/>
            <w:tcBorders>
              <w:bottom w:val="single" w:sz="8" w:color="EAEAEA"/>
            </w:tcBorders>
            <w:shd w:val="clear" w:color="auto" w:fill="EAEAEA"/>
          </w:tcPr>
          <w:p>
            <w:pPr>
              <w:spacing w:after="0"/>
              <w:rPr>
                <w:sz w:val="7"/>
                <w:szCs w:val="7"/>
                <w:color w:val="auto"/>
              </w:rPr>
            </w:pPr>
          </w:p>
        </w:tc>
        <w:tc>
          <w:tcPr>
            <w:tcW w:w="4020" w:type="dxa"/>
            <w:vAlign w:val="bottom"/>
            <w:tcBorders>
              <w:bottom w:val="single" w:sz="8" w:color="EAEAEA"/>
            </w:tcBorders>
            <w:vMerge w:val="restart"/>
            <w:shd w:val="clear" w:color="auto" w:fill="EAEAEA"/>
          </w:tcPr>
          <w:p>
            <w:pPr>
              <w:ind w:left="20"/>
              <w:spacing w:after="0"/>
              <w:rPr>
                <w:sz w:val="20"/>
                <w:szCs w:val="20"/>
                <w:color w:val="auto"/>
              </w:rPr>
            </w:pPr>
            <w:r>
              <w:rPr>
                <w:rFonts w:ascii="Arial" w:cs="Arial" w:eastAsia="Arial" w:hAnsi="Arial"/>
                <w:sz w:val="14"/>
                <w:szCs w:val="14"/>
                <w:color w:val="auto"/>
              </w:rPr>
              <w:t>Global Head of Research and Development</w:t>
            </w:r>
          </w:p>
        </w:tc>
        <w:tc>
          <w:tcPr>
            <w:tcW w:w="720" w:type="dxa"/>
            <w:vAlign w:val="bottom"/>
            <w:tcBorders>
              <w:bottom w:val="single" w:sz="8" w:color="auto"/>
            </w:tcBorders>
            <w:shd w:val="clear" w:color="auto" w:fill="EAEAEA"/>
          </w:tcPr>
          <w:p>
            <w:pPr>
              <w:spacing w:after="0"/>
              <w:rPr>
                <w:sz w:val="7"/>
                <w:szCs w:val="7"/>
                <w:color w:val="auto"/>
              </w:rPr>
            </w:pPr>
          </w:p>
        </w:tc>
        <w:tc>
          <w:tcPr>
            <w:tcW w:w="1080" w:type="dxa"/>
            <w:vAlign w:val="bottom"/>
            <w:tcBorders>
              <w:bottom w:val="single" w:sz="8" w:color="auto"/>
            </w:tcBorders>
            <w:shd w:val="clear" w:color="auto" w:fill="EAEAEA"/>
          </w:tcPr>
          <w:p>
            <w:pPr>
              <w:spacing w:after="0"/>
              <w:rPr>
                <w:sz w:val="7"/>
                <w:szCs w:val="7"/>
                <w:color w:val="auto"/>
              </w:rPr>
            </w:pPr>
          </w:p>
        </w:tc>
        <w:tc>
          <w:tcPr>
            <w:tcW w:w="1360" w:type="dxa"/>
            <w:vAlign w:val="bottom"/>
            <w:tcBorders>
              <w:bottom w:val="single" w:sz="8" w:color="auto"/>
            </w:tcBorders>
            <w:shd w:val="clear" w:color="auto" w:fill="EAEAEA"/>
          </w:tcPr>
          <w:p>
            <w:pPr>
              <w:spacing w:after="0"/>
              <w:rPr>
                <w:sz w:val="7"/>
                <w:szCs w:val="7"/>
                <w:color w:val="auto"/>
              </w:rPr>
            </w:pPr>
          </w:p>
        </w:tc>
        <w:tc>
          <w:tcPr>
            <w:tcW w:w="1440" w:type="dxa"/>
            <w:vAlign w:val="bottom"/>
            <w:tcBorders>
              <w:bottom w:val="single" w:sz="8" w:color="auto"/>
            </w:tcBorders>
            <w:shd w:val="clear" w:color="auto" w:fill="EAEAEA"/>
          </w:tcPr>
          <w:p>
            <w:pPr>
              <w:spacing w:after="0"/>
              <w:rPr>
                <w:sz w:val="7"/>
                <w:szCs w:val="7"/>
                <w:color w:val="auto"/>
              </w:rPr>
            </w:pPr>
          </w:p>
        </w:tc>
        <w:tc>
          <w:tcPr>
            <w:tcW w:w="1460" w:type="dxa"/>
            <w:vAlign w:val="bottom"/>
            <w:tcBorders>
              <w:bottom w:val="single" w:sz="8" w:color="auto"/>
            </w:tcBorders>
            <w:shd w:val="clear" w:color="auto" w:fill="EAEAEA"/>
          </w:tcPr>
          <w:p>
            <w:pPr>
              <w:spacing w:after="0"/>
              <w:rPr>
                <w:sz w:val="7"/>
                <w:szCs w:val="7"/>
                <w:color w:val="auto"/>
              </w:rPr>
            </w:pPr>
          </w:p>
        </w:tc>
        <w:tc>
          <w:tcPr>
            <w:tcW w:w="1080" w:type="dxa"/>
            <w:vAlign w:val="bottom"/>
            <w:tcBorders>
              <w:bottom w:val="single" w:sz="8" w:color="auto"/>
            </w:tcBorders>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80" w:type="dxa"/>
            <w:vAlign w:val="bottom"/>
            <w:shd w:val="clear" w:color="auto" w:fill="EAEAEA"/>
          </w:tcPr>
          <w:p>
            <w:pPr>
              <w:spacing w:after="0"/>
              <w:rPr>
                <w:sz w:val="6"/>
                <w:szCs w:val="6"/>
                <w:color w:val="auto"/>
              </w:rPr>
            </w:pPr>
          </w:p>
        </w:tc>
        <w:tc>
          <w:tcPr>
            <w:tcW w:w="4020" w:type="dxa"/>
            <w:vAlign w:val="bottom"/>
            <w:vMerge w:val="continue"/>
            <w:shd w:val="clear" w:color="auto" w:fill="EAEAEA"/>
          </w:tcPr>
          <w:p>
            <w:pPr>
              <w:spacing w:after="0"/>
              <w:rPr>
                <w:sz w:val="6"/>
                <w:szCs w:val="6"/>
                <w:color w:val="auto"/>
              </w:rPr>
            </w:pPr>
          </w:p>
        </w:tc>
        <w:tc>
          <w:tcPr>
            <w:tcW w:w="720" w:type="dxa"/>
            <w:vAlign w:val="bottom"/>
            <w:vMerge w:val="restart"/>
            <w:shd w:val="clear" w:color="auto" w:fill="EAEAEA"/>
          </w:tcPr>
          <w:p>
            <w:pPr>
              <w:ind w:left="200"/>
              <w:spacing w:after="0"/>
              <w:rPr>
                <w:sz w:val="20"/>
                <w:szCs w:val="20"/>
                <w:color w:val="auto"/>
              </w:rPr>
            </w:pPr>
            <w:r>
              <w:rPr>
                <w:rFonts w:ascii="Arial" w:cs="Arial" w:eastAsia="Arial" w:hAnsi="Arial"/>
                <w:sz w:val="14"/>
                <w:szCs w:val="14"/>
                <w:color w:val="auto"/>
              </w:rPr>
              <w:t>2021</w:t>
            </w:r>
          </w:p>
        </w:tc>
        <w:tc>
          <w:tcPr>
            <w:tcW w:w="1080" w:type="dxa"/>
            <w:vAlign w:val="bottom"/>
            <w:vMerge w:val="restart"/>
            <w:shd w:val="clear" w:color="auto" w:fill="EAEAEA"/>
          </w:tcPr>
          <w:p>
            <w:pPr>
              <w:jc w:val="right"/>
              <w:spacing w:after="0"/>
              <w:rPr>
                <w:sz w:val="20"/>
                <w:szCs w:val="20"/>
                <w:color w:val="auto"/>
              </w:rPr>
            </w:pPr>
            <w:r>
              <w:rPr>
                <w:rFonts w:ascii="Arial" w:cs="Arial" w:eastAsia="Arial" w:hAnsi="Arial"/>
                <w:sz w:val="14"/>
                <w:szCs w:val="14"/>
                <w:color w:val="auto"/>
              </w:rPr>
              <w:t>591,923</w:t>
            </w:r>
          </w:p>
        </w:tc>
        <w:tc>
          <w:tcPr>
            <w:tcW w:w="1360" w:type="dxa"/>
            <w:vAlign w:val="bottom"/>
            <w:vMerge w:val="restart"/>
            <w:shd w:val="clear" w:color="auto" w:fill="EAEAEA"/>
          </w:tcPr>
          <w:p>
            <w:pPr>
              <w:jc w:val="right"/>
              <w:ind w:right="128"/>
              <w:spacing w:after="0"/>
              <w:rPr>
                <w:sz w:val="20"/>
                <w:szCs w:val="20"/>
                <w:color w:val="auto"/>
              </w:rPr>
            </w:pPr>
            <w:r>
              <w:rPr>
                <w:rFonts w:ascii="Arial" w:cs="Arial" w:eastAsia="Arial" w:hAnsi="Arial"/>
                <w:sz w:val="14"/>
                <w:szCs w:val="14"/>
                <w:color w:val="auto"/>
              </w:rPr>
              <w:t>3,018,091</w:t>
            </w:r>
          </w:p>
        </w:tc>
        <w:tc>
          <w:tcPr>
            <w:tcW w:w="1440" w:type="dxa"/>
            <w:vAlign w:val="bottom"/>
            <w:vMerge w:val="restart"/>
            <w:shd w:val="clear" w:color="auto" w:fill="EAEAEA"/>
          </w:tcPr>
          <w:p>
            <w:pPr>
              <w:jc w:val="right"/>
              <w:ind w:right="169"/>
              <w:spacing w:after="0"/>
              <w:rPr>
                <w:sz w:val="20"/>
                <w:szCs w:val="20"/>
                <w:color w:val="auto"/>
              </w:rPr>
            </w:pPr>
            <w:r>
              <w:rPr>
                <w:rFonts w:ascii="Arial" w:cs="Arial" w:eastAsia="Arial" w:hAnsi="Arial"/>
                <w:sz w:val="14"/>
                <w:szCs w:val="14"/>
                <w:color w:val="auto"/>
              </w:rPr>
              <w:t>380,000</w:t>
            </w:r>
          </w:p>
        </w:tc>
        <w:tc>
          <w:tcPr>
            <w:tcW w:w="1460" w:type="dxa"/>
            <w:vAlign w:val="bottom"/>
            <w:vMerge w:val="restart"/>
            <w:shd w:val="clear" w:color="auto" w:fill="EAEAEA"/>
          </w:tcPr>
          <w:p>
            <w:pPr>
              <w:jc w:val="right"/>
              <w:ind w:right="168"/>
              <w:spacing w:after="0"/>
              <w:rPr>
                <w:sz w:val="20"/>
                <w:szCs w:val="20"/>
                <w:color w:val="auto"/>
              </w:rPr>
            </w:pPr>
            <w:r>
              <w:rPr>
                <w:rFonts w:ascii="Arial" w:cs="Arial" w:eastAsia="Arial" w:hAnsi="Arial"/>
                <w:sz w:val="14"/>
                <w:szCs w:val="14"/>
                <w:color w:val="auto"/>
              </w:rPr>
              <w:t>11,322</w:t>
            </w:r>
          </w:p>
        </w:tc>
        <w:tc>
          <w:tcPr>
            <w:tcW w:w="1080" w:type="dxa"/>
            <w:vAlign w:val="bottom"/>
            <w:vMerge w:val="restart"/>
            <w:shd w:val="clear" w:color="auto" w:fill="EAEAEA"/>
          </w:tcPr>
          <w:p>
            <w:pPr>
              <w:jc w:val="right"/>
              <w:ind w:right="48"/>
              <w:spacing w:after="0"/>
              <w:rPr>
                <w:sz w:val="20"/>
                <w:szCs w:val="20"/>
                <w:color w:val="auto"/>
              </w:rPr>
            </w:pPr>
            <w:r>
              <w:rPr>
                <w:rFonts w:ascii="Arial" w:cs="Arial" w:eastAsia="Arial" w:hAnsi="Arial"/>
                <w:sz w:val="14"/>
                <w:szCs w:val="14"/>
                <w:color w:val="auto"/>
              </w:rPr>
              <w:t>4,001,336</w:t>
            </w:r>
          </w:p>
        </w:tc>
        <w:tc>
          <w:tcPr>
            <w:tcW w:w="0" w:type="dxa"/>
            <w:vAlign w:val="bottom"/>
          </w:tcPr>
          <w:p>
            <w:pPr>
              <w:spacing w:after="0"/>
              <w:rPr>
                <w:sz w:val="1"/>
                <w:szCs w:val="1"/>
                <w:color w:val="auto"/>
              </w:rPr>
            </w:pPr>
          </w:p>
        </w:tc>
      </w:tr>
      <w:tr>
        <w:trPr>
          <w:trHeight w:val="162"/>
        </w:trPr>
        <w:tc>
          <w:tcPr>
            <w:tcW w:w="80" w:type="dxa"/>
            <w:vAlign w:val="bottom"/>
            <w:shd w:val="clear" w:color="auto" w:fill="EAEAEA"/>
          </w:tcPr>
          <w:p>
            <w:pPr>
              <w:spacing w:after="0"/>
              <w:rPr>
                <w:sz w:val="14"/>
                <w:szCs w:val="14"/>
                <w:color w:val="auto"/>
              </w:rPr>
            </w:pPr>
          </w:p>
        </w:tc>
        <w:tc>
          <w:tcPr>
            <w:tcW w:w="4020" w:type="dxa"/>
            <w:vAlign w:val="bottom"/>
            <w:shd w:val="clear" w:color="auto" w:fill="EAEAEA"/>
          </w:tcPr>
          <w:p>
            <w:pPr>
              <w:spacing w:after="0"/>
              <w:rPr>
                <w:sz w:val="14"/>
                <w:szCs w:val="14"/>
                <w:color w:val="auto"/>
              </w:rPr>
            </w:pPr>
          </w:p>
        </w:tc>
        <w:tc>
          <w:tcPr>
            <w:tcW w:w="720" w:type="dxa"/>
            <w:vAlign w:val="bottom"/>
            <w:vMerge w:val="continue"/>
            <w:shd w:val="clear" w:color="auto" w:fill="EAEAEA"/>
          </w:tcPr>
          <w:p>
            <w:pPr>
              <w:spacing w:after="0"/>
              <w:rPr>
                <w:sz w:val="14"/>
                <w:szCs w:val="14"/>
                <w:color w:val="auto"/>
              </w:rPr>
            </w:pPr>
          </w:p>
        </w:tc>
        <w:tc>
          <w:tcPr>
            <w:tcW w:w="1080" w:type="dxa"/>
            <w:vAlign w:val="bottom"/>
            <w:vMerge w:val="continue"/>
            <w:shd w:val="clear" w:color="auto" w:fill="EAEAEA"/>
          </w:tcPr>
          <w:p>
            <w:pPr>
              <w:spacing w:after="0"/>
              <w:rPr>
                <w:sz w:val="14"/>
                <w:szCs w:val="14"/>
                <w:color w:val="auto"/>
              </w:rPr>
            </w:pPr>
          </w:p>
        </w:tc>
        <w:tc>
          <w:tcPr>
            <w:tcW w:w="1360" w:type="dxa"/>
            <w:vAlign w:val="bottom"/>
            <w:vMerge w:val="continue"/>
            <w:shd w:val="clear" w:color="auto" w:fill="EAEAEA"/>
          </w:tcPr>
          <w:p>
            <w:pPr>
              <w:spacing w:after="0"/>
              <w:rPr>
                <w:sz w:val="14"/>
                <w:szCs w:val="14"/>
                <w:color w:val="auto"/>
              </w:rPr>
            </w:pPr>
          </w:p>
        </w:tc>
        <w:tc>
          <w:tcPr>
            <w:tcW w:w="1440" w:type="dxa"/>
            <w:vAlign w:val="bottom"/>
            <w:vMerge w:val="continue"/>
            <w:shd w:val="clear" w:color="auto" w:fill="EAEAEA"/>
          </w:tcPr>
          <w:p>
            <w:pPr>
              <w:spacing w:after="0"/>
              <w:rPr>
                <w:sz w:val="14"/>
                <w:szCs w:val="14"/>
                <w:color w:val="auto"/>
              </w:rPr>
            </w:pPr>
          </w:p>
        </w:tc>
        <w:tc>
          <w:tcPr>
            <w:tcW w:w="1460" w:type="dxa"/>
            <w:vAlign w:val="bottom"/>
            <w:vMerge w:val="continue"/>
            <w:shd w:val="clear" w:color="auto" w:fill="EAEAEA"/>
          </w:tcPr>
          <w:p>
            <w:pPr>
              <w:spacing w:after="0"/>
              <w:rPr>
                <w:sz w:val="14"/>
                <w:szCs w:val="14"/>
                <w:color w:val="auto"/>
              </w:rPr>
            </w:pPr>
          </w:p>
        </w:tc>
        <w:tc>
          <w:tcPr>
            <w:tcW w:w="1080" w:type="dxa"/>
            <w:vAlign w:val="bottom"/>
            <w:vMerge w:val="continue"/>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80" w:type="dxa"/>
            <w:vAlign w:val="bottom"/>
            <w:shd w:val="clear" w:color="auto" w:fill="EAEAEA"/>
          </w:tcPr>
          <w:p>
            <w:pPr>
              <w:spacing w:after="0"/>
              <w:rPr>
                <w:sz w:val="5"/>
                <w:szCs w:val="5"/>
                <w:color w:val="auto"/>
              </w:rPr>
            </w:pPr>
          </w:p>
        </w:tc>
        <w:tc>
          <w:tcPr>
            <w:tcW w:w="4020" w:type="dxa"/>
            <w:vAlign w:val="bottom"/>
            <w:shd w:val="clear" w:color="auto" w:fill="EAEAEA"/>
          </w:tcPr>
          <w:p>
            <w:pPr>
              <w:spacing w:after="0"/>
              <w:rPr>
                <w:sz w:val="5"/>
                <w:szCs w:val="5"/>
                <w:color w:val="auto"/>
              </w:rPr>
            </w:pPr>
          </w:p>
        </w:tc>
        <w:tc>
          <w:tcPr>
            <w:tcW w:w="720" w:type="dxa"/>
            <w:vAlign w:val="bottom"/>
            <w:shd w:val="clear" w:color="auto" w:fill="EAEAEA"/>
          </w:tcPr>
          <w:p>
            <w:pPr>
              <w:spacing w:after="0"/>
              <w:rPr>
                <w:sz w:val="5"/>
                <w:szCs w:val="5"/>
                <w:color w:val="auto"/>
              </w:rPr>
            </w:pPr>
          </w:p>
        </w:tc>
        <w:tc>
          <w:tcPr>
            <w:tcW w:w="1080" w:type="dxa"/>
            <w:vAlign w:val="bottom"/>
            <w:shd w:val="clear" w:color="auto" w:fill="EAEAEA"/>
          </w:tcPr>
          <w:p>
            <w:pPr>
              <w:spacing w:after="0"/>
              <w:rPr>
                <w:sz w:val="5"/>
                <w:szCs w:val="5"/>
                <w:color w:val="auto"/>
              </w:rPr>
            </w:pPr>
          </w:p>
        </w:tc>
        <w:tc>
          <w:tcPr>
            <w:tcW w:w="1360" w:type="dxa"/>
            <w:vAlign w:val="bottom"/>
            <w:shd w:val="clear" w:color="auto" w:fill="EAEAEA"/>
          </w:tcPr>
          <w:p>
            <w:pPr>
              <w:spacing w:after="0"/>
              <w:rPr>
                <w:sz w:val="5"/>
                <w:szCs w:val="5"/>
                <w:color w:val="auto"/>
              </w:rPr>
            </w:pPr>
          </w:p>
        </w:tc>
        <w:tc>
          <w:tcPr>
            <w:tcW w:w="1440" w:type="dxa"/>
            <w:vAlign w:val="bottom"/>
            <w:shd w:val="clear" w:color="auto" w:fill="EAEAEA"/>
          </w:tcPr>
          <w:p>
            <w:pPr>
              <w:spacing w:after="0"/>
              <w:rPr>
                <w:sz w:val="5"/>
                <w:szCs w:val="5"/>
                <w:color w:val="auto"/>
              </w:rPr>
            </w:pPr>
          </w:p>
        </w:tc>
        <w:tc>
          <w:tcPr>
            <w:tcW w:w="1460" w:type="dxa"/>
            <w:vAlign w:val="bottom"/>
            <w:shd w:val="clear" w:color="auto" w:fill="EAEAEA"/>
          </w:tcPr>
          <w:p>
            <w:pPr>
              <w:spacing w:after="0"/>
              <w:rPr>
                <w:sz w:val="5"/>
                <w:szCs w:val="5"/>
                <w:color w:val="auto"/>
              </w:rPr>
            </w:pPr>
          </w:p>
        </w:tc>
        <w:tc>
          <w:tcPr>
            <w:tcW w:w="1080" w:type="dxa"/>
            <w:vAlign w:val="bottom"/>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020" w:type="dxa"/>
            <w:vAlign w:val="bottom"/>
          </w:tcPr>
          <w:p>
            <w:pPr>
              <w:ind w:left="20"/>
              <w:spacing w:after="0"/>
              <w:rPr>
                <w:sz w:val="20"/>
                <w:szCs w:val="20"/>
                <w:color w:val="auto"/>
              </w:rPr>
            </w:pPr>
            <w:r>
              <w:rPr>
                <w:rFonts w:ascii="Arial" w:cs="Arial" w:eastAsia="Arial" w:hAnsi="Arial"/>
                <w:sz w:val="14"/>
                <w:szCs w:val="14"/>
                <w:b w:val="1"/>
                <w:bCs w:val="1"/>
                <w:color w:val="auto"/>
              </w:rPr>
              <w:t>Neena M. Patil</w:t>
            </w: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auto"/>
              </w:rPr>
              <w:t>Executive Vice President</w:t>
            </w:r>
          </w:p>
        </w:tc>
        <w:tc>
          <w:tcPr>
            <w:tcW w:w="720" w:type="dxa"/>
            <w:vAlign w:val="bottom"/>
          </w:tcPr>
          <w:p>
            <w:pPr>
              <w:ind w:left="200"/>
              <w:spacing w:after="0"/>
              <w:rPr>
                <w:sz w:val="20"/>
                <w:szCs w:val="20"/>
                <w:color w:val="auto"/>
              </w:rPr>
            </w:pPr>
            <w:r>
              <w:rPr>
                <w:rFonts w:ascii="Arial" w:cs="Arial" w:eastAsia="Arial" w:hAnsi="Arial"/>
                <w:sz w:val="14"/>
                <w:szCs w:val="14"/>
                <w:color w:val="auto"/>
              </w:rPr>
              <w:t>2023</w:t>
            </w:r>
          </w:p>
        </w:tc>
        <w:tc>
          <w:tcPr>
            <w:tcW w:w="1080" w:type="dxa"/>
            <w:vAlign w:val="bottom"/>
          </w:tcPr>
          <w:p>
            <w:pPr>
              <w:jc w:val="right"/>
              <w:spacing w:after="0"/>
              <w:rPr>
                <w:sz w:val="20"/>
                <w:szCs w:val="20"/>
                <w:color w:val="auto"/>
              </w:rPr>
            </w:pPr>
            <w:r>
              <w:rPr>
                <w:rFonts w:ascii="Arial" w:cs="Arial" w:eastAsia="Arial" w:hAnsi="Arial"/>
                <w:sz w:val="14"/>
                <w:szCs w:val="14"/>
                <w:color w:val="auto"/>
              </w:rPr>
              <w:t>673,945</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2,865,730</w:t>
            </w:r>
          </w:p>
        </w:tc>
        <w:tc>
          <w:tcPr>
            <w:tcW w:w="1440" w:type="dxa"/>
            <w:vAlign w:val="bottom"/>
          </w:tcPr>
          <w:p>
            <w:pPr>
              <w:jc w:val="right"/>
              <w:ind w:right="169"/>
              <w:spacing w:after="0"/>
              <w:rPr>
                <w:sz w:val="20"/>
                <w:szCs w:val="20"/>
                <w:color w:val="auto"/>
              </w:rPr>
            </w:pPr>
            <w:r>
              <w:rPr>
                <w:rFonts w:ascii="Arial" w:cs="Arial" w:eastAsia="Arial" w:hAnsi="Arial"/>
                <w:sz w:val="14"/>
                <w:szCs w:val="14"/>
                <w:color w:val="auto"/>
              </w:rPr>
              <w:t>320,000</w:t>
            </w:r>
          </w:p>
        </w:tc>
        <w:tc>
          <w:tcPr>
            <w:tcW w:w="1460" w:type="dxa"/>
            <w:vAlign w:val="bottom"/>
          </w:tcPr>
          <w:p>
            <w:pPr>
              <w:jc w:val="right"/>
              <w:ind w:right="168"/>
              <w:spacing w:after="0"/>
              <w:rPr>
                <w:sz w:val="20"/>
                <w:szCs w:val="20"/>
                <w:color w:val="auto"/>
              </w:rPr>
            </w:pPr>
            <w:r>
              <w:rPr>
                <w:rFonts w:ascii="Arial" w:cs="Arial" w:eastAsia="Arial" w:hAnsi="Arial"/>
                <w:sz w:val="14"/>
                <w:szCs w:val="14"/>
                <w:color w:val="auto"/>
              </w:rPr>
              <w:t>17,760</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3,877,435</w:t>
            </w: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auto"/>
              </w:rPr>
              <w:t>and Chief Legal Officer</w:t>
            </w: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80" w:type="dxa"/>
            <w:vAlign w:val="bottom"/>
          </w:tcPr>
          <w:p>
            <w:pPr>
              <w:spacing w:after="0"/>
              <w:rPr>
                <w:sz w:val="6"/>
                <w:szCs w:val="6"/>
                <w:color w:val="auto"/>
              </w:rPr>
            </w:pPr>
          </w:p>
        </w:tc>
        <w:tc>
          <w:tcPr>
            <w:tcW w:w="4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80" w:type="dxa"/>
            <w:vAlign w:val="bottom"/>
            <w:shd w:val="clear" w:color="auto" w:fill="EAEAEA"/>
          </w:tcPr>
          <w:p>
            <w:pPr>
              <w:spacing w:after="0"/>
              <w:rPr>
                <w:sz w:val="21"/>
                <w:szCs w:val="21"/>
                <w:color w:val="auto"/>
              </w:rPr>
            </w:pPr>
          </w:p>
        </w:tc>
        <w:tc>
          <w:tcPr>
            <w:tcW w:w="4020" w:type="dxa"/>
            <w:vAlign w:val="bottom"/>
            <w:shd w:val="clear" w:color="auto" w:fill="EAEAEA"/>
          </w:tcPr>
          <w:p>
            <w:pPr>
              <w:spacing w:after="0"/>
              <w:rPr>
                <w:sz w:val="21"/>
                <w:szCs w:val="21"/>
                <w:color w:val="auto"/>
              </w:rPr>
            </w:pPr>
          </w:p>
        </w:tc>
        <w:tc>
          <w:tcPr>
            <w:tcW w:w="720" w:type="dxa"/>
            <w:vAlign w:val="bottom"/>
            <w:shd w:val="clear" w:color="auto" w:fill="EAEAEA"/>
          </w:tcPr>
          <w:p>
            <w:pPr>
              <w:ind w:left="200"/>
              <w:spacing w:after="0"/>
              <w:rPr>
                <w:sz w:val="20"/>
                <w:szCs w:val="20"/>
                <w:color w:val="auto"/>
              </w:rPr>
            </w:pPr>
            <w:r>
              <w:rPr>
                <w:rFonts w:ascii="Arial" w:cs="Arial" w:eastAsia="Arial" w:hAnsi="Arial"/>
                <w:sz w:val="14"/>
                <w:szCs w:val="14"/>
                <w:color w:val="auto"/>
              </w:rPr>
              <w:t>2023</w:t>
            </w:r>
          </w:p>
        </w:tc>
        <w:tc>
          <w:tcPr>
            <w:tcW w:w="10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834,869</w:t>
            </w:r>
          </w:p>
        </w:tc>
        <w:tc>
          <w:tcPr>
            <w:tcW w:w="1360" w:type="dxa"/>
            <w:vAlign w:val="bottom"/>
            <w:shd w:val="clear" w:color="auto" w:fill="EAEAEA"/>
          </w:tcPr>
          <w:p>
            <w:pPr>
              <w:jc w:val="right"/>
              <w:ind w:right="128"/>
              <w:spacing w:after="0"/>
              <w:rPr>
                <w:sz w:val="20"/>
                <w:szCs w:val="20"/>
                <w:color w:val="auto"/>
              </w:rPr>
            </w:pPr>
            <w:r>
              <w:rPr>
                <w:rFonts w:ascii="Arial" w:cs="Arial" w:eastAsia="Arial" w:hAnsi="Arial"/>
                <w:sz w:val="14"/>
                <w:szCs w:val="14"/>
                <w:color w:val="auto"/>
              </w:rPr>
              <w:t>4,093,987</w:t>
            </w:r>
          </w:p>
        </w:tc>
        <w:tc>
          <w:tcPr>
            <w:tcW w:w="1440" w:type="dxa"/>
            <w:vAlign w:val="bottom"/>
            <w:shd w:val="clear" w:color="auto" w:fill="EAEAEA"/>
          </w:tcPr>
          <w:p>
            <w:pPr>
              <w:jc w:val="right"/>
              <w:ind w:right="169"/>
              <w:spacing w:after="0"/>
              <w:rPr>
                <w:sz w:val="20"/>
                <w:szCs w:val="20"/>
                <w:color w:val="auto"/>
              </w:rPr>
            </w:pPr>
            <w:r>
              <w:rPr>
                <w:rFonts w:ascii="Arial" w:cs="Arial" w:eastAsia="Arial" w:hAnsi="Arial"/>
                <w:sz w:val="14"/>
                <w:szCs w:val="14"/>
                <w:color w:val="auto"/>
              </w:rPr>
              <w:t>570,000</w:t>
            </w:r>
          </w:p>
        </w:tc>
        <w:tc>
          <w:tcPr>
            <w:tcW w:w="1460" w:type="dxa"/>
            <w:vAlign w:val="bottom"/>
            <w:shd w:val="clear" w:color="auto" w:fill="EAEAEA"/>
          </w:tcPr>
          <w:p>
            <w:pPr>
              <w:jc w:val="right"/>
              <w:ind w:right="168"/>
              <w:spacing w:after="0"/>
              <w:rPr>
                <w:sz w:val="20"/>
                <w:szCs w:val="20"/>
                <w:color w:val="auto"/>
              </w:rPr>
            </w:pPr>
            <w:r>
              <w:rPr>
                <w:rFonts w:ascii="Arial" w:cs="Arial" w:eastAsia="Arial" w:hAnsi="Arial"/>
                <w:sz w:val="14"/>
                <w:szCs w:val="14"/>
                <w:color w:val="auto"/>
              </w:rPr>
              <w:t>30,118</w:t>
            </w:r>
          </w:p>
        </w:tc>
        <w:tc>
          <w:tcPr>
            <w:tcW w:w="1080" w:type="dxa"/>
            <w:vAlign w:val="bottom"/>
            <w:shd w:val="clear" w:color="auto" w:fill="EAEAEA"/>
          </w:tcPr>
          <w:p>
            <w:pPr>
              <w:jc w:val="right"/>
              <w:ind w:right="48"/>
              <w:spacing w:after="0"/>
              <w:rPr>
                <w:sz w:val="20"/>
                <w:szCs w:val="20"/>
                <w:color w:val="auto"/>
              </w:rPr>
            </w:pPr>
            <w:r>
              <w:rPr>
                <w:rFonts w:ascii="Arial" w:cs="Arial" w:eastAsia="Arial" w:hAnsi="Arial"/>
                <w:sz w:val="14"/>
                <w:szCs w:val="14"/>
                <w:color w:val="auto"/>
              </w:rPr>
              <w:t>5,528,973</w:t>
            </w:r>
          </w:p>
        </w:tc>
        <w:tc>
          <w:tcPr>
            <w:tcW w:w="0" w:type="dxa"/>
            <w:vAlign w:val="bottom"/>
          </w:tcPr>
          <w:p>
            <w:pPr>
              <w:spacing w:after="0"/>
              <w:rPr>
                <w:sz w:val="1"/>
                <w:szCs w:val="1"/>
                <w:color w:val="auto"/>
              </w:rPr>
            </w:pPr>
          </w:p>
        </w:tc>
      </w:tr>
      <w:tr>
        <w:trPr>
          <w:trHeight w:val="76"/>
        </w:trPr>
        <w:tc>
          <w:tcPr>
            <w:tcW w:w="80" w:type="dxa"/>
            <w:vAlign w:val="bottom"/>
            <w:tcBorders>
              <w:bottom w:val="single" w:sz="8" w:color="EAEAEA"/>
            </w:tcBorders>
            <w:shd w:val="clear" w:color="auto" w:fill="EAEAEA"/>
          </w:tcPr>
          <w:p>
            <w:pPr>
              <w:spacing w:after="0"/>
              <w:rPr>
                <w:sz w:val="6"/>
                <w:szCs w:val="6"/>
                <w:color w:val="auto"/>
              </w:rPr>
            </w:pPr>
          </w:p>
        </w:tc>
        <w:tc>
          <w:tcPr>
            <w:tcW w:w="4020" w:type="dxa"/>
            <w:vAlign w:val="bottom"/>
            <w:tcBorders>
              <w:bottom w:val="single" w:sz="8" w:color="EAEAEA"/>
            </w:tcBorders>
            <w:vMerge w:val="restart"/>
            <w:shd w:val="clear" w:color="auto" w:fill="EAEAEA"/>
          </w:tcPr>
          <w:p>
            <w:pPr>
              <w:ind w:left="20"/>
              <w:spacing w:after="0"/>
              <w:rPr>
                <w:sz w:val="20"/>
                <w:szCs w:val="20"/>
                <w:color w:val="auto"/>
              </w:rPr>
            </w:pPr>
            <w:r>
              <w:rPr>
                <w:rFonts w:ascii="Arial" w:cs="Arial" w:eastAsia="Arial" w:hAnsi="Arial"/>
                <w:sz w:val="14"/>
                <w:szCs w:val="14"/>
                <w:b w:val="1"/>
                <w:bCs w:val="1"/>
                <w:color w:val="auto"/>
              </w:rPr>
              <w:t>Daniel N. Swisher, Jr.</w:t>
            </w:r>
            <w:r>
              <w:rPr>
                <w:rFonts w:ascii="Arial" w:cs="Arial" w:eastAsia="Arial" w:hAnsi="Arial"/>
                <w:sz w:val="18"/>
                <w:szCs w:val="18"/>
                <w:b w:val="1"/>
                <w:bCs w:val="1"/>
                <w:color w:val="auto"/>
                <w:vertAlign w:val="superscript"/>
              </w:rPr>
              <w:t>(7)</w:t>
            </w:r>
          </w:p>
        </w:tc>
        <w:tc>
          <w:tcPr>
            <w:tcW w:w="720" w:type="dxa"/>
            <w:vAlign w:val="bottom"/>
            <w:tcBorders>
              <w:bottom w:val="single" w:sz="8" w:color="auto"/>
            </w:tcBorders>
            <w:shd w:val="clear" w:color="auto" w:fill="EAEAEA"/>
          </w:tcPr>
          <w:p>
            <w:pPr>
              <w:spacing w:after="0"/>
              <w:rPr>
                <w:sz w:val="6"/>
                <w:szCs w:val="6"/>
                <w:color w:val="auto"/>
              </w:rPr>
            </w:pPr>
          </w:p>
        </w:tc>
        <w:tc>
          <w:tcPr>
            <w:tcW w:w="1080" w:type="dxa"/>
            <w:vAlign w:val="bottom"/>
            <w:tcBorders>
              <w:bottom w:val="single" w:sz="8" w:color="auto"/>
            </w:tcBorders>
            <w:shd w:val="clear" w:color="auto" w:fill="EAEAEA"/>
          </w:tcPr>
          <w:p>
            <w:pPr>
              <w:spacing w:after="0"/>
              <w:rPr>
                <w:sz w:val="6"/>
                <w:szCs w:val="6"/>
                <w:color w:val="auto"/>
              </w:rPr>
            </w:pPr>
          </w:p>
        </w:tc>
        <w:tc>
          <w:tcPr>
            <w:tcW w:w="1360" w:type="dxa"/>
            <w:vAlign w:val="bottom"/>
            <w:tcBorders>
              <w:bottom w:val="single" w:sz="8" w:color="auto"/>
            </w:tcBorders>
            <w:shd w:val="clear" w:color="auto" w:fill="EAEAEA"/>
          </w:tcPr>
          <w:p>
            <w:pPr>
              <w:spacing w:after="0"/>
              <w:rPr>
                <w:sz w:val="6"/>
                <w:szCs w:val="6"/>
                <w:color w:val="auto"/>
              </w:rPr>
            </w:pPr>
          </w:p>
        </w:tc>
        <w:tc>
          <w:tcPr>
            <w:tcW w:w="1440" w:type="dxa"/>
            <w:vAlign w:val="bottom"/>
            <w:tcBorders>
              <w:bottom w:val="single" w:sz="8" w:color="auto"/>
            </w:tcBorders>
            <w:shd w:val="clear" w:color="auto" w:fill="EAEAEA"/>
          </w:tcPr>
          <w:p>
            <w:pPr>
              <w:spacing w:after="0"/>
              <w:rPr>
                <w:sz w:val="6"/>
                <w:szCs w:val="6"/>
                <w:color w:val="auto"/>
              </w:rPr>
            </w:pPr>
          </w:p>
        </w:tc>
        <w:tc>
          <w:tcPr>
            <w:tcW w:w="1460" w:type="dxa"/>
            <w:vAlign w:val="bottom"/>
            <w:tcBorders>
              <w:bottom w:val="single" w:sz="8" w:color="auto"/>
            </w:tcBorders>
            <w:shd w:val="clear" w:color="auto" w:fill="EAEAEA"/>
          </w:tcPr>
          <w:p>
            <w:pPr>
              <w:spacing w:after="0"/>
              <w:rPr>
                <w:sz w:val="6"/>
                <w:szCs w:val="6"/>
                <w:color w:val="auto"/>
              </w:rPr>
            </w:pPr>
          </w:p>
        </w:tc>
        <w:tc>
          <w:tcPr>
            <w:tcW w:w="108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80" w:type="dxa"/>
            <w:vAlign w:val="bottom"/>
            <w:shd w:val="clear" w:color="auto" w:fill="EAEAEA"/>
          </w:tcPr>
          <w:p>
            <w:pPr>
              <w:spacing w:after="0"/>
              <w:rPr>
                <w:sz w:val="10"/>
                <w:szCs w:val="10"/>
                <w:color w:val="auto"/>
              </w:rPr>
            </w:pPr>
          </w:p>
        </w:tc>
        <w:tc>
          <w:tcPr>
            <w:tcW w:w="4020" w:type="dxa"/>
            <w:vAlign w:val="bottom"/>
            <w:vMerge w:val="continue"/>
            <w:shd w:val="clear" w:color="auto" w:fill="EAEAEA"/>
          </w:tcPr>
          <w:p>
            <w:pPr>
              <w:spacing w:after="0"/>
              <w:rPr>
                <w:sz w:val="10"/>
                <w:szCs w:val="10"/>
                <w:color w:val="auto"/>
              </w:rPr>
            </w:pPr>
          </w:p>
        </w:tc>
        <w:tc>
          <w:tcPr>
            <w:tcW w:w="720" w:type="dxa"/>
            <w:vAlign w:val="bottom"/>
            <w:vMerge w:val="restart"/>
            <w:shd w:val="clear" w:color="auto" w:fill="EAEAEA"/>
          </w:tcPr>
          <w:p>
            <w:pPr>
              <w:ind w:left="200"/>
              <w:spacing w:after="0"/>
              <w:rPr>
                <w:sz w:val="20"/>
                <w:szCs w:val="20"/>
                <w:color w:val="auto"/>
              </w:rPr>
            </w:pPr>
            <w:r>
              <w:rPr>
                <w:rFonts w:ascii="Arial" w:cs="Arial" w:eastAsia="Arial" w:hAnsi="Arial"/>
                <w:sz w:val="14"/>
                <w:szCs w:val="14"/>
                <w:color w:val="auto"/>
              </w:rPr>
              <w:t>2022</w:t>
            </w:r>
          </w:p>
        </w:tc>
        <w:tc>
          <w:tcPr>
            <w:tcW w:w="1080" w:type="dxa"/>
            <w:vAlign w:val="bottom"/>
            <w:vMerge w:val="restart"/>
            <w:shd w:val="clear" w:color="auto" w:fill="EAEAEA"/>
          </w:tcPr>
          <w:p>
            <w:pPr>
              <w:jc w:val="right"/>
              <w:spacing w:after="0"/>
              <w:rPr>
                <w:sz w:val="20"/>
                <w:szCs w:val="20"/>
                <w:color w:val="auto"/>
              </w:rPr>
            </w:pPr>
            <w:r>
              <w:rPr>
                <w:rFonts w:ascii="Arial" w:cs="Arial" w:eastAsia="Arial" w:hAnsi="Arial"/>
                <w:sz w:val="14"/>
                <w:szCs w:val="14"/>
                <w:color w:val="auto"/>
              </w:rPr>
              <w:t>801,433</w:t>
            </w:r>
          </w:p>
        </w:tc>
        <w:tc>
          <w:tcPr>
            <w:tcW w:w="1360" w:type="dxa"/>
            <w:vAlign w:val="bottom"/>
            <w:vMerge w:val="restart"/>
            <w:shd w:val="clear" w:color="auto" w:fill="EAEAEA"/>
          </w:tcPr>
          <w:p>
            <w:pPr>
              <w:jc w:val="right"/>
              <w:ind w:right="128"/>
              <w:spacing w:after="0"/>
              <w:rPr>
                <w:sz w:val="20"/>
                <w:szCs w:val="20"/>
                <w:color w:val="auto"/>
              </w:rPr>
            </w:pPr>
            <w:r>
              <w:rPr>
                <w:rFonts w:ascii="Arial" w:cs="Arial" w:eastAsia="Arial" w:hAnsi="Arial"/>
                <w:sz w:val="14"/>
                <w:szCs w:val="14"/>
                <w:color w:val="auto"/>
              </w:rPr>
              <w:t>4,485,538</w:t>
            </w:r>
          </w:p>
        </w:tc>
        <w:tc>
          <w:tcPr>
            <w:tcW w:w="1440" w:type="dxa"/>
            <w:vAlign w:val="bottom"/>
            <w:vMerge w:val="restart"/>
            <w:shd w:val="clear" w:color="auto" w:fill="EAEAEA"/>
          </w:tcPr>
          <w:p>
            <w:pPr>
              <w:jc w:val="right"/>
              <w:ind w:right="169"/>
              <w:spacing w:after="0"/>
              <w:rPr>
                <w:sz w:val="20"/>
                <w:szCs w:val="20"/>
                <w:color w:val="auto"/>
              </w:rPr>
            </w:pPr>
            <w:r>
              <w:rPr>
                <w:rFonts w:ascii="Arial" w:cs="Arial" w:eastAsia="Arial" w:hAnsi="Arial"/>
                <w:sz w:val="14"/>
                <w:szCs w:val="14"/>
                <w:color w:val="auto"/>
              </w:rPr>
              <w:t>639,000</w:t>
            </w:r>
          </w:p>
        </w:tc>
        <w:tc>
          <w:tcPr>
            <w:tcW w:w="1460" w:type="dxa"/>
            <w:vAlign w:val="bottom"/>
            <w:vMerge w:val="restart"/>
            <w:shd w:val="clear" w:color="auto" w:fill="EAEAEA"/>
          </w:tcPr>
          <w:p>
            <w:pPr>
              <w:jc w:val="right"/>
              <w:ind w:right="168"/>
              <w:spacing w:after="0"/>
              <w:rPr>
                <w:sz w:val="20"/>
                <w:szCs w:val="20"/>
                <w:color w:val="auto"/>
              </w:rPr>
            </w:pPr>
            <w:r>
              <w:rPr>
                <w:rFonts w:ascii="Arial" w:cs="Arial" w:eastAsia="Arial" w:hAnsi="Arial"/>
                <w:sz w:val="14"/>
                <w:szCs w:val="14"/>
                <w:color w:val="auto"/>
              </w:rPr>
              <w:t>27,774</w:t>
            </w:r>
          </w:p>
        </w:tc>
        <w:tc>
          <w:tcPr>
            <w:tcW w:w="1080" w:type="dxa"/>
            <w:vAlign w:val="bottom"/>
            <w:vMerge w:val="restart"/>
            <w:shd w:val="clear" w:color="auto" w:fill="EAEAEA"/>
          </w:tcPr>
          <w:p>
            <w:pPr>
              <w:jc w:val="right"/>
              <w:ind w:right="48"/>
              <w:spacing w:after="0"/>
              <w:rPr>
                <w:sz w:val="20"/>
                <w:szCs w:val="20"/>
                <w:color w:val="auto"/>
              </w:rPr>
            </w:pPr>
            <w:r>
              <w:rPr>
                <w:rFonts w:ascii="Arial" w:cs="Arial" w:eastAsia="Arial" w:hAnsi="Arial"/>
                <w:sz w:val="14"/>
                <w:szCs w:val="14"/>
                <w:color w:val="auto"/>
              </w:rPr>
              <w:t>5,953,745</w:t>
            </w:r>
          </w:p>
        </w:tc>
        <w:tc>
          <w:tcPr>
            <w:tcW w:w="0" w:type="dxa"/>
            <w:vAlign w:val="bottom"/>
          </w:tcPr>
          <w:p>
            <w:pPr>
              <w:spacing w:after="0"/>
              <w:rPr>
                <w:sz w:val="1"/>
                <w:szCs w:val="1"/>
                <w:color w:val="auto"/>
              </w:rPr>
            </w:pPr>
          </w:p>
        </w:tc>
      </w:tr>
      <w:tr>
        <w:trPr>
          <w:trHeight w:val="123"/>
        </w:trPr>
        <w:tc>
          <w:tcPr>
            <w:tcW w:w="80" w:type="dxa"/>
            <w:vAlign w:val="bottom"/>
            <w:shd w:val="clear" w:color="auto" w:fill="EAEAEA"/>
          </w:tcPr>
          <w:p>
            <w:pPr>
              <w:spacing w:after="0"/>
              <w:rPr>
                <w:sz w:val="10"/>
                <w:szCs w:val="10"/>
                <w:color w:val="auto"/>
              </w:rPr>
            </w:pPr>
          </w:p>
        </w:tc>
        <w:tc>
          <w:tcPr>
            <w:tcW w:w="4020" w:type="dxa"/>
            <w:vAlign w:val="bottom"/>
            <w:vMerge w:val="restart"/>
            <w:shd w:val="clear" w:color="auto" w:fill="EAEAEA"/>
          </w:tcPr>
          <w:p>
            <w:pPr>
              <w:ind w:left="20"/>
              <w:spacing w:after="0"/>
              <w:rPr>
                <w:sz w:val="20"/>
                <w:szCs w:val="20"/>
                <w:color w:val="auto"/>
              </w:rPr>
            </w:pPr>
            <w:r>
              <w:rPr>
                <w:rFonts w:ascii="Arial" w:cs="Arial" w:eastAsia="Arial" w:hAnsi="Arial"/>
                <w:sz w:val="14"/>
                <w:szCs w:val="14"/>
                <w:color w:val="auto"/>
              </w:rPr>
              <w:t>Former President and COO</w:t>
            </w:r>
          </w:p>
        </w:tc>
        <w:tc>
          <w:tcPr>
            <w:tcW w:w="720" w:type="dxa"/>
            <w:vAlign w:val="bottom"/>
            <w:vMerge w:val="continue"/>
            <w:shd w:val="clear" w:color="auto" w:fill="EAEAEA"/>
          </w:tcPr>
          <w:p>
            <w:pPr>
              <w:spacing w:after="0"/>
              <w:rPr>
                <w:sz w:val="10"/>
                <w:szCs w:val="10"/>
                <w:color w:val="auto"/>
              </w:rPr>
            </w:pPr>
          </w:p>
        </w:tc>
        <w:tc>
          <w:tcPr>
            <w:tcW w:w="1080" w:type="dxa"/>
            <w:vAlign w:val="bottom"/>
            <w:vMerge w:val="continue"/>
            <w:shd w:val="clear" w:color="auto" w:fill="EAEAEA"/>
          </w:tcPr>
          <w:p>
            <w:pPr>
              <w:spacing w:after="0"/>
              <w:rPr>
                <w:sz w:val="10"/>
                <w:szCs w:val="10"/>
                <w:color w:val="auto"/>
              </w:rPr>
            </w:pPr>
          </w:p>
        </w:tc>
        <w:tc>
          <w:tcPr>
            <w:tcW w:w="1360" w:type="dxa"/>
            <w:vAlign w:val="bottom"/>
            <w:vMerge w:val="continue"/>
            <w:shd w:val="clear" w:color="auto" w:fill="EAEAEA"/>
          </w:tcPr>
          <w:p>
            <w:pPr>
              <w:spacing w:after="0"/>
              <w:rPr>
                <w:sz w:val="10"/>
                <w:szCs w:val="10"/>
                <w:color w:val="auto"/>
              </w:rPr>
            </w:pPr>
          </w:p>
        </w:tc>
        <w:tc>
          <w:tcPr>
            <w:tcW w:w="1440" w:type="dxa"/>
            <w:vAlign w:val="bottom"/>
            <w:vMerge w:val="continue"/>
            <w:shd w:val="clear" w:color="auto" w:fill="EAEAEA"/>
          </w:tcPr>
          <w:p>
            <w:pPr>
              <w:spacing w:after="0"/>
              <w:rPr>
                <w:sz w:val="10"/>
                <w:szCs w:val="10"/>
                <w:color w:val="auto"/>
              </w:rPr>
            </w:pPr>
          </w:p>
        </w:tc>
        <w:tc>
          <w:tcPr>
            <w:tcW w:w="1460" w:type="dxa"/>
            <w:vAlign w:val="bottom"/>
            <w:vMerge w:val="continue"/>
            <w:shd w:val="clear" w:color="auto" w:fill="EAEAEA"/>
          </w:tcPr>
          <w:p>
            <w:pPr>
              <w:spacing w:after="0"/>
              <w:rPr>
                <w:sz w:val="10"/>
                <w:szCs w:val="10"/>
                <w:color w:val="auto"/>
              </w:rPr>
            </w:pPr>
          </w:p>
        </w:tc>
        <w:tc>
          <w:tcPr>
            <w:tcW w:w="1080" w:type="dxa"/>
            <w:vAlign w:val="bottom"/>
            <w:vMerge w:val="continue"/>
            <w:shd w:val="clear" w:color="auto" w:fill="EAEAEA"/>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EAEAEA"/>
            </w:tcBorders>
            <w:shd w:val="clear" w:color="auto" w:fill="EAEAEA"/>
          </w:tcPr>
          <w:p>
            <w:pPr>
              <w:spacing w:after="0"/>
              <w:rPr>
                <w:sz w:val="5"/>
                <w:szCs w:val="5"/>
                <w:color w:val="auto"/>
              </w:rPr>
            </w:pPr>
          </w:p>
        </w:tc>
        <w:tc>
          <w:tcPr>
            <w:tcW w:w="4020" w:type="dxa"/>
            <w:vAlign w:val="bottom"/>
            <w:tcBorders>
              <w:bottom w:val="single" w:sz="8" w:color="EAEAEA"/>
            </w:tcBorders>
            <w:vMerge w:val="continue"/>
            <w:shd w:val="clear" w:color="auto" w:fill="EAEAEA"/>
          </w:tcPr>
          <w:p>
            <w:pPr>
              <w:spacing w:after="0"/>
              <w:rPr>
                <w:sz w:val="5"/>
                <w:szCs w:val="5"/>
                <w:color w:val="auto"/>
              </w:rPr>
            </w:pPr>
          </w:p>
        </w:tc>
        <w:tc>
          <w:tcPr>
            <w:tcW w:w="720" w:type="dxa"/>
            <w:vAlign w:val="bottom"/>
            <w:tcBorders>
              <w:bottom w:val="single" w:sz="8" w:color="auto"/>
            </w:tcBorders>
            <w:shd w:val="clear" w:color="auto" w:fill="EAEAEA"/>
          </w:tcPr>
          <w:p>
            <w:pPr>
              <w:spacing w:after="0"/>
              <w:rPr>
                <w:sz w:val="5"/>
                <w:szCs w:val="5"/>
                <w:color w:val="auto"/>
              </w:rPr>
            </w:pPr>
          </w:p>
        </w:tc>
        <w:tc>
          <w:tcPr>
            <w:tcW w:w="1080" w:type="dxa"/>
            <w:vAlign w:val="bottom"/>
            <w:tcBorders>
              <w:bottom w:val="single" w:sz="8" w:color="auto"/>
            </w:tcBorders>
            <w:shd w:val="clear" w:color="auto" w:fill="EAEAEA"/>
          </w:tcPr>
          <w:p>
            <w:pPr>
              <w:spacing w:after="0"/>
              <w:rPr>
                <w:sz w:val="5"/>
                <w:szCs w:val="5"/>
                <w:color w:val="auto"/>
              </w:rPr>
            </w:pPr>
          </w:p>
        </w:tc>
        <w:tc>
          <w:tcPr>
            <w:tcW w:w="1360" w:type="dxa"/>
            <w:vAlign w:val="bottom"/>
            <w:tcBorders>
              <w:bottom w:val="single" w:sz="8" w:color="auto"/>
            </w:tcBorders>
            <w:shd w:val="clear" w:color="auto" w:fill="EAEAEA"/>
          </w:tcPr>
          <w:p>
            <w:pPr>
              <w:spacing w:after="0"/>
              <w:rPr>
                <w:sz w:val="5"/>
                <w:szCs w:val="5"/>
                <w:color w:val="auto"/>
              </w:rPr>
            </w:pPr>
          </w:p>
        </w:tc>
        <w:tc>
          <w:tcPr>
            <w:tcW w:w="1440" w:type="dxa"/>
            <w:vAlign w:val="bottom"/>
            <w:tcBorders>
              <w:bottom w:val="single" w:sz="8" w:color="auto"/>
            </w:tcBorders>
            <w:shd w:val="clear" w:color="auto" w:fill="EAEAEA"/>
          </w:tcPr>
          <w:p>
            <w:pPr>
              <w:spacing w:after="0"/>
              <w:rPr>
                <w:sz w:val="5"/>
                <w:szCs w:val="5"/>
                <w:color w:val="auto"/>
              </w:rPr>
            </w:pPr>
          </w:p>
        </w:tc>
        <w:tc>
          <w:tcPr>
            <w:tcW w:w="1460" w:type="dxa"/>
            <w:vAlign w:val="bottom"/>
            <w:tcBorders>
              <w:bottom w:val="single" w:sz="8" w:color="auto"/>
            </w:tcBorders>
            <w:shd w:val="clear" w:color="auto" w:fill="EAEAEA"/>
          </w:tcPr>
          <w:p>
            <w:pPr>
              <w:spacing w:after="0"/>
              <w:rPr>
                <w:sz w:val="5"/>
                <w:szCs w:val="5"/>
                <w:color w:val="auto"/>
              </w:rPr>
            </w:pPr>
          </w:p>
        </w:tc>
        <w:tc>
          <w:tcPr>
            <w:tcW w:w="1080" w:type="dxa"/>
            <w:vAlign w:val="bottom"/>
            <w:tcBorders>
              <w:bottom w:val="single" w:sz="8" w:color="auto"/>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EAEAEA"/>
          </w:tcPr>
          <w:p>
            <w:pPr>
              <w:spacing w:after="0"/>
              <w:rPr>
                <w:sz w:val="21"/>
                <w:szCs w:val="21"/>
                <w:color w:val="auto"/>
              </w:rPr>
            </w:pPr>
          </w:p>
        </w:tc>
        <w:tc>
          <w:tcPr>
            <w:tcW w:w="4020" w:type="dxa"/>
            <w:vAlign w:val="bottom"/>
            <w:shd w:val="clear" w:color="auto" w:fill="EAEAEA"/>
          </w:tcPr>
          <w:p>
            <w:pPr>
              <w:spacing w:after="0"/>
              <w:rPr>
                <w:sz w:val="21"/>
                <w:szCs w:val="21"/>
                <w:color w:val="auto"/>
              </w:rPr>
            </w:pPr>
          </w:p>
        </w:tc>
        <w:tc>
          <w:tcPr>
            <w:tcW w:w="720" w:type="dxa"/>
            <w:vAlign w:val="bottom"/>
            <w:shd w:val="clear" w:color="auto" w:fill="EAEAEA"/>
          </w:tcPr>
          <w:p>
            <w:pPr>
              <w:ind w:left="200"/>
              <w:spacing w:after="0"/>
              <w:rPr>
                <w:sz w:val="20"/>
                <w:szCs w:val="20"/>
                <w:color w:val="auto"/>
              </w:rPr>
            </w:pPr>
            <w:r>
              <w:rPr>
                <w:rFonts w:ascii="Arial" w:cs="Arial" w:eastAsia="Arial" w:hAnsi="Arial"/>
                <w:sz w:val="14"/>
                <w:szCs w:val="14"/>
                <w:color w:val="auto"/>
              </w:rPr>
              <w:t>2021</w:t>
            </w:r>
          </w:p>
        </w:tc>
        <w:tc>
          <w:tcPr>
            <w:tcW w:w="10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711,154</w:t>
            </w:r>
          </w:p>
        </w:tc>
        <w:tc>
          <w:tcPr>
            <w:tcW w:w="1360" w:type="dxa"/>
            <w:vAlign w:val="bottom"/>
            <w:shd w:val="clear" w:color="auto" w:fill="EAEAEA"/>
          </w:tcPr>
          <w:p>
            <w:pPr>
              <w:jc w:val="right"/>
              <w:ind w:right="128"/>
              <w:spacing w:after="0"/>
              <w:rPr>
                <w:sz w:val="20"/>
                <w:szCs w:val="20"/>
                <w:color w:val="auto"/>
              </w:rPr>
            </w:pPr>
            <w:r>
              <w:rPr>
                <w:rFonts w:ascii="Arial" w:cs="Arial" w:eastAsia="Arial" w:hAnsi="Arial"/>
                <w:sz w:val="14"/>
                <w:szCs w:val="14"/>
                <w:color w:val="auto"/>
              </w:rPr>
              <w:t>4,136,737</w:t>
            </w:r>
          </w:p>
        </w:tc>
        <w:tc>
          <w:tcPr>
            <w:tcW w:w="1440" w:type="dxa"/>
            <w:vAlign w:val="bottom"/>
            <w:shd w:val="clear" w:color="auto" w:fill="EAEAEA"/>
          </w:tcPr>
          <w:p>
            <w:pPr>
              <w:jc w:val="right"/>
              <w:ind w:right="169"/>
              <w:spacing w:after="0"/>
              <w:rPr>
                <w:sz w:val="20"/>
                <w:szCs w:val="20"/>
                <w:color w:val="auto"/>
              </w:rPr>
            </w:pPr>
            <w:r>
              <w:rPr>
                <w:rFonts w:ascii="Arial" w:cs="Arial" w:eastAsia="Arial" w:hAnsi="Arial"/>
                <w:sz w:val="14"/>
                <w:szCs w:val="14"/>
                <w:color w:val="auto"/>
              </w:rPr>
              <w:t>540,000</w:t>
            </w:r>
          </w:p>
        </w:tc>
        <w:tc>
          <w:tcPr>
            <w:tcW w:w="1460" w:type="dxa"/>
            <w:vAlign w:val="bottom"/>
            <w:shd w:val="clear" w:color="auto" w:fill="EAEAEA"/>
          </w:tcPr>
          <w:p>
            <w:pPr>
              <w:jc w:val="right"/>
              <w:ind w:right="168"/>
              <w:spacing w:after="0"/>
              <w:rPr>
                <w:sz w:val="20"/>
                <w:szCs w:val="20"/>
                <w:color w:val="auto"/>
              </w:rPr>
            </w:pPr>
            <w:r>
              <w:rPr>
                <w:rFonts w:ascii="Arial" w:cs="Arial" w:eastAsia="Arial" w:hAnsi="Arial"/>
                <w:sz w:val="14"/>
                <w:szCs w:val="14"/>
                <w:color w:val="auto"/>
              </w:rPr>
              <w:t>16,001</w:t>
            </w:r>
          </w:p>
        </w:tc>
        <w:tc>
          <w:tcPr>
            <w:tcW w:w="1080" w:type="dxa"/>
            <w:vAlign w:val="bottom"/>
            <w:shd w:val="clear" w:color="auto" w:fill="EAEAEA"/>
          </w:tcPr>
          <w:p>
            <w:pPr>
              <w:jc w:val="right"/>
              <w:ind w:right="48"/>
              <w:spacing w:after="0"/>
              <w:rPr>
                <w:sz w:val="20"/>
                <w:szCs w:val="20"/>
                <w:color w:val="auto"/>
              </w:rPr>
            </w:pPr>
            <w:r>
              <w:rPr>
                <w:rFonts w:ascii="Arial" w:cs="Arial" w:eastAsia="Arial" w:hAnsi="Arial"/>
                <w:sz w:val="14"/>
                <w:szCs w:val="14"/>
                <w:color w:val="auto"/>
              </w:rPr>
              <w:t>5,403,892</w:t>
            </w:r>
          </w:p>
        </w:tc>
        <w:tc>
          <w:tcPr>
            <w:tcW w:w="0" w:type="dxa"/>
            <w:vAlign w:val="bottom"/>
          </w:tcPr>
          <w:p>
            <w:pPr>
              <w:spacing w:after="0"/>
              <w:rPr>
                <w:sz w:val="1"/>
                <w:szCs w:val="1"/>
                <w:color w:val="auto"/>
              </w:rPr>
            </w:pPr>
          </w:p>
        </w:tc>
      </w:tr>
      <w:tr>
        <w:trPr>
          <w:trHeight w:val="62"/>
        </w:trPr>
        <w:tc>
          <w:tcPr>
            <w:tcW w:w="80" w:type="dxa"/>
            <w:vAlign w:val="bottom"/>
            <w:shd w:val="clear" w:color="auto" w:fill="EAEAEA"/>
          </w:tcPr>
          <w:p>
            <w:pPr>
              <w:spacing w:after="0"/>
              <w:rPr>
                <w:sz w:val="5"/>
                <w:szCs w:val="5"/>
                <w:color w:val="auto"/>
              </w:rPr>
            </w:pPr>
          </w:p>
        </w:tc>
        <w:tc>
          <w:tcPr>
            <w:tcW w:w="4020" w:type="dxa"/>
            <w:vAlign w:val="bottom"/>
            <w:shd w:val="clear" w:color="auto" w:fill="EAEAEA"/>
          </w:tcPr>
          <w:p>
            <w:pPr>
              <w:spacing w:after="0"/>
              <w:rPr>
                <w:sz w:val="5"/>
                <w:szCs w:val="5"/>
                <w:color w:val="auto"/>
              </w:rPr>
            </w:pPr>
          </w:p>
        </w:tc>
        <w:tc>
          <w:tcPr>
            <w:tcW w:w="720" w:type="dxa"/>
            <w:vAlign w:val="bottom"/>
            <w:shd w:val="clear" w:color="auto" w:fill="EAEAEA"/>
          </w:tcPr>
          <w:p>
            <w:pPr>
              <w:spacing w:after="0"/>
              <w:rPr>
                <w:sz w:val="5"/>
                <w:szCs w:val="5"/>
                <w:color w:val="auto"/>
              </w:rPr>
            </w:pPr>
          </w:p>
        </w:tc>
        <w:tc>
          <w:tcPr>
            <w:tcW w:w="1080" w:type="dxa"/>
            <w:vAlign w:val="bottom"/>
            <w:shd w:val="clear" w:color="auto" w:fill="EAEAEA"/>
          </w:tcPr>
          <w:p>
            <w:pPr>
              <w:spacing w:after="0"/>
              <w:rPr>
                <w:sz w:val="5"/>
                <w:szCs w:val="5"/>
                <w:color w:val="auto"/>
              </w:rPr>
            </w:pPr>
          </w:p>
        </w:tc>
        <w:tc>
          <w:tcPr>
            <w:tcW w:w="1360" w:type="dxa"/>
            <w:vAlign w:val="bottom"/>
            <w:shd w:val="clear" w:color="auto" w:fill="EAEAEA"/>
          </w:tcPr>
          <w:p>
            <w:pPr>
              <w:spacing w:after="0"/>
              <w:rPr>
                <w:sz w:val="5"/>
                <w:szCs w:val="5"/>
                <w:color w:val="auto"/>
              </w:rPr>
            </w:pPr>
          </w:p>
        </w:tc>
        <w:tc>
          <w:tcPr>
            <w:tcW w:w="1440" w:type="dxa"/>
            <w:vAlign w:val="bottom"/>
            <w:shd w:val="clear" w:color="auto" w:fill="EAEAEA"/>
          </w:tcPr>
          <w:p>
            <w:pPr>
              <w:spacing w:after="0"/>
              <w:rPr>
                <w:sz w:val="5"/>
                <w:szCs w:val="5"/>
                <w:color w:val="auto"/>
              </w:rPr>
            </w:pPr>
          </w:p>
        </w:tc>
        <w:tc>
          <w:tcPr>
            <w:tcW w:w="1460" w:type="dxa"/>
            <w:vAlign w:val="bottom"/>
            <w:shd w:val="clear" w:color="auto" w:fill="EAEAEA"/>
          </w:tcPr>
          <w:p>
            <w:pPr>
              <w:spacing w:after="0"/>
              <w:rPr>
                <w:sz w:val="5"/>
                <w:szCs w:val="5"/>
                <w:color w:val="auto"/>
              </w:rPr>
            </w:pPr>
          </w:p>
        </w:tc>
        <w:tc>
          <w:tcPr>
            <w:tcW w:w="1080" w:type="dxa"/>
            <w:vAlign w:val="bottom"/>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4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Kim Sablich</w:t>
            </w:r>
            <w:r>
              <w:rPr>
                <w:rFonts w:ascii="Arial" w:cs="Arial" w:eastAsia="Arial" w:hAnsi="Arial"/>
                <w:sz w:val="18"/>
                <w:szCs w:val="18"/>
                <w:b w:val="1"/>
                <w:bCs w:val="1"/>
                <w:color w:val="auto"/>
                <w:vertAlign w:val="superscript"/>
              </w:rPr>
              <w:t>(8)</w:t>
            </w:r>
          </w:p>
        </w:tc>
        <w:tc>
          <w:tcPr>
            <w:tcW w:w="720" w:type="dxa"/>
            <w:vAlign w:val="bottom"/>
          </w:tcPr>
          <w:p>
            <w:pPr>
              <w:ind w:left="200"/>
              <w:spacing w:after="0"/>
              <w:rPr>
                <w:sz w:val="20"/>
                <w:szCs w:val="20"/>
                <w:color w:val="auto"/>
              </w:rPr>
            </w:pPr>
            <w:r>
              <w:rPr>
                <w:rFonts w:ascii="Arial" w:cs="Arial" w:eastAsia="Arial" w:hAnsi="Arial"/>
                <w:sz w:val="14"/>
                <w:szCs w:val="14"/>
                <w:color w:val="auto"/>
              </w:rPr>
              <w:t>2023</w:t>
            </w:r>
          </w:p>
        </w:tc>
        <w:tc>
          <w:tcPr>
            <w:tcW w:w="1080" w:type="dxa"/>
            <w:vAlign w:val="bottom"/>
          </w:tcPr>
          <w:p>
            <w:pPr>
              <w:jc w:val="right"/>
              <w:spacing w:after="0"/>
              <w:rPr>
                <w:sz w:val="20"/>
                <w:szCs w:val="20"/>
                <w:color w:val="auto"/>
              </w:rPr>
            </w:pPr>
            <w:r>
              <w:rPr>
                <w:rFonts w:ascii="Arial" w:cs="Arial" w:eastAsia="Arial" w:hAnsi="Arial"/>
                <w:sz w:val="14"/>
                <w:szCs w:val="14"/>
                <w:color w:val="auto"/>
              </w:rPr>
              <w:t>632,412</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3,173,022</w:t>
            </w:r>
          </w:p>
        </w:tc>
        <w:tc>
          <w:tcPr>
            <w:tcW w:w="1440" w:type="dxa"/>
            <w:vAlign w:val="bottom"/>
          </w:tcPr>
          <w:p>
            <w:pPr>
              <w:jc w:val="right"/>
              <w:ind w:right="169"/>
              <w:spacing w:after="0"/>
              <w:rPr>
                <w:sz w:val="20"/>
                <w:szCs w:val="20"/>
                <w:color w:val="auto"/>
              </w:rPr>
            </w:pPr>
            <w:r>
              <w:rPr>
                <w:rFonts w:ascii="Arial" w:cs="Arial" w:eastAsia="Arial" w:hAnsi="Arial"/>
                <w:sz w:val="14"/>
                <w:szCs w:val="14"/>
                <w:color w:val="auto"/>
              </w:rPr>
              <w:t>326,527</w:t>
            </w:r>
          </w:p>
        </w:tc>
        <w:tc>
          <w:tcPr>
            <w:tcW w:w="1460" w:type="dxa"/>
            <w:vAlign w:val="bottom"/>
          </w:tcPr>
          <w:p>
            <w:pPr>
              <w:jc w:val="right"/>
              <w:ind w:right="168"/>
              <w:spacing w:after="0"/>
              <w:rPr>
                <w:sz w:val="20"/>
                <w:szCs w:val="20"/>
                <w:color w:val="auto"/>
              </w:rPr>
            </w:pPr>
            <w:r>
              <w:rPr>
                <w:rFonts w:ascii="Arial" w:cs="Arial" w:eastAsia="Arial" w:hAnsi="Arial"/>
                <w:sz w:val="14"/>
                <w:szCs w:val="14"/>
                <w:color w:val="auto"/>
              </w:rPr>
              <w:t>33,343</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4,165,304</w:t>
            </w:r>
          </w:p>
        </w:tc>
        <w:tc>
          <w:tcPr>
            <w:tcW w:w="0" w:type="dxa"/>
            <w:vAlign w:val="bottom"/>
          </w:tcPr>
          <w:p>
            <w:pPr>
              <w:spacing w:after="0"/>
              <w:rPr>
                <w:sz w:val="1"/>
                <w:szCs w:val="1"/>
                <w:color w:val="auto"/>
              </w:rPr>
            </w:pPr>
          </w:p>
        </w:tc>
      </w:tr>
      <w:tr>
        <w:trPr>
          <w:trHeight w:val="76"/>
        </w:trPr>
        <w:tc>
          <w:tcPr>
            <w:tcW w:w="80" w:type="dxa"/>
            <w:vAlign w:val="bottom"/>
          </w:tcPr>
          <w:p>
            <w:pPr>
              <w:spacing w:after="0"/>
              <w:rPr>
                <w:sz w:val="6"/>
                <w:szCs w:val="6"/>
                <w:color w:val="auto"/>
              </w:rPr>
            </w:pPr>
          </w:p>
        </w:tc>
        <w:tc>
          <w:tcPr>
            <w:tcW w:w="4020" w:type="dxa"/>
            <w:vAlign w:val="bottom"/>
            <w:vMerge w:val="continue"/>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40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auto"/>
              </w:rPr>
              <w:t>Former Executive Vice President</w:t>
            </w:r>
          </w:p>
        </w:tc>
        <w:tc>
          <w:tcPr>
            <w:tcW w:w="720" w:type="dxa"/>
            <w:vAlign w:val="bottom"/>
          </w:tcPr>
          <w:p>
            <w:pPr>
              <w:ind w:left="200"/>
              <w:spacing w:after="0"/>
              <w:rPr>
                <w:sz w:val="20"/>
                <w:szCs w:val="20"/>
                <w:color w:val="auto"/>
              </w:rPr>
            </w:pPr>
            <w:r>
              <w:rPr>
                <w:rFonts w:ascii="Arial" w:cs="Arial" w:eastAsia="Arial" w:hAnsi="Arial"/>
                <w:sz w:val="14"/>
                <w:szCs w:val="14"/>
                <w:color w:val="auto"/>
              </w:rPr>
              <w:t>2022</w:t>
            </w:r>
          </w:p>
        </w:tc>
        <w:tc>
          <w:tcPr>
            <w:tcW w:w="1080" w:type="dxa"/>
            <w:vAlign w:val="bottom"/>
          </w:tcPr>
          <w:p>
            <w:pPr>
              <w:jc w:val="right"/>
              <w:spacing w:after="0"/>
              <w:rPr>
                <w:sz w:val="20"/>
                <w:szCs w:val="20"/>
                <w:color w:val="auto"/>
              </w:rPr>
            </w:pPr>
            <w:r>
              <w:rPr>
                <w:rFonts w:ascii="Arial" w:cs="Arial" w:eastAsia="Arial" w:hAnsi="Arial"/>
                <w:sz w:val="14"/>
                <w:szCs w:val="14"/>
                <w:color w:val="auto"/>
              </w:rPr>
              <w:t>606,146</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3,305,291</w:t>
            </w:r>
          </w:p>
        </w:tc>
        <w:tc>
          <w:tcPr>
            <w:tcW w:w="1440" w:type="dxa"/>
            <w:vAlign w:val="bottom"/>
          </w:tcPr>
          <w:p>
            <w:pPr>
              <w:jc w:val="right"/>
              <w:ind w:right="169"/>
              <w:spacing w:after="0"/>
              <w:rPr>
                <w:sz w:val="20"/>
                <w:szCs w:val="20"/>
                <w:color w:val="auto"/>
              </w:rPr>
            </w:pPr>
            <w:r>
              <w:rPr>
                <w:rFonts w:ascii="Arial" w:cs="Arial" w:eastAsia="Arial" w:hAnsi="Arial"/>
                <w:sz w:val="14"/>
                <w:szCs w:val="14"/>
                <w:color w:val="auto"/>
              </w:rPr>
              <w:t>370,000</w:t>
            </w:r>
          </w:p>
        </w:tc>
        <w:tc>
          <w:tcPr>
            <w:tcW w:w="1460" w:type="dxa"/>
            <w:vAlign w:val="bottom"/>
          </w:tcPr>
          <w:p>
            <w:pPr>
              <w:jc w:val="right"/>
              <w:ind w:right="168"/>
              <w:spacing w:after="0"/>
              <w:rPr>
                <w:sz w:val="20"/>
                <w:szCs w:val="20"/>
                <w:color w:val="auto"/>
              </w:rPr>
            </w:pPr>
            <w:r>
              <w:rPr>
                <w:rFonts w:ascii="Arial" w:cs="Arial" w:eastAsia="Arial" w:hAnsi="Arial"/>
                <w:sz w:val="14"/>
                <w:szCs w:val="14"/>
                <w:color w:val="auto"/>
              </w:rPr>
              <w:t>21,763</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4,303,200</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4020" w:type="dxa"/>
            <w:vAlign w:val="bottom"/>
            <w:vMerge w:val="restart"/>
          </w:tcPr>
          <w:p>
            <w:pPr>
              <w:ind w:left="20"/>
              <w:spacing w:after="0"/>
              <w:rPr>
                <w:sz w:val="20"/>
                <w:szCs w:val="20"/>
                <w:color w:val="auto"/>
              </w:rPr>
            </w:pPr>
            <w:r>
              <w:rPr>
                <w:rFonts w:ascii="Arial" w:cs="Arial" w:eastAsia="Arial" w:hAnsi="Arial"/>
                <w:sz w:val="14"/>
                <w:szCs w:val="14"/>
                <w:color w:val="auto"/>
              </w:rPr>
              <w:t>and General Manager, US</w:t>
            </w:r>
          </w:p>
        </w:tc>
        <w:tc>
          <w:tcPr>
            <w:tcW w:w="7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4020" w:type="dxa"/>
            <w:vAlign w:val="bottom"/>
            <w:vMerge w:val="continue"/>
          </w:tcPr>
          <w:p>
            <w:pPr>
              <w:spacing w:after="0"/>
              <w:rPr>
                <w:sz w:val="6"/>
                <w:szCs w:val="6"/>
                <w:color w:val="auto"/>
              </w:rPr>
            </w:pPr>
          </w:p>
        </w:tc>
        <w:tc>
          <w:tcPr>
            <w:tcW w:w="720" w:type="dxa"/>
            <w:vAlign w:val="bottom"/>
            <w:vMerge w:val="restart"/>
          </w:tcPr>
          <w:p>
            <w:pPr>
              <w:ind w:left="200"/>
              <w:spacing w:after="0"/>
              <w:rPr>
                <w:sz w:val="20"/>
                <w:szCs w:val="20"/>
                <w:color w:val="auto"/>
              </w:rPr>
            </w:pPr>
            <w:r>
              <w:rPr>
                <w:rFonts w:ascii="Arial" w:cs="Arial" w:eastAsia="Arial" w:hAnsi="Arial"/>
                <w:sz w:val="14"/>
                <w:szCs w:val="14"/>
                <w:color w:val="auto"/>
              </w:rPr>
              <w:t>2021</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566,923</w:t>
            </w:r>
          </w:p>
        </w:tc>
        <w:tc>
          <w:tcPr>
            <w:tcW w:w="1360" w:type="dxa"/>
            <w:vAlign w:val="bottom"/>
            <w:vMerge w:val="restart"/>
          </w:tcPr>
          <w:p>
            <w:pPr>
              <w:jc w:val="right"/>
              <w:ind w:right="128"/>
              <w:spacing w:after="0"/>
              <w:rPr>
                <w:sz w:val="20"/>
                <w:szCs w:val="20"/>
                <w:color w:val="auto"/>
              </w:rPr>
            </w:pPr>
            <w:r>
              <w:rPr>
                <w:rFonts w:ascii="Arial" w:cs="Arial" w:eastAsia="Arial" w:hAnsi="Arial"/>
                <w:sz w:val="14"/>
                <w:szCs w:val="14"/>
                <w:color w:val="auto"/>
              </w:rPr>
              <w:t>3,018,091</w:t>
            </w:r>
          </w:p>
        </w:tc>
        <w:tc>
          <w:tcPr>
            <w:tcW w:w="1440" w:type="dxa"/>
            <w:vAlign w:val="bottom"/>
            <w:vMerge w:val="restart"/>
          </w:tcPr>
          <w:p>
            <w:pPr>
              <w:jc w:val="right"/>
              <w:ind w:right="169"/>
              <w:spacing w:after="0"/>
              <w:rPr>
                <w:sz w:val="20"/>
                <w:szCs w:val="20"/>
                <w:color w:val="auto"/>
              </w:rPr>
            </w:pPr>
            <w:r>
              <w:rPr>
                <w:rFonts w:ascii="Arial" w:cs="Arial" w:eastAsia="Arial" w:hAnsi="Arial"/>
                <w:sz w:val="14"/>
                <w:szCs w:val="14"/>
                <w:color w:val="auto"/>
              </w:rPr>
              <w:t>340,000</w:t>
            </w:r>
          </w:p>
        </w:tc>
        <w:tc>
          <w:tcPr>
            <w:tcW w:w="1460" w:type="dxa"/>
            <w:vAlign w:val="bottom"/>
            <w:vMerge w:val="restart"/>
          </w:tcPr>
          <w:p>
            <w:pPr>
              <w:jc w:val="right"/>
              <w:ind w:right="168"/>
              <w:spacing w:after="0"/>
              <w:rPr>
                <w:sz w:val="20"/>
                <w:szCs w:val="20"/>
                <w:color w:val="auto"/>
              </w:rPr>
            </w:pPr>
            <w:r>
              <w:rPr>
                <w:rFonts w:ascii="Arial" w:cs="Arial" w:eastAsia="Arial" w:hAnsi="Arial"/>
                <w:sz w:val="14"/>
                <w:szCs w:val="14"/>
                <w:color w:val="auto"/>
              </w:rPr>
              <w:t>22,495</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3,947,509</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852166"/>
            </w:tcBorders>
          </w:tcPr>
          <w:p>
            <w:pPr>
              <w:spacing w:after="0"/>
              <w:rPr>
                <w:sz w:val="5"/>
                <w:szCs w:val="5"/>
                <w:color w:val="auto"/>
              </w:rPr>
            </w:pPr>
          </w:p>
        </w:tc>
        <w:tc>
          <w:tcPr>
            <w:tcW w:w="4020" w:type="dxa"/>
            <w:vAlign w:val="bottom"/>
            <w:tcBorders>
              <w:bottom w:val="single" w:sz="8" w:color="852166"/>
            </w:tcBorders>
          </w:tcPr>
          <w:p>
            <w:pPr>
              <w:spacing w:after="0"/>
              <w:rPr>
                <w:sz w:val="5"/>
                <w:szCs w:val="5"/>
                <w:color w:val="auto"/>
              </w:rPr>
            </w:pPr>
          </w:p>
        </w:tc>
        <w:tc>
          <w:tcPr>
            <w:tcW w:w="720" w:type="dxa"/>
            <w:vAlign w:val="bottom"/>
            <w:tcBorders>
              <w:bottom w:val="single" w:sz="8" w:color="852166"/>
            </w:tcBorders>
          </w:tcPr>
          <w:p>
            <w:pPr>
              <w:spacing w:after="0"/>
              <w:rPr>
                <w:sz w:val="5"/>
                <w:szCs w:val="5"/>
                <w:color w:val="auto"/>
              </w:rPr>
            </w:pPr>
          </w:p>
        </w:tc>
        <w:tc>
          <w:tcPr>
            <w:tcW w:w="1080" w:type="dxa"/>
            <w:vAlign w:val="bottom"/>
            <w:tcBorders>
              <w:bottom w:val="single" w:sz="8" w:color="852166"/>
            </w:tcBorders>
          </w:tcPr>
          <w:p>
            <w:pPr>
              <w:spacing w:after="0"/>
              <w:rPr>
                <w:sz w:val="5"/>
                <w:szCs w:val="5"/>
                <w:color w:val="auto"/>
              </w:rPr>
            </w:pPr>
          </w:p>
        </w:tc>
        <w:tc>
          <w:tcPr>
            <w:tcW w:w="1360" w:type="dxa"/>
            <w:vAlign w:val="bottom"/>
            <w:tcBorders>
              <w:bottom w:val="single" w:sz="8" w:color="852166"/>
            </w:tcBorders>
          </w:tcPr>
          <w:p>
            <w:pPr>
              <w:spacing w:after="0"/>
              <w:rPr>
                <w:sz w:val="5"/>
                <w:szCs w:val="5"/>
                <w:color w:val="auto"/>
              </w:rPr>
            </w:pPr>
          </w:p>
        </w:tc>
        <w:tc>
          <w:tcPr>
            <w:tcW w:w="1440" w:type="dxa"/>
            <w:vAlign w:val="bottom"/>
            <w:tcBorders>
              <w:bottom w:val="single" w:sz="8" w:color="852166"/>
            </w:tcBorders>
          </w:tcPr>
          <w:p>
            <w:pPr>
              <w:spacing w:after="0"/>
              <w:rPr>
                <w:sz w:val="5"/>
                <w:szCs w:val="5"/>
                <w:color w:val="auto"/>
              </w:rPr>
            </w:pPr>
          </w:p>
        </w:tc>
        <w:tc>
          <w:tcPr>
            <w:tcW w:w="1460" w:type="dxa"/>
            <w:vAlign w:val="bottom"/>
            <w:tcBorders>
              <w:bottom w:val="single" w:sz="8" w:color="852166"/>
            </w:tcBorders>
          </w:tcPr>
          <w:p>
            <w:pPr>
              <w:spacing w:after="0"/>
              <w:rPr>
                <w:sz w:val="5"/>
                <w:szCs w:val="5"/>
                <w:color w:val="auto"/>
              </w:rPr>
            </w:pPr>
          </w:p>
        </w:tc>
        <w:tc>
          <w:tcPr>
            <w:tcW w:w="1080" w:type="dxa"/>
            <w:vAlign w:val="bottom"/>
            <w:tcBorders>
              <w:bottom w:val="single" w:sz="8" w:color="852166"/>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Amounts may not total due to rounding.</w:t>
      </w:r>
    </w:p>
    <w:p>
      <w:pPr>
        <w:spacing w:after="0" w:line="80" w:lineRule="exact"/>
        <w:rPr>
          <w:sz w:val="20"/>
          <w:szCs w:val="20"/>
          <w:color w:val="auto"/>
        </w:rPr>
      </w:pPr>
    </w:p>
    <w:p>
      <w:pPr>
        <w:ind w:left="340" w:right="200" w:hanging="332"/>
        <w:spacing w:after="0" w:line="303" w:lineRule="auto"/>
        <w:tabs>
          <w:tab w:leader="none" w:pos="327"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dollar amounts in this column represent base salary earned during the indicated fiscal year. 2023 base salary rates were effective March 2023. For more information on salaries in 2023, see “</w:t>
      </w:r>
      <w:r>
        <w:rPr>
          <w:rFonts w:ascii="Arial" w:cs="Arial" w:eastAsia="Arial" w:hAnsi="Arial"/>
          <w:sz w:val="14"/>
          <w:szCs w:val="14"/>
          <w:i w:val="1"/>
          <w:iCs w:val="1"/>
          <w:color w:val="auto"/>
        </w:rPr>
        <w:t>Compensation Discussion and Analysis—2023 Compensation Decisions for Our Named Executive Officers—Individual NEO 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Decisions</w:t>
      </w:r>
      <w:r>
        <w:rPr>
          <w:rFonts w:ascii="Arial" w:cs="Arial" w:eastAsia="Arial" w:hAnsi="Arial"/>
          <w:sz w:val="14"/>
          <w:szCs w:val="14"/>
          <w:color w:val="auto"/>
        </w:rPr>
        <w:t>” above.</w:t>
      </w:r>
    </w:p>
    <w:p>
      <w:pPr>
        <w:spacing w:after="0" w:line="11" w:lineRule="exact"/>
        <w:rPr>
          <w:rFonts w:ascii="Arial" w:cs="Arial" w:eastAsia="Arial" w:hAnsi="Arial"/>
          <w:sz w:val="14"/>
          <w:szCs w:val="14"/>
          <w:color w:val="auto"/>
        </w:rPr>
      </w:pPr>
    </w:p>
    <w:p>
      <w:pPr>
        <w:ind w:left="340" w:right="60" w:hanging="332"/>
        <w:spacing w:after="0" w:line="282" w:lineRule="auto"/>
        <w:tabs>
          <w:tab w:leader="none" w:pos="327"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dollar amounts in this column reflect the aggregate grant date fair value of all time-based RSU and performance-based PSU awards granted during the indicated fiscal year computed in accordance with FASB ASC 718, excluding the effect of estimated forfeitures. The grant date fair value for time-based RSUs is measured in accordance with FASB ASC 718 and based on the closing price of our ordinary shares on the date of grant. The grant date fair value for performance-based PSUs was calculated in accordance with FASB ASC 718 using a Monte-Carlo simulation model since the performance-based PSUs are subject to a market condition. These amounts do not necessarily correspond to the actual value recognized or that may be recognized by the NEOs. Assuming that maximum performance is achieved, the value of the performance-based PSU awards made to Mr. Cozadd, Ms. Galá, Ms. Carr, Dr. Iannone, Ms. Patil, Mr. Swisher and Ms. Sablich in 2023 at the date of grant under FASB ASC 718 would have been $13,405,629, $4,233,211, $797,924, $3,936,488, $2,978,853, $4,255,595, $3,298,276, respectively. For additional information on the time-based RSUs and performance-based PSUs granted to our NEOs in 2023, see “</w:t>
      </w:r>
      <w:r>
        <w:rPr>
          <w:rFonts w:ascii="Arial" w:cs="Arial" w:eastAsia="Arial" w:hAnsi="Arial"/>
          <w:sz w:val="14"/>
          <w:szCs w:val="14"/>
          <w:i w:val="1"/>
          <w:iCs w:val="1"/>
          <w:color w:val="auto"/>
        </w:rPr>
        <w:t>Compensation Discussion and Analysis—2023 Compensation Decisions for Our Named</w:t>
      </w:r>
      <w:r>
        <w:rPr>
          <w:rFonts w:ascii="Arial" w:cs="Arial" w:eastAsia="Arial" w:hAnsi="Arial"/>
          <w:sz w:val="14"/>
          <w:szCs w:val="14"/>
          <w:color w:val="auto"/>
        </w:rPr>
        <w:t xml:space="preserve"> </w:t>
      </w:r>
      <w:r>
        <w:rPr>
          <w:rFonts w:ascii="Arial" w:cs="Arial" w:eastAsia="Arial" w:hAnsi="Arial"/>
          <w:sz w:val="14"/>
          <w:szCs w:val="14"/>
          <w:i w:val="1"/>
          <w:iCs w:val="1"/>
          <w:color w:val="auto"/>
        </w:rPr>
        <w:t>Executive Officers—Long-Term Incentive Program</w:t>
      </w:r>
      <w:r>
        <w:rPr>
          <w:rFonts w:ascii="Arial" w:cs="Arial" w:eastAsia="Arial" w:hAnsi="Arial"/>
          <w:sz w:val="14"/>
          <w:szCs w:val="14"/>
          <w:color w:val="auto"/>
        </w:rPr>
        <w:t>” and “</w:t>
      </w:r>
      <w:r>
        <w:rPr>
          <w:rFonts w:ascii="Arial" w:cs="Arial" w:eastAsia="Arial" w:hAnsi="Arial"/>
          <w:sz w:val="14"/>
          <w:szCs w:val="14"/>
          <w:i w:val="1"/>
          <w:iCs w:val="1"/>
          <w:color w:val="auto"/>
        </w:rPr>
        <w:t xml:space="preserve">Compensation Discussion and Analysis—Goals for and Achievement of 2023 Performance-Based Compensation —2023 – 2025 PSU Program” </w:t>
      </w:r>
      <w:r>
        <w:rPr>
          <w:rFonts w:ascii="Arial" w:cs="Arial" w:eastAsia="Arial" w:hAnsi="Arial"/>
          <w:sz w:val="14"/>
          <w:szCs w:val="14"/>
          <w:color w:val="auto"/>
        </w:rPr>
        <w:t>above and footnote 2 to the table entitled “</w:t>
      </w:r>
      <w:r>
        <w:rPr>
          <w:rFonts w:ascii="Arial" w:cs="Arial" w:eastAsia="Arial" w:hAnsi="Arial"/>
          <w:sz w:val="14"/>
          <w:szCs w:val="14"/>
          <w:i w:val="1"/>
          <w:iCs w:val="1"/>
          <w:color w:val="auto"/>
        </w:rPr>
        <w:t>Grants of Plan-Based Awards.”</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39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71" w:name="page72"/>
    <w:bookmarkEnd w:id="71"/>
    <w:p>
      <w:pPr>
        <w:ind w:left="332" w:right="20" w:hanging="332"/>
        <w:spacing w:after="0" w:line="301" w:lineRule="auto"/>
        <w:tabs>
          <w:tab w:leader="none" w:pos="319"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dollar amounts in this column represent the cash bonus awarded under the performance bonus plan for the indicated fiscal year. For more information on the cash bonus awards for 2023, see “</w:t>
      </w:r>
      <w:r>
        <w:rPr>
          <w:rFonts w:ascii="Arial" w:cs="Arial" w:eastAsia="Arial" w:hAnsi="Arial"/>
          <w:sz w:val="14"/>
          <w:szCs w:val="14"/>
          <w:i w:val="1"/>
          <w:iCs w:val="1"/>
          <w:color w:val="auto"/>
        </w:rPr>
        <w:t>Compensation Discussion and Analysis— Goals for and Achievement of 2023 Performance-Based Compensation—2023 Performance Bonus</w:t>
      </w:r>
      <w:r>
        <w:rPr>
          <w:rFonts w:ascii="Arial" w:cs="Arial" w:eastAsia="Arial" w:hAnsi="Arial"/>
          <w:sz w:val="14"/>
          <w:szCs w:val="14"/>
          <w:color w:val="auto"/>
        </w:rPr>
        <w:t xml:space="preserve"> </w:t>
      </w:r>
      <w:r>
        <w:rPr>
          <w:rFonts w:ascii="Arial" w:cs="Arial" w:eastAsia="Arial" w:hAnsi="Arial"/>
          <w:sz w:val="14"/>
          <w:szCs w:val="14"/>
          <w:i w:val="1"/>
          <w:iCs w:val="1"/>
          <w:color w:val="auto"/>
        </w:rPr>
        <w:t>Program</w:t>
      </w:r>
      <w:r>
        <w:rPr>
          <w:rFonts w:ascii="Arial" w:cs="Arial" w:eastAsia="Arial" w:hAnsi="Arial"/>
          <w:sz w:val="14"/>
          <w:szCs w:val="14"/>
          <w:color w:val="auto"/>
        </w:rPr>
        <w:t>” and “</w:t>
      </w:r>
      <w:r>
        <w:rPr>
          <w:rFonts w:ascii="Arial" w:cs="Arial" w:eastAsia="Arial" w:hAnsi="Arial"/>
          <w:sz w:val="14"/>
          <w:szCs w:val="14"/>
          <w:i w:val="1"/>
          <w:iCs w:val="1"/>
          <w:color w:val="auto"/>
        </w:rPr>
        <w:t>Compensation Discussion and Analysis—2023 Compensation Decisions for Our Named Executive Officers</w:t>
      </w:r>
      <w:r>
        <w:rPr>
          <w:rFonts w:ascii="Arial" w:cs="Arial" w:eastAsia="Arial" w:hAnsi="Arial"/>
          <w:sz w:val="14"/>
          <w:szCs w:val="14"/>
          <w:color w:val="auto"/>
        </w:rPr>
        <w:t>” above.</w:t>
      </w:r>
    </w:p>
    <w:p>
      <w:pPr>
        <w:spacing w:after="0" w:line="1" w:lineRule="exact"/>
        <w:rPr>
          <w:rFonts w:ascii="Arial" w:cs="Arial" w:eastAsia="Arial" w:hAnsi="Arial"/>
          <w:sz w:val="14"/>
          <w:szCs w:val="14"/>
          <w:color w:val="auto"/>
        </w:rPr>
      </w:pPr>
    </w:p>
    <w:p>
      <w:pPr>
        <w:ind w:left="332" w:right="120" w:hanging="332"/>
        <w:spacing w:after="0" w:line="292" w:lineRule="auto"/>
        <w:tabs>
          <w:tab w:leader="none" w:pos="319"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dollar amounts in this column for 2023 consisted of group term life insurance premiums paid, matching contributions under our 401(k) Plan, gross up payments, work from home expenses, healthcare and pension contributions for Ms. Carr, expenses associated with an annual conference for Messrs. Cozadd and Swisher, of $7,279 and $5,944, respectively, and for Ms. Sablich of $11,791. Matching contributions under our 401(k) Plan consisted $14,850 for the NEOs based in the U.S. Ms. Carr received employer pension contributions into the Jazz Retirement Plan of $32,175 for 2023. The actual amount of the benefit for Ms. Carr was paid in Euros, specifically €29,800 converted to USD using the average foreign exchange rate for 2023 of 1.07965.</w:t>
      </w:r>
    </w:p>
    <w:p>
      <w:pPr>
        <w:spacing w:after="0" w:line="19" w:lineRule="exact"/>
        <w:rPr>
          <w:rFonts w:ascii="Arial" w:cs="Arial" w:eastAsia="Arial" w:hAnsi="Arial"/>
          <w:sz w:val="14"/>
          <w:szCs w:val="14"/>
          <w:color w:val="auto"/>
        </w:rPr>
      </w:pPr>
    </w:p>
    <w:p>
      <w:pPr>
        <w:ind w:left="312" w:hanging="312"/>
        <w:spacing w:after="0"/>
        <w:tabs>
          <w:tab w:leader="none" w:pos="312" w:val="left"/>
        </w:tabs>
        <w:numPr>
          <w:ilvl w:val="0"/>
          <w:numId w:val="73"/>
        </w:numPr>
        <w:rPr>
          <w:rFonts w:ascii="Arial" w:cs="Arial" w:eastAsia="Arial" w:hAnsi="Arial"/>
          <w:sz w:val="14"/>
          <w:szCs w:val="14"/>
          <w:color w:val="auto"/>
        </w:rPr>
      </w:pPr>
      <w:r>
        <w:rPr>
          <w:rFonts w:ascii="Arial" w:cs="Arial" w:eastAsia="Arial" w:hAnsi="Arial"/>
          <w:sz w:val="14"/>
          <w:szCs w:val="14"/>
          <w:color w:val="auto"/>
        </w:rPr>
        <w:t>Ms. Galá became our President and COO effective October 1, 2023; prior to that, she served as our Executive Vice President and CFO.</w:t>
      </w:r>
    </w:p>
    <w:p>
      <w:pPr>
        <w:spacing w:after="0" w:line="82" w:lineRule="exact"/>
        <w:rPr>
          <w:rFonts w:ascii="Arial" w:cs="Arial" w:eastAsia="Arial" w:hAnsi="Arial"/>
          <w:sz w:val="14"/>
          <w:szCs w:val="14"/>
          <w:color w:val="auto"/>
        </w:rPr>
      </w:pPr>
    </w:p>
    <w:p>
      <w:pPr>
        <w:ind w:left="332" w:hanging="332"/>
        <w:spacing w:after="0" w:line="289" w:lineRule="auto"/>
        <w:tabs>
          <w:tab w:leader="none" w:pos="319" w:val="left"/>
        </w:tabs>
        <w:numPr>
          <w:ilvl w:val="0"/>
          <w:numId w:val="73"/>
        </w:numPr>
        <w:rPr>
          <w:rFonts w:ascii="Arial" w:cs="Arial" w:eastAsia="Arial" w:hAnsi="Arial"/>
          <w:sz w:val="14"/>
          <w:szCs w:val="14"/>
          <w:color w:val="auto"/>
        </w:rPr>
      </w:pPr>
      <w:r>
        <w:rPr>
          <w:rFonts w:ascii="Arial" w:cs="Arial" w:eastAsia="Arial" w:hAnsi="Arial"/>
          <w:sz w:val="14"/>
          <w:szCs w:val="14"/>
          <w:color w:val="auto"/>
        </w:rPr>
        <w:t>Ms. Carr served as our Interim Principal Financial Officer from October 2023 to March 2024. The actual salary paid to Ms. Carr was €372,500 which was converted to USD using the average foreign exchange rate for 2023 of 1.07965. The actual amount of “Non-Equity Incentive Plan Compensation” paid to Ms. Carr was €180,000 which was converted to USD using the average foreign exchange rate for March 2024 of 1.08260. The actual amount of “All Other Compensation” paid to Ms. Carr was €33,673 which was converted to USD using the average foreign exchange rate for 2023 mentioned above.</w:t>
      </w:r>
    </w:p>
    <w:p>
      <w:pPr>
        <w:spacing w:after="0" w:line="21" w:lineRule="exact"/>
        <w:rPr>
          <w:rFonts w:ascii="Arial" w:cs="Arial" w:eastAsia="Arial" w:hAnsi="Arial"/>
          <w:sz w:val="14"/>
          <w:szCs w:val="14"/>
          <w:color w:val="auto"/>
        </w:rPr>
      </w:pPr>
    </w:p>
    <w:p>
      <w:pPr>
        <w:ind w:left="312" w:hanging="312"/>
        <w:spacing w:after="0"/>
        <w:tabs>
          <w:tab w:leader="none" w:pos="312" w:val="left"/>
        </w:tabs>
        <w:numPr>
          <w:ilvl w:val="0"/>
          <w:numId w:val="73"/>
        </w:numPr>
        <w:rPr>
          <w:rFonts w:ascii="Arial" w:cs="Arial" w:eastAsia="Arial" w:hAnsi="Arial"/>
          <w:sz w:val="14"/>
          <w:szCs w:val="14"/>
          <w:color w:val="auto"/>
        </w:rPr>
      </w:pPr>
      <w:r>
        <w:rPr>
          <w:rFonts w:ascii="Arial" w:cs="Arial" w:eastAsia="Arial" w:hAnsi="Arial"/>
          <w:sz w:val="14"/>
          <w:szCs w:val="14"/>
          <w:color w:val="auto"/>
        </w:rPr>
        <w:t>Mr. Swisher retired from his role as President and COO of Jazz effective October 1, 2023.</w:t>
      </w:r>
    </w:p>
    <w:p>
      <w:pPr>
        <w:spacing w:after="0" w:line="82" w:lineRule="exact"/>
        <w:rPr>
          <w:rFonts w:ascii="Arial" w:cs="Arial" w:eastAsia="Arial" w:hAnsi="Arial"/>
          <w:sz w:val="14"/>
          <w:szCs w:val="14"/>
          <w:color w:val="auto"/>
        </w:rPr>
      </w:pPr>
    </w:p>
    <w:p>
      <w:pPr>
        <w:ind w:left="312" w:hanging="312"/>
        <w:spacing w:after="0"/>
        <w:tabs>
          <w:tab w:leader="none" w:pos="312" w:val="left"/>
        </w:tabs>
        <w:numPr>
          <w:ilvl w:val="0"/>
          <w:numId w:val="73"/>
        </w:numPr>
        <w:rPr>
          <w:rFonts w:ascii="Arial" w:cs="Arial" w:eastAsia="Arial" w:hAnsi="Arial"/>
          <w:sz w:val="14"/>
          <w:szCs w:val="14"/>
          <w:color w:val="auto"/>
        </w:rPr>
      </w:pPr>
      <w:r>
        <w:rPr>
          <w:rFonts w:ascii="Arial" w:cs="Arial" w:eastAsia="Arial" w:hAnsi="Arial"/>
          <w:sz w:val="14"/>
          <w:szCs w:val="14"/>
          <w:color w:val="auto"/>
        </w:rPr>
        <w:t>Ms. Sablich ceased to serve in the role of Executive Vice President and General Manager, US, effective December 31, 2023.</w:t>
      </w:r>
    </w:p>
    <w:p>
      <w:pPr>
        <w:spacing w:after="0" w:line="200" w:lineRule="exact"/>
        <w:rPr>
          <w:sz w:val="20"/>
          <w:szCs w:val="20"/>
          <w:color w:val="auto"/>
        </w:rPr>
      </w:pPr>
    </w:p>
    <w:p>
      <w:pPr>
        <w:spacing w:after="0" w:line="382" w:lineRule="exact"/>
        <w:rPr>
          <w:sz w:val="20"/>
          <w:szCs w:val="20"/>
          <w:color w:val="auto"/>
        </w:rPr>
      </w:pPr>
    </w:p>
    <w:p>
      <w:pPr>
        <w:ind w:left="12"/>
        <w:spacing w:after="0"/>
        <w:tabs>
          <w:tab w:leader="none" w:pos="432" w:val="left"/>
        </w:tabs>
        <w:rPr>
          <w:sz w:val="20"/>
          <w:szCs w:val="20"/>
          <w:color w:val="auto"/>
        </w:rPr>
      </w:pPr>
      <w:r>
        <w:rPr>
          <w:rFonts w:ascii="Arial" w:cs="Arial" w:eastAsia="Arial" w:hAnsi="Arial"/>
          <w:sz w:val="14"/>
          <w:szCs w:val="14"/>
          <w:color w:val="auto"/>
        </w:rPr>
        <w:t>68</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259715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62" w:right="339" w:bottom="1440" w:gutter="0" w:footer="0" w:header="0"/>
        </w:sectPr>
      </w:pPr>
    </w:p>
    <w:bookmarkStart w:id="72" w:name="page73"/>
    <w:bookmarkEnd w:id="72"/>
    <w:p>
      <w:pPr>
        <w:spacing w:after="0"/>
        <w:rPr>
          <w:sz w:val="20"/>
          <w:szCs w:val="20"/>
          <w:color w:val="auto"/>
        </w:rPr>
      </w:pPr>
      <w:r>
        <w:rPr>
          <w:rFonts w:ascii="Arial" w:cs="Arial" w:eastAsia="Arial" w:hAnsi="Arial"/>
          <w:sz w:val="20"/>
          <w:szCs w:val="20"/>
          <w:b w:val="1"/>
          <w:bCs w:val="1"/>
          <w:color w:val="852166"/>
        </w:rPr>
        <w:t>Grants of Plan-Based Awards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for the fiscal year ended December 31, 2023, certain information regarding grants of plan-based awards to the NEOs.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374"/>
        </w:trPr>
        <w:tc>
          <w:tcPr>
            <w:tcW w:w="80" w:type="dxa"/>
            <w:vAlign w:val="bottom"/>
            <w:shd w:val="clear" w:color="auto" w:fill="852166"/>
          </w:tcPr>
          <w:p>
            <w:pPr>
              <w:spacing w:after="0"/>
              <w:rPr>
                <w:sz w:val="24"/>
                <w:szCs w:val="24"/>
                <w:color w:val="auto"/>
              </w:rPr>
            </w:pPr>
          </w:p>
        </w:tc>
        <w:tc>
          <w:tcPr>
            <w:tcW w:w="1360" w:type="dxa"/>
            <w:vAlign w:val="bottom"/>
            <w:shd w:val="clear" w:color="auto" w:fill="852166"/>
          </w:tcPr>
          <w:p>
            <w:pPr>
              <w:spacing w:after="0"/>
              <w:rPr>
                <w:sz w:val="24"/>
                <w:szCs w:val="24"/>
                <w:color w:val="auto"/>
              </w:rPr>
            </w:pPr>
          </w:p>
        </w:tc>
        <w:tc>
          <w:tcPr>
            <w:tcW w:w="1040" w:type="dxa"/>
            <w:vAlign w:val="bottom"/>
            <w:shd w:val="clear" w:color="auto" w:fill="852166"/>
          </w:tcPr>
          <w:p>
            <w:pPr>
              <w:spacing w:after="0"/>
              <w:rPr>
                <w:sz w:val="24"/>
                <w:szCs w:val="24"/>
                <w:color w:val="auto"/>
              </w:rPr>
            </w:pPr>
          </w:p>
        </w:tc>
        <w:tc>
          <w:tcPr>
            <w:tcW w:w="1020" w:type="dxa"/>
            <w:vAlign w:val="bottom"/>
            <w:shd w:val="clear" w:color="auto" w:fill="852166"/>
          </w:tcPr>
          <w:p>
            <w:pPr>
              <w:spacing w:after="0"/>
              <w:rPr>
                <w:sz w:val="24"/>
                <w:szCs w:val="24"/>
                <w:color w:val="auto"/>
              </w:rPr>
            </w:pPr>
          </w:p>
        </w:tc>
        <w:tc>
          <w:tcPr>
            <w:tcW w:w="820" w:type="dxa"/>
            <w:vAlign w:val="bottom"/>
            <w:shd w:val="clear" w:color="auto" w:fill="852166"/>
          </w:tcPr>
          <w:p>
            <w:pPr>
              <w:spacing w:after="0"/>
              <w:rPr>
                <w:sz w:val="24"/>
                <w:szCs w:val="24"/>
                <w:color w:val="auto"/>
              </w:rPr>
            </w:pPr>
          </w:p>
        </w:tc>
        <w:tc>
          <w:tcPr>
            <w:tcW w:w="2580" w:type="dxa"/>
            <w:vAlign w:val="bottom"/>
            <w:gridSpan w:val="3"/>
            <w:shd w:val="clear" w:color="auto" w:fill="852166"/>
          </w:tcPr>
          <w:p>
            <w:pPr>
              <w:jc w:val="right"/>
              <w:ind w:right="57"/>
              <w:spacing w:after="0"/>
              <w:rPr>
                <w:sz w:val="20"/>
                <w:szCs w:val="20"/>
                <w:color w:val="auto"/>
              </w:rPr>
            </w:pPr>
            <w:r>
              <w:rPr>
                <w:rFonts w:ascii="Arial" w:cs="Arial" w:eastAsia="Arial" w:hAnsi="Arial"/>
                <w:sz w:val="13"/>
                <w:szCs w:val="13"/>
                <w:b w:val="1"/>
                <w:bCs w:val="1"/>
                <w:color w:val="FFFFFF"/>
                <w:w w:val="98"/>
              </w:rPr>
              <w:t>Estimated Possible Payouts Under Non-</w:t>
            </w:r>
          </w:p>
        </w:tc>
        <w:tc>
          <w:tcPr>
            <w:tcW w:w="2500" w:type="dxa"/>
            <w:vAlign w:val="bottom"/>
            <w:gridSpan w:val="3"/>
            <w:shd w:val="clear" w:color="auto" w:fill="852166"/>
          </w:tcPr>
          <w:p>
            <w:pPr>
              <w:jc w:val="right"/>
              <w:spacing w:after="0"/>
              <w:rPr>
                <w:sz w:val="20"/>
                <w:szCs w:val="20"/>
                <w:color w:val="auto"/>
              </w:rPr>
            </w:pPr>
            <w:r>
              <w:rPr>
                <w:rFonts w:ascii="Arial" w:cs="Arial" w:eastAsia="Arial" w:hAnsi="Arial"/>
                <w:sz w:val="13"/>
                <w:szCs w:val="13"/>
                <w:b w:val="1"/>
                <w:bCs w:val="1"/>
                <w:color w:val="FFFFFF"/>
                <w:w w:val="98"/>
              </w:rPr>
              <w:t>Estimated Future Payouts Under Equity</w:t>
            </w:r>
          </w:p>
        </w:tc>
        <w:tc>
          <w:tcPr>
            <w:tcW w:w="920" w:type="dxa"/>
            <w:vAlign w:val="bottom"/>
            <w:vMerge w:val="restart"/>
            <w:shd w:val="clear" w:color="auto" w:fill="852166"/>
          </w:tcPr>
          <w:p>
            <w:pPr>
              <w:jc w:val="right"/>
              <w:spacing w:after="0"/>
              <w:rPr>
                <w:sz w:val="20"/>
                <w:szCs w:val="20"/>
                <w:color w:val="auto"/>
              </w:rPr>
            </w:pPr>
            <w:r>
              <w:rPr>
                <w:rFonts w:ascii="Arial" w:cs="Arial" w:eastAsia="Arial" w:hAnsi="Arial"/>
                <w:sz w:val="13"/>
                <w:szCs w:val="13"/>
                <w:b w:val="1"/>
                <w:bCs w:val="1"/>
                <w:color w:val="FFFFFF"/>
              </w:rPr>
              <w:t>All Other</w:t>
            </w:r>
          </w:p>
        </w:tc>
        <w:tc>
          <w:tcPr>
            <w:tcW w:w="820" w:type="dxa"/>
            <w:vAlign w:val="bottom"/>
            <w:shd w:val="clear" w:color="auto" w:fill="852166"/>
          </w:tcPr>
          <w:p>
            <w:pPr>
              <w:spacing w:after="0"/>
              <w:rPr>
                <w:sz w:val="24"/>
                <w:szCs w:val="24"/>
                <w:color w:val="auto"/>
              </w:rPr>
            </w:pPr>
          </w:p>
        </w:tc>
        <w:tc>
          <w:tcPr>
            <w:tcW w:w="100" w:type="dxa"/>
            <w:vAlign w:val="bottom"/>
            <w:shd w:val="clear" w:color="auto" w:fill="852166"/>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80" w:type="dxa"/>
            <w:vAlign w:val="bottom"/>
            <w:shd w:val="clear" w:color="auto" w:fill="852166"/>
          </w:tcPr>
          <w:p>
            <w:pPr>
              <w:spacing w:after="0"/>
              <w:rPr>
                <w:sz w:val="10"/>
                <w:szCs w:val="10"/>
                <w:color w:val="auto"/>
              </w:rPr>
            </w:pPr>
          </w:p>
        </w:tc>
        <w:tc>
          <w:tcPr>
            <w:tcW w:w="1360" w:type="dxa"/>
            <w:vAlign w:val="bottom"/>
            <w:shd w:val="clear" w:color="auto" w:fill="852166"/>
          </w:tcPr>
          <w:p>
            <w:pPr>
              <w:spacing w:after="0"/>
              <w:rPr>
                <w:sz w:val="10"/>
                <w:szCs w:val="10"/>
                <w:color w:val="auto"/>
              </w:rPr>
            </w:pPr>
          </w:p>
        </w:tc>
        <w:tc>
          <w:tcPr>
            <w:tcW w:w="1040" w:type="dxa"/>
            <w:vAlign w:val="bottom"/>
            <w:shd w:val="clear" w:color="auto" w:fill="852166"/>
          </w:tcPr>
          <w:p>
            <w:pPr>
              <w:spacing w:after="0"/>
              <w:rPr>
                <w:sz w:val="10"/>
                <w:szCs w:val="10"/>
                <w:color w:val="auto"/>
              </w:rPr>
            </w:pPr>
          </w:p>
        </w:tc>
        <w:tc>
          <w:tcPr>
            <w:tcW w:w="1020" w:type="dxa"/>
            <w:vAlign w:val="bottom"/>
            <w:shd w:val="clear" w:color="auto" w:fill="852166"/>
          </w:tcPr>
          <w:p>
            <w:pPr>
              <w:spacing w:after="0"/>
              <w:rPr>
                <w:sz w:val="10"/>
                <w:szCs w:val="10"/>
                <w:color w:val="auto"/>
              </w:rPr>
            </w:pPr>
          </w:p>
        </w:tc>
        <w:tc>
          <w:tcPr>
            <w:tcW w:w="820" w:type="dxa"/>
            <w:vAlign w:val="bottom"/>
            <w:shd w:val="clear" w:color="auto" w:fill="852166"/>
          </w:tcPr>
          <w:p>
            <w:pPr>
              <w:spacing w:after="0"/>
              <w:rPr>
                <w:sz w:val="10"/>
                <w:szCs w:val="10"/>
                <w:color w:val="auto"/>
              </w:rPr>
            </w:pPr>
          </w:p>
        </w:tc>
        <w:tc>
          <w:tcPr>
            <w:tcW w:w="2580" w:type="dxa"/>
            <w:vAlign w:val="bottom"/>
            <w:gridSpan w:val="3"/>
            <w:shd w:val="clear" w:color="auto" w:fill="852166"/>
          </w:tcPr>
          <w:p>
            <w:pPr>
              <w:jc w:val="right"/>
              <w:ind w:right="337"/>
              <w:spacing w:after="0" w:line="126" w:lineRule="exact"/>
              <w:rPr>
                <w:sz w:val="20"/>
                <w:szCs w:val="20"/>
                <w:color w:val="auto"/>
              </w:rPr>
            </w:pPr>
            <w:r>
              <w:rPr>
                <w:rFonts w:ascii="Arial" w:cs="Arial" w:eastAsia="Arial" w:hAnsi="Arial"/>
                <w:sz w:val="11"/>
                <w:szCs w:val="11"/>
                <w:b w:val="1"/>
                <w:bCs w:val="1"/>
                <w:color w:val="FFFFFF"/>
              </w:rPr>
              <w:t>Equity Incentive Plan Awards</w:t>
            </w:r>
            <w:r>
              <w:rPr>
                <w:rFonts w:ascii="Arial" w:cs="Arial" w:eastAsia="Arial" w:hAnsi="Arial"/>
                <w:sz w:val="14"/>
                <w:szCs w:val="14"/>
                <w:b w:val="1"/>
                <w:bCs w:val="1"/>
                <w:color w:val="FFFFFF"/>
                <w:vertAlign w:val="superscript"/>
              </w:rPr>
              <w:t>(1)</w:t>
            </w:r>
          </w:p>
        </w:tc>
        <w:tc>
          <w:tcPr>
            <w:tcW w:w="2040" w:type="dxa"/>
            <w:vAlign w:val="bottom"/>
            <w:gridSpan w:val="2"/>
            <w:shd w:val="clear" w:color="auto" w:fill="852166"/>
          </w:tcPr>
          <w:p>
            <w:pPr>
              <w:jc w:val="right"/>
              <w:spacing w:after="0" w:line="126" w:lineRule="exact"/>
              <w:rPr>
                <w:sz w:val="20"/>
                <w:szCs w:val="20"/>
                <w:color w:val="auto"/>
              </w:rPr>
            </w:pPr>
            <w:r>
              <w:rPr>
                <w:rFonts w:ascii="Arial" w:cs="Arial" w:eastAsia="Arial" w:hAnsi="Arial"/>
                <w:sz w:val="11"/>
                <w:szCs w:val="11"/>
                <w:b w:val="1"/>
                <w:bCs w:val="1"/>
                <w:color w:val="FFFFFF"/>
              </w:rPr>
              <w:t>Incentive Plan Awards</w:t>
            </w:r>
            <w:r>
              <w:rPr>
                <w:rFonts w:ascii="Arial" w:cs="Arial" w:eastAsia="Arial" w:hAnsi="Arial"/>
                <w:sz w:val="14"/>
                <w:szCs w:val="14"/>
                <w:b w:val="1"/>
                <w:bCs w:val="1"/>
                <w:color w:val="FFFFFF"/>
                <w:vertAlign w:val="superscript"/>
              </w:rPr>
              <w:t>(2)</w:t>
            </w:r>
          </w:p>
        </w:tc>
        <w:tc>
          <w:tcPr>
            <w:tcW w:w="460" w:type="dxa"/>
            <w:vAlign w:val="bottom"/>
            <w:shd w:val="clear" w:color="auto" w:fill="852166"/>
          </w:tcPr>
          <w:p>
            <w:pPr>
              <w:spacing w:after="0"/>
              <w:rPr>
                <w:sz w:val="10"/>
                <w:szCs w:val="10"/>
                <w:color w:val="auto"/>
              </w:rPr>
            </w:pPr>
          </w:p>
        </w:tc>
        <w:tc>
          <w:tcPr>
            <w:tcW w:w="920" w:type="dxa"/>
            <w:vAlign w:val="bottom"/>
            <w:vMerge w:val="continue"/>
            <w:shd w:val="clear" w:color="auto" w:fill="852166"/>
          </w:tcPr>
          <w:p>
            <w:pPr>
              <w:spacing w:after="0"/>
              <w:rPr>
                <w:sz w:val="10"/>
                <w:szCs w:val="10"/>
                <w:color w:val="auto"/>
              </w:rPr>
            </w:pPr>
          </w:p>
        </w:tc>
        <w:tc>
          <w:tcPr>
            <w:tcW w:w="820" w:type="dxa"/>
            <w:vAlign w:val="bottom"/>
            <w:vMerge w:val="restart"/>
            <w:shd w:val="clear" w:color="auto" w:fill="852166"/>
          </w:tcPr>
          <w:p>
            <w:pPr>
              <w:jc w:val="right"/>
              <w:spacing w:after="0"/>
              <w:rPr>
                <w:sz w:val="20"/>
                <w:szCs w:val="20"/>
                <w:color w:val="auto"/>
              </w:rPr>
            </w:pPr>
            <w:r>
              <w:rPr>
                <w:rFonts w:ascii="Arial" w:cs="Arial" w:eastAsia="Arial" w:hAnsi="Arial"/>
                <w:sz w:val="13"/>
                <w:szCs w:val="13"/>
                <w:b w:val="1"/>
                <w:bCs w:val="1"/>
                <w:color w:val="FFFFFF"/>
              </w:rPr>
              <w:t>Grant Date</w:t>
            </w:r>
          </w:p>
        </w:tc>
        <w:tc>
          <w:tcPr>
            <w:tcW w:w="100" w:type="dxa"/>
            <w:vAlign w:val="bottom"/>
            <w:shd w:val="clear" w:color="auto" w:fill="852166"/>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0" w:type="dxa"/>
            <w:vAlign w:val="bottom"/>
            <w:shd w:val="clear" w:color="auto" w:fill="852166"/>
          </w:tcPr>
          <w:p>
            <w:pPr>
              <w:spacing w:after="0"/>
              <w:rPr>
                <w:sz w:val="11"/>
                <w:szCs w:val="11"/>
                <w:color w:val="auto"/>
              </w:rPr>
            </w:pPr>
          </w:p>
        </w:tc>
        <w:tc>
          <w:tcPr>
            <w:tcW w:w="1360" w:type="dxa"/>
            <w:vAlign w:val="bottom"/>
            <w:shd w:val="clear" w:color="auto" w:fill="852166"/>
          </w:tcPr>
          <w:p>
            <w:pPr>
              <w:spacing w:after="0"/>
              <w:rPr>
                <w:sz w:val="11"/>
                <w:szCs w:val="11"/>
                <w:color w:val="auto"/>
              </w:rPr>
            </w:pPr>
          </w:p>
        </w:tc>
        <w:tc>
          <w:tcPr>
            <w:tcW w:w="1040" w:type="dxa"/>
            <w:vAlign w:val="bottom"/>
            <w:shd w:val="clear" w:color="auto" w:fill="852166"/>
          </w:tcPr>
          <w:p>
            <w:pPr>
              <w:spacing w:after="0"/>
              <w:rPr>
                <w:sz w:val="11"/>
                <w:szCs w:val="11"/>
                <w:color w:val="auto"/>
              </w:rPr>
            </w:pPr>
          </w:p>
        </w:tc>
        <w:tc>
          <w:tcPr>
            <w:tcW w:w="1020" w:type="dxa"/>
            <w:vAlign w:val="bottom"/>
            <w:shd w:val="clear" w:color="auto" w:fill="852166"/>
          </w:tcPr>
          <w:p>
            <w:pPr>
              <w:spacing w:after="0"/>
              <w:rPr>
                <w:sz w:val="11"/>
                <w:szCs w:val="11"/>
                <w:color w:val="auto"/>
              </w:rPr>
            </w:pPr>
          </w:p>
        </w:tc>
        <w:tc>
          <w:tcPr>
            <w:tcW w:w="820" w:type="dxa"/>
            <w:vAlign w:val="bottom"/>
            <w:shd w:val="clear" w:color="auto" w:fill="852166"/>
          </w:tcPr>
          <w:p>
            <w:pPr>
              <w:spacing w:after="0"/>
              <w:rPr>
                <w:sz w:val="11"/>
                <w:szCs w:val="11"/>
                <w:color w:val="auto"/>
              </w:rPr>
            </w:pPr>
          </w:p>
        </w:tc>
        <w:tc>
          <w:tcPr>
            <w:tcW w:w="860" w:type="dxa"/>
            <w:vAlign w:val="bottom"/>
            <w:shd w:val="clear" w:color="auto" w:fill="852166"/>
          </w:tcPr>
          <w:p>
            <w:pPr>
              <w:spacing w:after="0"/>
              <w:rPr>
                <w:sz w:val="11"/>
                <w:szCs w:val="11"/>
                <w:color w:val="auto"/>
              </w:rPr>
            </w:pPr>
          </w:p>
        </w:tc>
        <w:tc>
          <w:tcPr>
            <w:tcW w:w="920" w:type="dxa"/>
            <w:vAlign w:val="bottom"/>
            <w:shd w:val="clear" w:color="auto" w:fill="852166"/>
          </w:tcPr>
          <w:p>
            <w:pPr>
              <w:spacing w:after="0"/>
              <w:rPr>
                <w:sz w:val="11"/>
                <w:szCs w:val="11"/>
                <w:color w:val="auto"/>
              </w:rPr>
            </w:pPr>
          </w:p>
        </w:tc>
        <w:tc>
          <w:tcPr>
            <w:tcW w:w="800" w:type="dxa"/>
            <w:vAlign w:val="bottom"/>
            <w:shd w:val="clear" w:color="auto" w:fill="852166"/>
          </w:tcPr>
          <w:p>
            <w:pPr>
              <w:spacing w:after="0"/>
              <w:rPr>
                <w:sz w:val="11"/>
                <w:szCs w:val="11"/>
                <w:color w:val="auto"/>
              </w:rPr>
            </w:pPr>
          </w:p>
        </w:tc>
        <w:tc>
          <w:tcPr>
            <w:tcW w:w="1080" w:type="dxa"/>
            <w:vAlign w:val="bottom"/>
            <w:shd w:val="clear" w:color="auto" w:fill="852166"/>
          </w:tcPr>
          <w:p>
            <w:pPr>
              <w:spacing w:after="0"/>
              <w:rPr>
                <w:sz w:val="11"/>
                <w:szCs w:val="11"/>
                <w:color w:val="auto"/>
              </w:rPr>
            </w:pPr>
          </w:p>
        </w:tc>
        <w:tc>
          <w:tcPr>
            <w:tcW w:w="960" w:type="dxa"/>
            <w:vAlign w:val="bottom"/>
            <w:shd w:val="clear" w:color="auto" w:fill="852166"/>
          </w:tcPr>
          <w:p>
            <w:pPr>
              <w:spacing w:after="0"/>
              <w:rPr>
                <w:sz w:val="11"/>
                <w:szCs w:val="11"/>
                <w:color w:val="auto"/>
              </w:rPr>
            </w:pPr>
          </w:p>
        </w:tc>
        <w:tc>
          <w:tcPr>
            <w:tcW w:w="460" w:type="dxa"/>
            <w:vAlign w:val="bottom"/>
            <w:shd w:val="clear" w:color="auto" w:fill="852166"/>
          </w:tcPr>
          <w:p>
            <w:pPr>
              <w:spacing w:after="0"/>
              <w:rPr>
                <w:sz w:val="11"/>
                <w:szCs w:val="11"/>
                <w:color w:val="auto"/>
              </w:rPr>
            </w:pPr>
          </w:p>
        </w:tc>
        <w:tc>
          <w:tcPr>
            <w:tcW w:w="920" w:type="dxa"/>
            <w:vAlign w:val="bottom"/>
            <w:shd w:val="clear" w:color="auto" w:fill="852166"/>
          </w:tcPr>
          <w:p>
            <w:pPr>
              <w:jc w:val="right"/>
              <w:spacing w:after="0" w:line="131" w:lineRule="exact"/>
              <w:rPr>
                <w:sz w:val="20"/>
                <w:szCs w:val="20"/>
                <w:color w:val="auto"/>
              </w:rPr>
            </w:pPr>
            <w:r>
              <w:rPr>
                <w:rFonts w:ascii="Arial" w:cs="Arial" w:eastAsia="Arial" w:hAnsi="Arial"/>
                <w:sz w:val="13"/>
                <w:szCs w:val="13"/>
                <w:b w:val="1"/>
                <w:bCs w:val="1"/>
                <w:color w:val="FFFFFF"/>
                <w:w w:val="97"/>
              </w:rPr>
              <w:t>Stock Awards:</w:t>
            </w:r>
          </w:p>
        </w:tc>
        <w:tc>
          <w:tcPr>
            <w:tcW w:w="820" w:type="dxa"/>
            <w:vAlign w:val="bottom"/>
            <w:vMerge w:val="continue"/>
            <w:shd w:val="clear" w:color="auto" w:fill="852166"/>
          </w:tcPr>
          <w:p>
            <w:pPr>
              <w:spacing w:after="0"/>
              <w:rPr>
                <w:sz w:val="11"/>
                <w:szCs w:val="11"/>
                <w:color w:val="auto"/>
              </w:rPr>
            </w:pPr>
          </w:p>
        </w:tc>
        <w:tc>
          <w:tcPr>
            <w:tcW w:w="100" w:type="dxa"/>
            <w:vAlign w:val="bottom"/>
            <w:shd w:val="clear" w:color="auto" w:fill="852166"/>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0" w:type="dxa"/>
            <w:vAlign w:val="bottom"/>
            <w:shd w:val="clear" w:color="auto" w:fill="852166"/>
          </w:tcPr>
          <w:p>
            <w:pPr>
              <w:spacing w:after="0"/>
              <w:rPr>
                <w:sz w:val="12"/>
                <w:szCs w:val="12"/>
                <w:color w:val="auto"/>
              </w:rPr>
            </w:pPr>
          </w:p>
        </w:tc>
        <w:tc>
          <w:tcPr>
            <w:tcW w:w="1360" w:type="dxa"/>
            <w:vAlign w:val="bottom"/>
            <w:shd w:val="clear" w:color="auto" w:fill="852166"/>
          </w:tcPr>
          <w:p>
            <w:pPr>
              <w:spacing w:after="0"/>
              <w:rPr>
                <w:sz w:val="12"/>
                <w:szCs w:val="12"/>
                <w:color w:val="auto"/>
              </w:rPr>
            </w:pPr>
          </w:p>
        </w:tc>
        <w:tc>
          <w:tcPr>
            <w:tcW w:w="1040" w:type="dxa"/>
            <w:vAlign w:val="bottom"/>
            <w:shd w:val="clear" w:color="auto" w:fill="852166"/>
          </w:tcPr>
          <w:p>
            <w:pPr>
              <w:spacing w:after="0"/>
              <w:rPr>
                <w:sz w:val="12"/>
                <w:szCs w:val="12"/>
                <w:color w:val="auto"/>
              </w:rPr>
            </w:pPr>
          </w:p>
        </w:tc>
        <w:tc>
          <w:tcPr>
            <w:tcW w:w="1020" w:type="dxa"/>
            <w:vAlign w:val="bottom"/>
            <w:shd w:val="clear" w:color="auto" w:fill="852166"/>
          </w:tcPr>
          <w:p>
            <w:pPr>
              <w:spacing w:after="0"/>
              <w:rPr>
                <w:sz w:val="12"/>
                <w:szCs w:val="12"/>
                <w:color w:val="auto"/>
              </w:rPr>
            </w:pPr>
          </w:p>
        </w:tc>
        <w:tc>
          <w:tcPr>
            <w:tcW w:w="820" w:type="dxa"/>
            <w:vAlign w:val="bottom"/>
            <w:shd w:val="clear" w:color="auto" w:fill="852166"/>
          </w:tcPr>
          <w:p>
            <w:pPr>
              <w:spacing w:after="0"/>
              <w:rPr>
                <w:sz w:val="12"/>
                <w:szCs w:val="12"/>
                <w:color w:val="auto"/>
              </w:rPr>
            </w:pPr>
          </w:p>
        </w:tc>
        <w:tc>
          <w:tcPr>
            <w:tcW w:w="860" w:type="dxa"/>
            <w:vAlign w:val="bottom"/>
            <w:shd w:val="clear" w:color="auto" w:fill="852166"/>
          </w:tcPr>
          <w:p>
            <w:pPr>
              <w:spacing w:after="0"/>
              <w:rPr>
                <w:sz w:val="12"/>
                <w:szCs w:val="12"/>
                <w:color w:val="auto"/>
              </w:rPr>
            </w:pPr>
          </w:p>
        </w:tc>
        <w:tc>
          <w:tcPr>
            <w:tcW w:w="920" w:type="dxa"/>
            <w:vAlign w:val="bottom"/>
            <w:shd w:val="clear" w:color="auto" w:fill="852166"/>
          </w:tcPr>
          <w:p>
            <w:pPr>
              <w:spacing w:after="0"/>
              <w:rPr>
                <w:sz w:val="12"/>
                <w:szCs w:val="12"/>
                <w:color w:val="auto"/>
              </w:rPr>
            </w:pPr>
          </w:p>
        </w:tc>
        <w:tc>
          <w:tcPr>
            <w:tcW w:w="800" w:type="dxa"/>
            <w:vAlign w:val="bottom"/>
            <w:shd w:val="clear" w:color="auto" w:fill="852166"/>
          </w:tcPr>
          <w:p>
            <w:pPr>
              <w:spacing w:after="0"/>
              <w:rPr>
                <w:sz w:val="12"/>
                <w:szCs w:val="12"/>
                <w:color w:val="auto"/>
              </w:rPr>
            </w:pPr>
          </w:p>
        </w:tc>
        <w:tc>
          <w:tcPr>
            <w:tcW w:w="1080" w:type="dxa"/>
            <w:vAlign w:val="bottom"/>
            <w:shd w:val="clear" w:color="auto" w:fill="852166"/>
          </w:tcPr>
          <w:p>
            <w:pPr>
              <w:spacing w:after="0"/>
              <w:rPr>
                <w:sz w:val="12"/>
                <w:szCs w:val="12"/>
                <w:color w:val="auto"/>
              </w:rPr>
            </w:pPr>
          </w:p>
        </w:tc>
        <w:tc>
          <w:tcPr>
            <w:tcW w:w="960" w:type="dxa"/>
            <w:vAlign w:val="bottom"/>
            <w:shd w:val="clear" w:color="auto" w:fill="852166"/>
          </w:tcPr>
          <w:p>
            <w:pPr>
              <w:spacing w:after="0"/>
              <w:rPr>
                <w:sz w:val="12"/>
                <w:szCs w:val="12"/>
                <w:color w:val="auto"/>
              </w:rPr>
            </w:pPr>
          </w:p>
        </w:tc>
        <w:tc>
          <w:tcPr>
            <w:tcW w:w="460" w:type="dxa"/>
            <w:vAlign w:val="bottom"/>
            <w:shd w:val="clear" w:color="auto" w:fill="852166"/>
          </w:tcPr>
          <w:p>
            <w:pPr>
              <w:spacing w:after="0"/>
              <w:rPr>
                <w:sz w:val="12"/>
                <w:szCs w:val="12"/>
                <w:color w:val="auto"/>
              </w:rPr>
            </w:pPr>
          </w:p>
        </w:tc>
        <w:tc>
          <w:tcPr>
            <w:tcW w:w="92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Number of</w:t>
            </w:r>
          </w:p>
        </w:tc>
        <w:tc>
          <w:tcPr>
            <w:tcW w:w="82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w w:val="99"/>
              </w:rPr>
              <w:t>Fair Value of</w:t>
            </w:r>
          </w:p>
        </w:tc>
        <w:tc>
          <w:tcPr>
            <w:tcW w:w="100" w:type="dxa"/>
            <w:vAlign w:val="bottom"/>
            <w:shd w:val="clear" w:color="auto" w:fill="852166"/>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shd w:val="clear" w:color="auto" w:fill="852166"/>
          </w:tcPr>
          <w:p>
            <w:pPr>
              <w:spacing w:after="0"/>
              <w:rPr>
                <w:sz w:val="12"/>
                <w:szCs w:val="12"/>
                <w:color w:val="auto"/>
              </w:rPr>
            </w:pPr>
          </w:p>
        </w:tc>
        <w:tc>
          <w:tcPr>
            <w:tcW w:w="1360" w:type="dxa"/>
            <w:vAlign w:val="bottom"/>
            <w:shd w:val="clear" w:color="auto" w:fill="852166"/>
          </w:tcPr>
          <w:p>
            <w:pPr>
              <w:spacing w:after="0"/>
              <w:rPr>
                <w:sz w:val="12"/>
                <w:szCs w:val="12"/>
                <w:color w:val="auto"/>
              </w:rPr>
            </w:pPr>
          </w:p>
        </w:tc>
        <w:tc>
          <w:tcPr>
            <w:tcW w:w="1040" w:type="dxa"/>
            <w:vAlign w:val="bottom"/>
            <w:shd w:val="clear" w:color="auto" w:fill="852166"/>
          </w:tcPr>
          <w:p>
            <w:pPr>
              <w:spacing w:after="0"/>
              <w:rPr>
                <w:sz w:val="12"/>
                <w:szCs w:val="12"/>
                <w:color w:val="auto"/>
              </w:rPr>
            </w:pPr>
          </w:p>
        </w:tc>
        <w:tc>
          <w:tcPr>
            <w:tcW w:w="1020" w:type="dxa"/>
            <w:vAlign w:val="bottom"/>
            <w:shd w:val="clear" w:color="auto" w:fill="852166"/>
          </w:tcPr>
          <w:p>
            <w:pPr>
              <w:spacing w:after="0"/>
              <w:rPr>
                <w:sz w:val="12"/>
                <w:szCs w:val="12"/>
                <w:color w:val="auto"/>
              </w:rPr>
            </w:pPr>
          </w:p>
        </w:tc>
        <w:tc>
          <w:tcPr>
            <w:tcW w:w="820" w:type="dxa"/>
            <w:vAlign w:val="bottom"/>
            <w:shd w:val="clear" w:color="auto" w:fill="852166"/>
          </w:tcPr>
          <w:p>
            <w:pPr>
              <w:spacing w:after="0"/>
              <w:rPr>
                <w:sz w:val="12"/>
                <w:szCs w:val="12"/>
                <w:color w:val="auto"/>
              </w:rPr>
            </w:pPr>
          </w:p>
        </w:tc>
        <w:tc>
          <w:tcPr>
            <w:tcW w:w="860" w:type="dxa"/>
            <w:vAlign w:val="bottom"/>
            <w:shd w:val="clear" w:color="auto" w:fill="852166"/>
          </w:tcPr>
          <w:p>
            <w:pPr>
              <w:spacing w:after="0"/>
              <w:rPr>
                <w:sz w:val="12"/>
                <w:szCs w:val="12"/>
                <w:color w:val="auto"/>
              </w:rPr>
            </w:pPr>
          </w:p>
        </w:tc>
        <w:tc>
          <w:tcPr>
            <w:tcW w:w="920" w:type="dxa"/>
            <w:vAlign w:val="bottom"/>
            <w:shd w:val="clear" w:color="auto" w:fill="852166"/>
          </w:tcPr>
          <w:p>
            <w:pPr>
              <w:spacing w:after="0"/>
              <w:rPr>
                <w:sz w:val="12"/>
                <w:szCs w:val="12"/>
                <w:color w:val="auto"/>
              </w:rPr>
            </w:pPr>
          </w:p>
        </w:tc>
        <w:tc>
          <w:tcPr>
            <w:tcW w:w="800" w:type="dxa"/>
            <w:vAlign w:val="bottom"/>
            <w:shd w:val="clear" w:color="auto" w:fill="852166"/>
          </w:tcPr>
          <w:p>
            <w:pPr>
              <w:spacing w:after="0"/>
              <w:rPr>
                <w:sz w:val="12"/>
                <w:szCs w:val="12"/>
                <w:color w:val="auto"/>
              </w:rPr>
            </w:pPr>
          </w:p>
        </w:tc>
        <w:tc>
          <w:tcPr>
            <w:tcW w:w="1080" w:type="dxa"/>
            <w:vAlign w:val="bottom"/>
            <w:shd w:val="clear" w:color="auto" w:fill="852166"/>
          </w:tcPr>
          <w:p>
            <w:pPr>
              <w:spacing w:after="0"/>
              <w:rPr>
                <w:sz w:val="12"/>
                <w:szCs w:val="12"/>
                <w:color w:val="auto"/>
              </w:rPr>
            </w:pPr>
          </w:p>
        </w:tc>
        <w:tc>
          <w:tcPr>
            <w:tcW w:w="960" w:type="dxa"/>
            <w:vAlign w:val="bottom"/>
            <w:shd w:val="clear" w:color="auto" w:fill="852166"/>
          </w:tcPr>
          <w:p>
            <w:pPr>
              <w:spacing w:after="0"/>
              <w:rPr>
                <w:sz w:val="12"/>
                <w:szCs w:val="12"/>
                <w:color w:val="auto"/>
              </w:rPr>
            </w:pPr>
          </w:p>
        </w:tc>
        <w:tc>
          <w:tcPr>
            <w:tcW w:w="460" w:type="dxa"/>
            <w:vAlign w:val="bottom"/>
            <w:shd w:val="clear" w:color="auto" w:fill="852166"/>
          </w:tcPr>
          <w:p>
            <w:pPr>
              <w:spacing w:after="0"/>
              <w:rPr>
                <w:sz w:val="12"/>
                <w:szCs w:val="12"/>
                <w:color w:val="auto"/>
              </w:rPr>
            </w:pPr>
          </w:p>
        </w:tc>
        <w:tc>
          <w:tcPr>
            <w:tcW w:w="92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Shares of</w:t>
            </w:r>
          </w:p>
        </w:tc>
        <w:tc>
          <w:tcPr>
            <w:tcW w:w="82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Stock</w:t>
            </w:r>
          </w:p>
        </w:tc>
        <w:tc>
          <w:tcPr>
            <w:tcW w:w="100" w:type="dxa"/>
            <w:vAlign w:val="bottom"/>
            <w:shd w:val="clear" w:color="auto" w:fill="852166"/>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80" w:type="dxa"/>
            <w:vAlign w:val="bottom"/>
            <w:shd w:val="clear" w:color="auto" w:fill="852166"/>
          </w:tcPr>
          <w:p>
            <w:pPr>
              <w:spacing w:after="0"/>
              <w:rPr>
                <w:sz w:val="13"/>
                <w:szCs w:val="13"/>
                <w:color w:val="auto"/>
              </w:rPr>
            </w:pPr>
          </w:p>
        </w:tc>
        <w:tc>
          <w:tcPr>
            <w:tcW w:w="1360" w:type="dxa"/>
            <w:vAlign w:val="bottom"/>
            <w:shd w:val="clear" w:color="auto" w:fill="852166"/>
          </w:tcPr>
          <w:p>
            <w:pPr>
              <w:spacing w:after="0"/>
              <w:rPr>
                <w:sz w:val="13"/>
                <w:szCs w:val="13"/>
                <w:color w:val="auto"/>
              </w:rPr>
            </w:pPr>
          </w:p>
        </w:tc>
        <w:tc>
          <w:tcPr>
            <w:tcW w:w="1040" w:type="dxa"/>
            <w:vAlign w:val="bottom"/>
            <w:shd w:val="clear" w:color="auto" w:fill="852166"/>
          </w:tcPr>
          <w:p>
            <w:pPr>
              <w:jc w:val="center"/>
              <w:spacing w:after="0"/>
              <w:rPr>
                <w:sz w:val="20"/>
                <w:szCs w:val="20"/>
                <w:color w:val="auto"/>
              </w:rPr>
            </w:pPr>
            <w:r>
              <w:rPr>
                <w:rFonts w:ascii="Arial" w:cs="Arial" w:eastAsia="Arial" w:hAnsi="Arial"/>
                <w:sz w:val="13"/>
                <w:szCs w:val="13"/>
                <w:b w:val="1"/>
                <w:bCs w:val="1"/>
                <w:color w:val="FFFFFF"/>
              </w:rPr>
              <w:t>Award</w:t>
            </w:r>
          </w:p>
        </w:tc>
        <w:tc>
          <w:tcPr>
            <w:tcW w:w="1020" w:type="dxa"/>
            <w:vAlign w:val="bottom"/>
            <w:shd w:val="clear" w:color="auto" w:fill="852166"/>
          </w:tcPr>
          <w:p>
            <w:pPr>
              <w:jc w:val="center"/>
              <w:spacing w:after="0"/>
              <w:rPr>
                <w:sz w:val="20"/>
                <w:szCs w:val="20"/>
                <w:color w:val="auto"/>
              </w:rPr>
            </w:pPr>
            <w:r>
              <w:rPr>
                <w:rFonts w:ascii="Arial" w:cs="Arial" w:eastAsia="Arial" w:hAnsi="Arial"/>
                <w:sz w:val="13"/>
                <w:szCs w:val="13"/>
                <w:b w:val="1"/>
                <w:bCs w:val="1"/>
                <w:color w:val="FFFFFF"/>
                <w:w w:val="97"/>
              </w:rPr>
              <w:t>Grant</w:t>
            </w:r>
          </w:p>
        </w:tc>
        <w:tc>
          <w:tcPr>
            <w:tcW w:w="820" w:type="dxa"/>
            <w:vAlign w:val="bottom"/>
            <w:shd w:val="clear" w:color="auto" w:fill="852166"/>
          </w:tcPr>
          <w:p>
            <w:pPr>
              <w:jc w:val="center"/>
              <w:spacing w:after="0"/>
              <w:rPr>
                <w:sz w:val="20"/>
                <w:szCs w:val="20"/>
                <w:color w:val="auto"/>
              </w:rPr>
            </w:pPr>
            <w:r>
              <w:rPr>
                <w:rFonts w:ascii="Arial" w:cs="Arial" w:eastAsia="Arial" w:hAnsi="Arial"/>
                <w:sz w:val="13"/>
                <w:szCs w:val="13"/>
                <w:b w:val="1"/>
                <w:bCs w:val="1"/>
                <w:color w:val="FFFFFF"/>
                <w:w w:val="99"/>
              </w:rPr>
              <w:t>Approval</w:t>
            </w:r>
          </w:p>
        </w:tc>
        <w:tc>
          <w:tcPr>
            <w:tcW w:w="86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Threshold</w:t>
            </w:r>
          </w:p>
        </w:tc>
        <w:tc>
          <w:tcPr>
            <w:tcW w:w="920" w:type="dxa"/>
            <w:vAlign w:val="bottom"/>
            <w:shd w:val="clear" w:color="auto" w:fill="852166"/>
          </w:tcPr>
          <w:p>
            <w:pPr>
              <w:jc w:val="right"/>
              <w:ind w:right="57"/>
              <w:spacing w:after="0"/>
              <w:rPr>
                <w:sz w:val="20"/>
                <w:szCs w:val="20"/>
                <w:color w:val="auto"/>
              </w:rPr>
            </w:pPr>
            <w:r>
              <w:rPr>
                <w:rFonts w:ascii="Arial" w:cs="Arial" w:eastAsia="Arial" w:hAnsi="Arial"/>
                <w:sz w:val="13"/>
                <w:szCs w:val="13"/>
                <w:b w:val="1"/>
                <w:bCs w:val="1"/>
                <w:color w:val="FFFFFF"/>
              </w:rPr>
              <w:t>Target</w:t>
            </w:r>
          </w:p>
        </w:tc>
        <w:tc>
          <w:tcPr>
            <w:tcW w:w="800" w:type="dxa"/>
            <w:vAlign w:val="bottom"/>
            <w:shd w:val="clear" w:color="auto" w:fill="852166"/>
          </w:tcPr>
          <w:p>
            <w:pPr>
              <w:jc w:val="right"/>
              <w:ind w:right="37"/>
              <w:spacing w:after="0"/>
              <w:rPr>
                <w:sz w:val="20"/>
                <w:szCs w:val="20"/>
                <w:color w:val="auto"/>
              </w:rPr>
            </w:pPr>
            <w:r>
              <w:rPr>
                <w:rFonts w:ascii="Arial" w:cs="Arial" w:eastAsia="Arial" w:hAnsi="Arial"/>
                <w:sz w:val="13"/>
                <w:szCs w:val="13"/>
                <w:b w:val="1"/>
                <w:bCs w:val="1"/>
                <w:color w:val="FFFFFF"/>
              </w:rPr>
              <w:t>Maximum</w:t>
            </w:r>
          </w:p>
        </w:tc>
        <w:tc>
          <w:tcPr>
            <w:tcW w:w="1080" w:type="dxa"/>
            <w:vAlign w:val="bottom"/>
            <w:shd w:val="clear" w:color="auto" w:fill="852166"/>
          </w:tcPr>
          <w:p>
            <w:pPr>
              <w:spacing w:after="0"/>
              <w:rPr>
                <w:sz w:val="13"/>
                <w:szCs w:val="13"/>
                <w:color w:val="auto"/>
              </w:rPr>
            </w:pPr>
          </w:p>
        </w:tc>
        <w:tc>
          <w:tcPr>
            <w:tcW w:w="1420" w:type="dxa"/>
            <w:vAlign w:val="bottom"/>
            <w:gridSpan w:val="2"/>
            <w:shd w:val="clear" w:color="auto" w:fill="852166"/>
          </w:tcPr>
          <w:p>
            <w:pPr>
              <w:jc w:val="right"/>
              <w:spacing w:after="0"/>
              <w:rPr>
                <w:sz w:val="20"/>
                <w:szCs w:val="20"/>
                <w:color w:val="auto"/>
              </w:rPr>
            </w:pPr>
            <w:r>
              <w:rPr>
                <w:rFonts w:ascii="Arial" w:cs="Arial" w:eastAsia="Arial" w:hAnsi="Arial"/>
                <w:sz w:val="13"/>
                <w:szCs w:val="13"/>
                <w:b w:val="1"/>
                <w:bCs w:val="1"/>
                <w:color w:val="FFFFFF"/>
              </w:rPr>
              <w:t>Target    Maximum</w:t>
            </w:r>
          </w:p>
        </w:tc>
        <w:tc>
          <w:tcPr>
            <w:tcW w:w="92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w w:val="99"/>
              </w:rPr>
              <w:t>Stock or Units</w:t>
            </w:r>
          </w:p>
        </w:tc>
        <w:tc>
          <w:tcPr>
            <w:tcW w:w="82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Awards</w:t>
            </w:r>
          </w:p>
        </w:tc>
        <w:tc>
          <w:tcPr>
            <w:tcW w:w="100" w:type="dxa"/>
            <w:vAlign w:val="bottom"/>
            <w:shd w:val="clear" w:color="auto" w:fill="852166"/>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80" w:type="dxa"/>
            <w:vAlign w:val="bottom"/>
            <w:tcBorders>
              <w:bottom w:val="single" w:sz="8" w:color="852166"/>
            </w:tcBorders>
            <w:shd w:val="clear" w:color="auto" w:fill="852166"/>
          </w:tcPr>
          <w:p>
            <w:pPr>
              <w:spacing w:after="0"/>
              <w:rPr>
                <w:sz w:val="20"/>
                <w:szCs w:val="20"/>
                <w:color w:val="auto"/>
              </w:rPr>
            </w:pPr>
          </w:p>
        </w:tc>
        <w:tc>
          <w:tcPr>
            <w:tcW w:w="1360" w:type="dxa"/>
            <w:vAlign w:val="bottom"/>
            <w:tcBorders>
              <w:bottom w:val="single" w:sz="8" w:color="852166"/>
            </w:tcBorders>
            <w:shd w:val="clear" w:color="auto" w:fill="852166"/>
          </w:tcPr>
          <w:p>
            <w:pPr>
              <w:ind w:left="20"/>
              <w:spacing w:after="0"/>
              <w:rPr>
                <w:sz w:val="20"/>
                <w:szCs w:val="20"/>
                <w:color w:val="auto"/>
              </w:rPr>
            </w:pPr>
            <w:r>
              <w:rPr>
                <w:rFonts w:ascii="Arial" w:cs="Arial" w:eastAsia="Arial" w:hAnsi="Arial"/>
                <w:sz w:val="13"/>
                <w:szCs w:val="13"/>
                <w:b w:val="1"/>
                <w:bCs w:val="1"/>
                <w:color w:val="FFFFFF"/>
              </w:rPr>
              <w:t>Name</w:t>
            </w:r>
          </w:p>
        </w:tc>
        <w:tc>
          <w:tcPr>
            <w:tcW w:w="1040" w:type="dxa"/>
            <w:vAlign w:val="bottom"/>
            <w:tcBorders>
              <w:bottom w:val="single" w:sz="8" w:color="852166"/>
            </w:tcBorders>
            <w:shd w:val="clear" w:color="auto" w:fill="852166"/>
          </w:tcPr>
          <w:p>
            <w:pPr>
              <w:jc w:val="center"/>
              <w:spacing w:after="0"/>
              <w:rPr>
                <w:sz w:val="20"/>
                <w:szCs w:val="20"/>
                <w:color w:val="auto"/>
              </w:rPr>
            </w:pPr>
            <w:r>
              <w:rPr>
                <w:rFonts w:ascii="Arial" w:cs="Arial" w:eastAsia="Arial" w:hAnsi="Arial"/>
                <w:sz w:val="13"/>
                <w:szCs w:val="13"/>
                <w:b w:val="1"/>
                <w:bCs w:val="1"/>
                <w:color w:val="FFFFFF"/>
                <w:w w:val="92"/>
              </w:rPr>
              <w:t>Type</w:t>
            </w:r>
          </w:p>
        </w:tc>
        <w:tc>
          <w:tcPr>
            <w:tcW w:w="1020" w:type="dxa"/>
            <w:vAlign w:val="bottom"/>
            <w:tcBorders>
              <w:bottom w:val="single" w:sz="8" w:color="852166"/>
            </w:tcBorders>
            <w:shd w:val="clear" w:color="auto" w:fill="852166"/>
          </w:tcPr>
          <w:p>
            <w:pPr>
              <w:jc w:val="center"/>
              <w:spacing w:after="0"/>
              <w:rPr>
                <w:sz w:val="20"/>
                <w:szCs w:val="20"/>
                <w:color w:val="auto"/>
              </w:rPr>
            </w:pPr>
            <w:r>
              <w:rPr>
                <w:rFonts w:ascii="Arial" w:cs="Arial" w:eastAsia="Arial" w:hAnsi="Arial"/>
                <w:sz w:val="13"/>
                <w:szCs w:val="13"/>
                <w:b w:val="1"/>
                <w:bCs w:val="1"/>
                <w:color w:val="FFFFFF"/>
                <w:w w:val="99"/>
              </w:rPr>
              <w:t>Date</w:t>
            </w:r>
          </w:p>
        </w:tc>
        <w:tc>
          <w:tcPr>
            <w:tcW w:w="820" w:type="dxa"/>
            <w:vAlign w:val="bottom"/>
            <w:tcBorders>
              <w:bottom w:val="single" w:sz="8" w:color="852166"/>
            </w:tcBorders>
            <w:shd w:val="clear" w:color="auto" w:fill="852166"/>
          </w:tcPr>
          <w:p>
            <w:pPr>
              <w:jc w:val="center"/>
              <w:spacing w:after="0"/>
              <w:rPr>
                <w:sz w:val="20"/>
                <w:szCs w:val="20"/>
                <w:color w:val="auto"/>
              </w:rPr>
            </w:pPr>
            <w:r>
              <w:rPr>
                <w:rFonts w:ascii="Arial" w:cs="Arial" w:eastAsia="Arial" w:hAnsi="Arial"/>
                <w:sz w:val="13"/>
                <w:szCs w:val="13"/>
                <w:b w:val="1"/>
                <w:bCs w:val="1"/>
                <w:color w:val="FFFFFF"/>
                <w:w w:val="99"/>
              </w:rPr>
              <w:t>Date</w:t>
            </w:r>
          </w:p>
        </w:tc>
        <w:tc>
          <w:tcPr>
            <w:tcW w:w="860" w:type="dxa"/>
            <w:vAlign w:val="bottom"/>
            <w:tcBorders>
              <w:bottom w:val="single" w:sz="8" w:color="852166"/>
            </w:tcBorders>
            <w:shd w:val="clear" w:color="auto" w:fill="852166"/>
          </w:tcPr>
          <w:p>
            <w:pPr>
              <w:jc w:val="right"/>
              <w:spacing w:after="0"/>
              <w:rPr>
                <w:sz w:val="20"/>
                <w:szCs w:val="20"/>
                <w:color w:val="auto"/>
              </w:rPr>
            </w:pPr>
            <w:r>
              <w:rPr>
                <w:rFonts w:ascii="Arial" w:cs="Arial" w:eastAsia="Arial" w:hAnsi="Arial"/>
                <w:sz w:val="13"/>
                <w:szCs w:val="13"/>
                <w:b w:val="1"/>
                <w:bCs w:val="1"/>
                <w:color w:val="FFFFFF"/>
              </w:rPr>
              <w:t>($)</w:t>
            </w:r>
          </w:p>
        </w:tc>
        <w:tc>
          <w:tcPr>
            <w:tcW w:w="920" w:type="dxa"/>
            <w:vAlign w:val="bottom"/>
            <w:tcBorders>
              <w:bottom w:val="single" w:sz="8" w:color="852166"/>
            </w:tcBorders>
            <w:shd w:val="clear" w:color="auto" w:fill="852166"/>
          </w:tcPr>
          <w:p>
            <w:pPr>
              <w:jc w:val="right"/>
              <w:ind w:right="57"/>
              <w:spacing w:after="0"/>
              <w:rPr>
                <w:sz w:val="20"/>
                <w:szCs w:val="20"/>
                <w:color w:val="auto"/>
              </w:rPr>
            </w:pPr>
            <w:r>
              <w:rPr>
                <w:rFonts w:ascii="Arial" w:cs="Arial" w:eastAsia="Arial" w:hAnsi="Arial"/>
                <w:sz w:val="13"/>
                <w:szCs w:val="13"/>
                <w:b w:val="1"/>
                <w:bCs w:val="1"/>
                <w:color w:val="FFFFFF"/>
              </w:rPr>
              <w:t>($)</w:t>
            </w:r>
          </w:p>
        </w:tc>
        <w:tc>
          <w:tcPr>
            <w:tcW w:w="800" w:type="dxa"/>
            <w:vAlign w:val="bottom"/>
            <w:tcBorders>
              <w:bottom w:val="single" w:sz="8" w:color="852166"/>
            </w:tcBorders>
            <w:shd w:val="clear" w:color="auto" w:fill="852166"/>
          </w:tcPr>
          <w:p>
            <w:pPr>
              <w:jc w:val="right"/>
              <w:ind w:right="37"/>
              <w:spacing w:after="0"/>
              <w:rPr>
                <w:sz w:val="20"/>
                <w:szCs w:val="20"/>
                <w:color w:val="auto"/>
              </w:rPr>
            </w:pPr>
            <w:r>
              <w:rPr>
                <w:rFonts w:ascii="Arial" w:cs="Arial" w:eastAsia="Arial" w:hAnsi="Arial"/>
                <w:sz w:val="13"/>
                <w:szCs w:val="13"/>
                <w:b w:val="1"/>
                <w:bCs w:val="1"/>
                <w:color w:val="FFFFFF"/>
              </w:rPr>
              <w:t>($)</w:t>
            </w:r>
          </w:p>
        </w:tc>
        <w:tc>
          <w:tcPr>
            <w:tcW w:w="1080" w:type="dxa"/>
            <w:vAlign w:val="bottom"/>
            <w:tcBorders>
              <w:bottom w:val="single" w:sz="8" w:color="852166"/>
            </w:tcBorders>
            <w:shd w:val="clear" w:color="auto" w:fill="852166"/>
          </w:tcPr>
          <w:p>
            <w:pPr>
              <w:jc w:val="right"/>
              <w:ind w:right="157"/>
              <w:spacing w:after="0"/>
              <w:rPr>
                <w:sz w:val="20"/>
                <w:szCs w:val="20"/>
                <w:color w:val="auto"/>
              </w:rPr>
            </w:pPr>
            <w:r>
              <w:rPr>
                <w:rFonts w:ascii="Arial" w:cs="Arial" w:eastAsia="Arial" w:hAnsi="Arial"/>
                <w:sz w:val="13"/>
                <w:szCs w:val="13"/>
                <w:b w:val="1"/>
                <w:bCs w:val="1"/>
                <w:color w:val="FFFFFF"/>
              </w:rPr>
              <w:t>Threshold(#)</w:t>
            </w:r>
          </w:p>
        </w:tc>
        <w:tc>
          <w:tcPr>
            <w:tcW w:w="960" w:type="dxa"/>
            <w:vAlign w:val="bottom"/>
            <w:tcBorders>
              <w:bottom w:val="single" w:sz="8" w:color="852166"/>
            </w:tcBorders>
            <w:shd w:val="clear" w:color="auto" w:fill="852166"/>
          </w:tcPr>
          <w:p>
            <w:pPr>
              <w:jc w:val="right"/>
              <w:ind w:right="317"/>
              <w:spacing w:after="0"/>
              <w:rPr>
                <w:sz w:val="20"/>
                <w:szCs w:val="20"/>
                <w:color w:val="auto"/>
              </w:rPr>
            </w:pPr>
            <w:r>
              <w:rPr>
                <w:rFonts w:ascii="Arial" w:cs="Arial" w:eastAsia="Arial" w:hAnsi="Arial"/>
                <w:sz w:val="13"/>
                <w:szCs w:val="13"/>
                <w:b w:val="1"/>
                <w:bCs w:val="1"/>
                <w:color w:val="FFFFFF"/>
              </w:rPr>
              <w:t>(#)</w:t>
            </w:r>
          </w:p>
        </w:tc>
        <w:tc>
          <w:tcPr>
            <w:tcW w:w="460" w:type="dxa"/>
            <w:vAlign w:val="bottom"/>
            <w:tcBorders>
              <w:bottom w:val="single" w:sz="8" w:color="852166"/>
            </w:tcBorders>
            <w:shd w:val="clear" w:color="auto" w:fill="852166"/>
          </w:tcPr>
          <w:p>
            <w:pPr>
              <w:jc w:val="right"/>
              <w:spacing w:after="0"/>
              <w:rPr>
                <w:sz w:val="20"/>
                <w:szCs w:val="20"/>
                <w:color w:val="auto"/>
              </w:rPr>
            </w:pPr>
            <w:r>
              <w:rPr>
                <w:rFonts w:ascii="Arial" w:cs="Arial" w:eastAsia="Arial" w:hAnsi="Arial"/>
                <w:sz w:val="13"/>
                <w:szCs w:val="13"/>
                <w:b w:val="1"/>
                <w:bCs w:val="1"/>
                <w:color w:val="FFFFFF"/>
              </w:rPr>
              <w:t>(#)</w:t>
            </w:r>
          </w:p>
        </w:tc>
        <w:tc>
          <w:tcPr>
            <w:tcW w:w="920" w:type="dxa"/>
            <w:vAlign w:val="bottom"/>
            <w:tcBorders>
              <w:bottom w:val="single" w:sz="8" w:color="852166"/>
            </w:tcBorders>
            <w:shd w:val="clear" w:color="auto" w:fill="852166"/>
          </w:tcPr>
          <w:p>
            <w:pPr>
              <w:jc w:val="right"/>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(3)</w:t>
            </w:r>
          </w:p>
        </w:tc>
        <w:tc>
          <w:tcPr>
            <w:tcW w:w="820" w:type="dxa"/>
            <w:vAlign w:val="bottom"/>
            <w:tcBorders>
              <w:bottom w:val="single" w:sz="8" w:color="852166"/>
            </w:tcBorders>
            <w:shd w:val="clear" w:color="auto" w:fill="852166"/>
          </w:tcPr>
          <w:p>
            <w:pPr>
              <w:jc w:val="right"/>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(4)</w:t>
            </w:r>
          </w:p>
        </w:tc>
        <w:tc>
          <w:tcPr>
            <w:tcW w:w="100" w:type="dxa"/>
            <w:vAlign w:val="bottom"/>
            <w:tcBorders>
              <w:bottom w:val="single" w:sz="8" w:color="852166"/>
            </w:tcBorders>
            <w:shd w:val="clear" w:color="auto" w:fill="852166"/>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6"/>
              </w:rPr>
              <w:t>Annual Cash</w:t>
            </w:r>
          </w:p>
        </w:tc>
        <w:tc>
          <w:tcPr>
            <w:tcW w:w="10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1,281,280</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2,562,560</w:t>
            </w:r>
          </w:p>
        </w:tc>
        <w:tc>
          <w:tcPr>
            <w:tcW w:w="10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3"/>
                <w:szCs w:val="13"/>
                <w:b w:val="1"/>
                <w:bCs w:val="1"/>
                <w:color w:val="auto"/>
              </w:rPr>
              <w:t>Bruce C. Cozadd</w:t>
            </w:r>
          </w:p>
        </w:tc>
        <w:tc>
          <w:tcPr>
            <w:tcW w:w="1040" w:type="dxa"/>
            <w:vAlign w:val="bottom"/>
          </w:tcPr>
          <w:p>
            <w:pPr>
              <w:jc w:val="center"/>
              <w:spacing w:after="0"/>
              <w:rPr>
                <w:sz w:val="20"/>
                <w:szCs w:val="20"/>
                <w:color w:val="auto"/>
              </w:rPr>
            </w:pPr>
            <w:r>
              <w:rPr>
                <w:rFonts w:ascii="Arial" w:cs="Arial" w:eastAsia="Arial" w:hAnsi="Arial"/>
                <w:sz w:val="13"/>
                <w:szCs w:val="13"/>
                <w:color w:val="auto"/>
                <w:w w:val="97"/>
              </w:rPr>
              <w:t>PSU</w:t>
            </w:r>
          </w:p>
        </w:tc>
        <w:tc>
          <w:tcPr>
            <w:tcW w:w="1020" w:type="dxa"/>
            <w:vAlign w:val="bottom"/>
          </w:tcPr>
          <w:p>
            <w:pPr>
              <w:jc w:val="center"/>
              <w:spacing w:after="0"/>
              <w:rPr>
                <w:sz w:val="20"/>
                <w:szCs w:val="20"/>
                <w:color w:val="auto"/>
              </w:rPr>
            </w:pPr>
            <w:r>
              <w:rPr>
                <w:rFonts w:ascii="Arial" w:cs="Arial" w:eastAsia="Arial" w:hAnsi="Arial"/>
                <w:sz w:val="13"/>
                <w:szCs w:val="13"/>
                <w:color w:val="auto"/>
                <w:w w:val="94"/>
              </w:rPr>
              <w:t>3/3/2023</w:t>
            </w:r>
          </w:p>
        </w:tc>
        <w:tc>
          <w:tcPr>
            <w:tcW w:w="820" w:type="dxa"/>
            <w:vAlign w:val="bottom"/>
          </w:tcPr>
          <w:p>
            <w:pPr>
              <w:jc w:val="center"/>
              <w:spacing w:after="0"/>
              <w:rPr>
                <w:sz w:val="20"/>
                <w:szCs w:val="20"/>
                <w:color w:val="auto"/>
              </w:rPr>
            </w:pPr>
            <w:r>
              <w:rPr>
                <w:rFonts w:ascii="Arial" w:cs="Arial" w:eastAsia="Arial" w:hAnsi="Arial"/>
                <w:sz w:val="13"/>
                <w:szCs w:val="13"/>
                <w:color w:val="auto"/>
                <w:w w:val="96"/>
              </w:rPr>
              <w:t>2/15/2023</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57"/>
              <w:spacing w:after="0"/>
              <w:rPr>
                <w:sz w:val="20"/>
                <w:szCs w:val="20"/>
                <w:color w:val="auto"/>
              </w:rPr>
            </w:pPr>
            <w:r>
              <w:rPr>
                <w:rFonts w:ascii="Arial" w:cs="Arial" w:eastAsia="Arial" w:hAnsi="Arial"/>
                <w:sz w:val="13"/>
                <w:szCs w:val="13"/>
                <w:color w:val="auto"/>
              </w:rPr>
              <w:t>15,896</w:t>
            </w:r>
          </w:p>
        </w:tc>
        <w:tc>
          <w:tcPr>
            <w:tcW w:w="960" w:type="dxa"/>
            <w:vAlign w:val="bottom"/>
          </w:tcPr>
          <w:p>
            <w:pPr>
              <w:jc w:val="right"/>
              <w:ind w:right="317"/>
              <w:spacing w:after="0"/>
              <w:rPr>
                <w:sz w:val="20"/>
                <w:szCs w:val="20"/>
                <w:color w:val="auto"/>
              </w:rPr>
            </w:pPr>
            <w:r>
              <w:rPr>
                <w:rFonts w:ascii="Arial" w:cs="Arial" w:eastAsia="Arial" w:hAnsi="Arial"/>
                <w:sz w:val="13"/>
                <w:szCs w:val="13"/>
                <w:color w:val="auto"/>
              </w:rPr>
              <w:t>42,388</w:t>
            </w:r>
          </w:p>
        </w:tc>
        <w:tc>
          <w:tcPr>
            <w:tcW w:w="460" w:type="dxa"/>
            <w:vAlign w:val="bottom"/>
          </w:tcPr>
          <w:p>
            <w:pPr>
              <w:jc w:val="right"/>
              <w:spacing w:after="0"/>
              <w:rPr>
                <w:sz w:val="20"/>
                <w:szCs w:val="20"/>
                <w:color w:val="auto"/>
              </w:rPr>
            </w:pPr>
            <w:r>
              <w:rPr>
                <w:rFonts w:ascii="Arial" w:cs="Arial" w:eastAsia="Arial" w:hAnsi="Arial"/>
                <w:sz w:val="13"/>
                <w:szCs w:val="13"/>
                <w:color w:val="auto"/>
              </w:rPr>
              <w:t>84,776</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6,702,814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rPr>
              <w:t>RSU</w:t>
            </w:r>
          </w:p>
        </w:tc>
        <w:tc>
          <w:tcPr>
            <w:tcW w:w="1020" w:type="dxa"/>
            <w:vAlign w:val="bottom"/>
          </w:tcPr>
          <w:p>
            <w:pPr>
              <w:jc w:val="center"/>
              <w:spacing w:after="0"/>
              <w:rPr>
                <w:sz w:val="20"/>
                <w:szCs w:val="20"/>
                <w:color w:val="auto"/>
              </w:rPr>
            </w:pPr>
            <w:r>
              <w:rPr>
                <w:rFonts w:ascii="Arial" w:cs="Arial" w:eastAsia="Arial" w:hAnsi="Arial"/>
                <w:sz w:val="13"/>
                <w:szCs w:val="13"/>
                <w:color w:val="auto"/>
                <w:w w:val="94"/>
              </w:rPr>
              <w:t>3/3/2023</w:t>
            </w:r>
          </w:p>
        </w:tc>
        <w:tc>
          <w:tcPr>
            <w:tcW w:w="820" w:type="dxa"/>
            <w:vAlign w:val="bottom"/>
          </w:tcPr>
          <w:p>
            <w:pPr>
              <w:jc w:val="center"/>
              <w:spacing w:after="0"/>
              <w:rPr>
                <w:sz w:val="20"/>
                <w:szCs w:val="20"/>
                <w:color w:val="auto"/>
              </w:rPr>
            </w:pPr>
            <w:r>
              <w:rPr>
                <w:rFonts w:ascii="Arial" w:cs="Arial" w:eastAsia="Arial" w:hAnsi="Arial"/>
                <w:sz w:val="13"/>
                <w:szCs w:val="13"/>
                <w:color w:val="auto"/>
                <w:w w:val="96"/>
              </w:rPr>
              <w:t>2/15/2023</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42,388</w:t>
            </w:r>
          </w:p>
        </w:tc>
        <w:tc>
          <w:tcPr>
            <w:tcW w:w="820" w:type="dxa"/>
            <w:vAlign w:val="bottom"/>
          </w:tcPr>
          <w:p>
            <w:pPr>
              <w:jc w:val="right"/>
              <w:spacing w:after="0"/>
              <w:rPr>
                <w:sz w:val="20"/>
                <w:szCs w:val="20"/>
                <w:color w:val="auto"/>
              </w:rPr>
            </w:pPr>
            <w:r>
              <w:rPr>
                <w:rFonts w:ascii="Arial" w:cs="Arial" w:eastAsia="Arial" w:hAnsi="Arial"/>
                <w:sz w:val="13"/>
                <w:szCs w:val="13"/>
                <w:color w:val="auto"/>
              </w:rPr>
              <w:t>6,193,735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9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80" w:type="dxa"/>
            <w:vAlign w:val="bottom"/>
            <w:shd w:val="clear" w:color="auto" w:fill="EAEAEA"/>
          </w:tcPr>
          <w:p>
            <w:pPr>
              <w:spacing w:after="0"/>
              <w:rPr>
                <w:sz w:val="19"/>
                <w:szCs w:val="19"/>
                <w:color w:val="auto"/>
              </w:rPr>
            </w:pPr>
          </w:p>
        </w:tc>
        <w:tc>
          <w:tcPr>
            <w:tcW w:w="1360" w:type="dxa"/>
            <w:vAlign w:val="bottom"/>
            <w:shd w:val="clear" w:color="auto" w:fill="EAEAEA"/>
          </w:tcPr>
          <w:p>
            <w:pPr>
              <w:spacing w:after="0"/>
              <w:rPr>
                <w:sz w:val="19"/>
                <w:szCs w:val="19"/>
                <w:color w:val="auto"/>
              </w:rPr>
            </w:pPr>
          </w:p>
        </w:tc>
        <w:tc>
          <w:tcPr>
            <w:tcW w:w="1040" w:type="dxa"/>
            <w:vAlign w:val="bottom"/>
            <w:shd w:val="clear" w:color="auto" w:fill="EAEAEA"/>
          </w:tcPr>
          <w:p>
            <w:pPr>
              <w:jc w:val="center"/>
              <w:spacing w:after="0"/>
              <w:rPr>
                <w:sz w:val="20"/>
                <w:szCs w:val="20"/>
                <w:color w:val="auto"/>
              </w:rPr>
            </w:pPr>
            <w:r>
              <w:rPr>
                <w:rFonts w:ascii="Arial" w:cs="Arial" w:eastAsia="Arial" w:hAnsi="Arial"/>
                <w:sz w:val="13"/>
                <w:szCs w:val="13"/>
                <w:color w:val="auto"/>
                <w:w w:val="96"/>
              </w:rPr>
              <w:t>Annual Cash</w:t>
            </w:r>
          </w:p>
        </w:tc>
        <w:tc>
          <w:tcPr>
            <w:tcW w:w="1020" w:type="dxa"/>
            <w:vAlign w:val="bottom"/>
            <w:shd w:val="clear" w:color="auto" w:fill="EAEAEA"/>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shd w:val="clear" w:color="auto" w:fill="EAEAEA"/>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600,000</w:t>
            </w:r>
          </w:p>
        </w:tc>
        <w:tc>
          <w:tcPr>
            <w:tcW w:w="80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1,800,000</w:t>
            </w:r>
          </w:p>
        </w:tc>
        <w:tc>
          <w:tcPr>
            <w:tcW w:w="1080" w:type="dxa"/>
            <w:vAlign w:val="bottom"/>
            <w:shd w:val="clear" w:color="auto" w:fill="EAEAEA"/>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shd w:val="clear" w:color="auto" w:fill="EAEAEA"/>
          </w:tcPr>
          <w:p>
            <w:pPr>
              <w:jc w:val="right"/>
              <w:ind w:right="317"/>
              <w:spacing w:after="0"/>
              <w:rPr>
                <w:sz w:val="20"/>
                <w:szCs w:val="20"/>
                <w:color w:val="auto"/>
              </w:rPr>
            </w:pPr>
            <w:r>
              <w:rPr>
                <w:rFonts w:ascii="Arial" w:cs="Arial" w:eastAsia="Arial" w:hAnsi="Arial"/>
                <w:sz w:val="13"/>
                <w:szCs w:val="13"/>
                <w:color w:val="auto"/>
              </w:rPr>
              <w:t>—</w:t>
            </w:r>
          </w:p>
        </w:tc>
        <w:tc>
          <w:tcPr>
            <w:tcW w:w="4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EAEAEA"/>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EAEAEA"/>
            </w:tcBorders>
            <w:shd w:val="clear" w:color="auto" w:fill="EAEAEA"/>
          </w:tcPr>
          <w:p>
            <w:pPr>
              <w:spacing w:after="0"/>
              <w:rPr>
                <w:sz w:val="7"/>
                <w:szCs w:val="7"/>
                <w:color w:val="auto"/>
              </w:rPr>
            </w:pPr>
          </w:p>
        </w:tc>
        <w:tc>
          <w:tcPr>
            <w:tcW w:w="1360" w:type="dxa"/>
            <w:vAlign w:val="bottom"/>
            <w:tcBorders>
              <w:bottom w:val="single" w:sz="8" w:color="EAEAEA"/>
            </w:tcBorders>
            <w:shd w:val="clear" w:color="auto" w:fill="EAEAEA"/>
          </w:tcPr>
          <w:p>
            <w:pPr>
              <w:spacing w:after="0"/>
              <w:rPr>
                <w:sz w:val="7"/>
                <w:szCs w:val="7"/>
                <w:color w:val="auto"/>
              </w:rPr>
            </w:pPr>
          </w:p>
        </w:tc>
        <w:tc>
          <w:tcPr>
            <w:tcW w:w="1040" w:type="dxa"/>
            <w:vAlign w:val="bottom"/>
            <w:tcBorders>
              <w:bottom w:val="single" w:sz="8" w:color="auto"/>
            </w:tcBorders>
            <w:shd w:val="clear" w:color="auto" w:fill="EAEAEA"/>
          </w:tcPr>
          <w:p>
            <w:pPr>
              <w:spacing w:after="0"/>
              <w:rPr>
                <w:sz w:val="7"/>
                <w:szCs w:val="7"/>
                <w:color w:val="auto"/>
              </w:rPr>
            </w:pPr>
          </w:p>
        </w:tc>
        <w:tc>
          <w:tcPr>
            <w:tcW w:w="1020" w:type="dxa"/>
            <w:vAlign w:val="bottom"/>
            <w:tcBorders>
              <w:bottom w:val="single" w:sz="8" w:color="auto"/>
            </w:tcBorders>
            <w:shd w:val="clear" w:color="auto" w:fill="EAEAEA"/>
          </w:tcPr>
          <w:p>
            <w:pPr>
              <w:spacing w:after="0"/>
              <w:rPr>
                <w:sz w:val="7"/>
                <w:szCs w:val="7"/>
                <w:color w:val="auto"/>
              </w:rPr>
            </w:pPr>
          </w:p>
        </w:tc>
        <w:tc>
          <w:tcPr>
            <w:tcW w:w="820" w:type="dxa"/>
            <w:vAlign w:val="bottom"/>
            <w:tcBorders>
              <w:bottom w:val="single" w:sz="8" w:color="auto"/>
            </w:tcBorders>
            <w:shd w:val="clear" w:color="auto" w:fill="EAEAEA"/>
          </w:tcPr>
          <w:p>
            <w:pPr>
              <w:spacing w:after="0"/>
              <w:rPr>
                <w:sz w:val="7"/>
                <w:szCs w:val="7"/>
                <w:color w:val="auto"/>
              </w:rPr>
            </w:pPr>
          </w:p>
        </w:tc>
        <w:tc>
          <w:tcPr>
            <w:tcW w:w="860" w:type="dxa"/>
            <w:vAlign w:val="bottom"/>
            <w:tcBorders>
              <w:bottom w:val="single" w:sz="8" w:color="auto"/>
            </w:tcBorders>
            <w:shd w:val="clear" w:color="auto" w:fill="EAEAEA"/>
          </w:tcPr>
          <w:p>
            <w:pPr>
              <w:spacing w:after="0"/>
              <w:rPr>
                <w:sz w:val="7"/>
                <w:szCs w:val="7"/>
                <w:color w:val="auto"/>
              </w:rPr>
            </w:pPr>
          </w:p>
        </w:tc>
        <w:tc>
          <w:tcPr>
            <w:tcW w:w="920" w:type="dxa"/>
            <w:vAlign w:val="bottom"/>
            <w:tcBorders>
              <w:bottom w:val="single" w:sz="8" w:color="auto"/>
            </w:tcBorders>
            <w:shd w:val="clear" w:color="auto" w:fill="EAEAEA"/>
          </w:tcPr>
          <w:p>
            <w:pPr>
              <w:spacing w:after="0"/>
              <w:rPr>
                <w:sz w:val="7"/>
                <w:szCs w:val="7"/>
                <w:color w:val="auto"/>
              </w:rPr>
            </w:pPr>
          </w:p>
        </w:tc>
        <w:tc>
          <w:tcPr>
            <w:tcW w:w="800" w:type="dxa"/>
            <w:vAlign w:val="bottom"/>
            <w:tcBorders>
              <w:bottom w:val="single" w:sz="8" w:color="auto"/>
            </w:tcBorders>
            <w:shd w:val="clear" w:color="auto" w:fill="EAEAEA"/>
          </w:tcPr>
          <w:p>
            <w:pPr>
              <w:spacing w:after="0"/>
              <w:rPr>
                <w:sz w:val="7"/>
                <w:szCs w:val="7"/>
                <w:color w:val="auto"/>
              </w:rPr>
            </w:pPr>
          </w:p>
        </w:tc>
        <w:tc>
          <w:tcPr>
            <w:tcW w:w="1080" w:type="dxa"/>
            <w:vAlign w:val="bottom"/>
            <w:tcBorders>
              <w:bottom w:val="single" w:sz="8" w:color="auto"/>
            </w:tcBorders>
            <w:shd w:val="clear" w:color="auto" w:fill="EAEAEA"/>
          </w:tcPr>
          <w:p>
            <w:pPr>
              <w:spacing w:after="0"/>
              <w:rPr>
                <w:sz w:val="7"/>
                <w:szCs w:val="7"/>
                <w:color w:val="auto"/>
              </w:rPr>
            </w:pPr>
          </w:p>
        </w:tc>
        <w:tc>
          <w:tcPr>
            <w:tcW w:w="960" w:type="dxa"/>
            <w:vAlign w:val="bottom"/>
            <w:tcBorders>
              <w:bottom w:val="single" w:sz="8" w:color="auto"/>
            </w:tcBorders>
            <w:shd w:val="clear" w:color="auto" w:fill="EAEAEA"/>
          </w:tcPr>
          <w:p>
            <w:pPr>
              <w:spacing w:after="0"/>
              <w:rPr>
                <w:sz w:val="7"/>
                <w:szCs w:val="7"/>
                <w:color w:val="auto"/>
              </w:rPr>
            </w:pPr>
          </w:p>
        </w:tc>
        <w:tc>
          <w:tcPr>
            <w:tcW w:w="460" w:type="dxa"/>
            <w:vAlign w:val="bottom"/>
            <w:tcBorders>
              <w:bottom w:val="single" w:sz="8" w:color="auto"/>
            </w:tcBorders>
            <w:shd w:val="clear" w:color="auto" w:fill="EAEAEA"/>
          </w:tcPr>
          <w:p>
            <w:pPr>
              <w:spacing w:after="0"/>
              <w:rPr>
                <w:sz w:val="7"/>
                <w:szCs w:val="7"/>
                <w:color w:val="auto"/>
              </w:rPr>
            </w:pPr>
          </w:p>
        </w:tc>
        <w:tc>
          <w:tcPr>
            <w:tcW w:w="920" w:type="dxa"/>
            <w:vAlign w:val="bottom"/>
            <w:tcBorders>
              <w:bottom w:val="single" w:sz="8" w:color="auto"/>
            </w:tcBorders>
            <w:shd w:val="clear" w:color="auto" w:fill="EAEAEA"/>
          </w:tcPr>
          <w:p>
            <w:pPr>
              <w:spacing w:after="0"/>
              <w:rPr>
                <w:sz w:val="7"/>
                <w:szCs w:val="7"/>
                <w:color w:val="auto"/>
              </w:rPr>
            </w:pPr>
          </w:p>
        </w:tc>
        <w:tc>
          <w:tcPr>
            <w:tcW w:w="820" w:type="dxa"/>
            <w:vAlign w:val="bottom"/>
            <w:tcBorders>
              <w:bottom w:val="single" w:sz="8" w:color="auto"/>
            </w:tcBorders>
            <w:shd w:val="clear" w:color="auto" w:fill="EAEAEA"/>
          </w:tcPr>
          <w:p>
            <w:pPr>
              <w:spacing w:after="0"/>
              <w:rPr>
                <w:sz w:val="7"/>
                <w:szCs w:val="7"/>
                <w:color w:val="auto"/>
              </w:rPr>
            </w:pPr>
          </w:p>
        </w:tc>
        <w:tc>
          <w:tcPr>
            <w:tcW w:w="100" w:type="dxa"/>
            <w:vAlign w:val="bottom"/>
            <w:tcBorders>
              <w:bottom w:val="single" w:sz="8" w:color="auto"/>
            </w:tcBorders>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80" w:type="dxa"/>
            <w:vAlign w:val="bottom"/>
            <w:shd w:val="clear" w:color="auto" w:fill="EAEAEA"/>
          </w:tcPr>
          <w:p>
            <w:pPr>
              <w:spacing w:after="0"/>
              <w:rPr>
                <w:sz w:val="18"/>
                <w:szCs w:val="18"/>
                <w:color w:val="auto"/>
              </w:rPr>
            </w:pPr>
          </w:p>
        </w:tc>
        <w:tc>
          <w:tcPr>
            <w:tcW w:w="1360" w:type="dxa"/>
            <w:vAlign w:val="bottom"/>
            <w:shd w:val="clear" w:color="auto" w:fill="EAEAEA"/>
          </w:tcPr>
          <w:p>
            <w:pPr>
              <w:spacing w:after="0"/>
              <w:rPr>
                <w:sz w:val="18"/>
                <w:szCs w:val="18"/>
                <w:color w:val="auto"/>
              </w:rPr>
            </w:pPr>
          </w:p>
        </w:tc>
        <w:tc>
          <w:tcPr>
            <w:tcW w:w="1040" w:type="dxa"/>
            <w:vAlign w:val="bottom"/>
            <w:vMerge w:val="restart"/>
            <w:shd w:val="clear" w:color="auto" w:fill="EAEAEA"/>
          </w:tcPr>
          <w:p>
            <w:pPr>
              <w:jc w:val="center"/>
              <w:spacing w:after="0"/>
              <w:rPr>
                <w:sz w:val="20"/>
                <w:szCs w:val="20"/>
                <w:color w:val="auto"/>
              </w:rPr>
            </w:pPr>
            <w:r>
              <w:rPr>
                <w:rFonts w:ascii="Arial" w:cs="Arial" w:eastAsia="Arial" w:hAnsi="Arial"/>
                <w:sz w:val="13"/>
                <w:szCs w:val="13"/>
                <w:color w:val="auto"/>
                <w:w w:val="97"/>
              </w:rPr>
              <w:t>PSU</w:t>
            </w:r>
          </w:p>
        </w:tc>
        <w:tc>
          <w:tcPr>
            <w:tcW w:w="1020" w:type="dxa"/>
            <w:vAlign w:val="bottom"/>
            <w:shd w:val="clear" w:color="auto" w:fill="EAEAEA"/>
          </w:tcPr>
          <w:p>
            <w:pPr>
              <w:jc w:val="center"/>
              <w:spacing w:after="0"/>
              <w:rPr>
                <w:sz w:val="20"/>
                <w:szCs w:val="20"/>
                <w:color w:val="auto"/>
              </w:rPr>
            </w:pPr>
            <w:r>
              <w:rPr>
                <w:rFonts w:ascii="Arial" w:cs="Arial" w:eastAsia="Arial" w:hAnsi="Arial"/>
                <w:sz w:val="13"/>
                <w:szCs w:val="13"/>
                <w:color w:val="auto"/>
                <w:w w:val="94"/>
              </w:rPr>
              <w:t>3/3/2023</w:t>
            </w:r>
          </w:p>
        </w:tc>
        <w:tc>
          <w:tcPr>
            <w:tcW w:w="820" w:type="dxa"/>
            <w:vAlign w:val="bottom"/>
            <w:shd w:val="clear" w:color="auto" w:fill="EAEAEA"/>
          </w:tcPr>
          <w:p>
            <w:pPr>
              <w:jc w:val="center"/>
              <w:spacing w:after="0"/>
              <w:rPr>
                <w:sz w:val="20"/>
                <w:szCs w:val="20"/>
                <w:color w:val="auto"/>
              </w:rPr>
            </w:pPr>
            <w:r>
              <w:rPr>
                <w:rFonts w:ascii="Arial" w:cs="Arial" w:eastAsia="Arial" w:hAnsi="Arial"/>
                <w:sz w:val="13"/>
                <w:szCs w:val="13"/>
                <w:color w:val="auto"/>
                <w:w w:val="96"/>
              </w:rPr>
              <w:t>2/15/2023</w:t>
            </w:r>
          </w:p>
        </w:tc>
        <w:tc>
          <w:tcPr>
            <w:tcW w:w="8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shd w:val="clear" w:color="auto" w:fill="EAEAEA"/>
          </w:tcPr>
          <w:p>
            <w:pPr>
              <w:jc w:val="right"/>
              <w:ind w:right="157"/>
              <w:spacing w:after="0"/>
              <w:rPr>
                <w:sz w:val="20"/>
                <w:szCs w:val="20"/>
                <w:color w:val="auto"/>
              </w:rPr>
            </w:pPr>
            <w:r>
              <w:rPr>
                <w:rFonts w:ascii="Arial" w:cs="Arial" w:eastAsia="Arial" w:hAnsi="Arial"/>
                <w:sz w:val="13"/>
                <w:szCs w:val="13"/>
                <w:color w:val="auto"/>
              </w:rPr>
              <w:t>4,794</w:t>
            </w:r>
          </w:p>
        </w:tc>
        <w:tc>
          <w:tcPr>
            <w:tcW w:w="960" w:type="dxa"/>
            <w:vAlign w:val="bottom"/>
            <w:shd w:val="clear" w:color="auto" w:fill="EAEAEA"/>
          </w:tcPr>
          <w:p>
            <w:pPr>
              <w:jc w:val="right"/>
              <w:ind w:right="317"/>
              <w:spacing w:after="0"/>
              <w:rPr>
                <w:sz w:val="20"/>
                <w:szCs w:val="20"/>
                <w:color w:val="auto"/>
              </w:rPr>
            </w:pPr>
            <w:r>
              <w:rPr>
                <w:rFonts w:ascii="Arial" w:cs="Arial" w:eastAsia="Arial" w:hAnsi="Arial"/>
                <w:sz w:val="13"/>
                <w:szCs w:val="13"/>
                <w:color w:val="auto"/>
              </w:rPr>
              <w:t>12,784</w:t>
            </w:r>
          </w:p>
        </w:tc>
        <w:tc>
          <w:tcPr>
            <w:tcW w:w="4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25,568</w:t>
            </w:r>
          </w:p>
        </w:tc>
        <w:tc>
          <w:tcPr>
            <w:tcW w:w="9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2,021,534</w:t>
            </w: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80" w:type="dxa"/>
            <w:vAlign w:val="bottom"/>
            <w:tcBorders>
              <w:bottom w:val="single" w:sz="8" w:color="EAEAEA"/>
            </w:tcBorders>
            <w:shd w:val="clear" w:color="auto" w:fill="EAEAEA"/>
          </w:tcPr>
          <w:p>
            <w:pPr>
              <w:spacing w:after="0"/>
              <w:rPr>
                <w:sz w:val="7"/>
                <w:szCs w:val="7"/>
                <w:color w:val="auto"/>
              </w:rPr>
            </w:pPr>
          </w:p>
        </w:tc>
        <w:tc>
          <w:tcPr>
            <w:tcW w:w="1360" w:type="dxa"/>
            <w:vAlign w:val="bottom"/>
            <w:tcBorders>
              <w:bottom w:val="single" w:sz="8" w:color="EAEAEA"/>
            </w:tcBorders>
            <w:shd w:val="clear" w:color="auto" w:fill="EAEAEA"/>
          </w:tcPr>
          <w:p>
            <w:pPr>
              <w:spacing w:after="0"/>
              <w:rPr>
                <w:sz w:val="7"/>
                <w:szCs w:val="7"/>
                <w:color w:val="auto"/>
              </w:rPr>
            </w:pPr>
          </w:p>
        </w:tc>
        <w:tc>
          <w:tcPr>
            <w:tcW w:w="1040" w:type="dxa"/>
            <w:vAlign w:val="bottom"/>
            <w:tcBorders>
              <w:bottom w:val="single" w:sz="8" w:color="EAEAEA"/>
            </w:tcBorders>
            <w:vMerge w:val="continue"/>
            <w:shd w:val="clear" w:color="auto" w:fill="EAEAEA"/>
          </w:tcPr>
          <w:p>
            <w:pPr>
              <w:spacing w:after="0"/>
              <w:rPr>
                <w:sz w:val="7"/>
                <w:szCs w:val="7"/>
                <w:color w:val="auto"/>
              </w:rPr>
            </w:pPr>
          </w:p>
        </w:tc>
        <w:tc>
          <w:tcPr>
            <w:tcW w:w="1020" w:type="dxa"/>
            <w:vAlign w:val="bottom"/>
            <w:tcBorders>
              <w:bottom w:val="single" w:sz="8" w:color="auto"/>
            </w:tcBorders>
            <w:shd w:val="clear" w:color="auto" w:fill="EAEAEA"/>
          </w:tcPr>
          <w:p>
            <w:pPr>
              <w:spacing w:after="0"/>
              <w:rPr>
                <w:sz w:val="7"/>
                <w:szCs w:val="7"/>
                <w:color w:val="auto"/>
              </w:rPr>
            </w:pPr>
          </w:p>
        </w:tc>
        <w:tc>
          <w:tcPr>
            <w:tcW w:w="820" w:type="dxa"/>
            <w:vAlign w:val="bottom"/>
            <w:tcBorders>
              <w:bottom w:val="single" w:sz="8" w:color="auto"/>
            </w:tcBorders>
            <w:shd w:val="clear" w:color="auto" w:fill="EAEAEA"/>
          </w:tcPr>
          <w:p>
            <w:pPr>
              <w:spacing w:after="0"/>
              <w:rPr>
                <w:sz w:val="7"/>
                <w:szCs w:val="7"/>
                <w:color w:val="auto"/>
              </w:rPr>
            </w:pPr>
          </w:p>
        </w:tc>
        <w:tc>
          <w:tcPr>
            <w:tcW w:w="860" w:type="dxa"/>
            <w:vAlign w:val="bottom"/>
            <w:tcBorders>
              <w:bottom w:val="single" w:sz="8" w:color="auto"/>
            </w:tcBorders>
            <w:shd w:val="clear" w:color="auto" w:fill="EAEAEA"/>
          </w:tcPr>
          <w:p>
            <w:pPr>
              <w:spacing w:after="0"/>
              <w:rPr>
                <w:sz w:val="7"/>
                <w:szCs w:val="7"/>
                <w:color w:val="auto"/>
              </w:rPr>
            </w:pPr>
          </w:p>
        </w:tc>
        <w:tc>
          <w:tcPr>
            <w:tcW w:w="920" w:type="dxa"/>
            <w:vAlign w:val="bottom"/>
            <w:tcBorders>
              <w:bottom w:val="single" w:sz="8" w:color="auto"/>
            </w:tcBorders>
            <w:shd w:val="clear" w:color="auto" w:fill="EAEAEA"/>
          </w:tcPr>
          <w:p>
            <w:pPr>
              <w:spacing w:after="0"/>
              <w:rPr>
                <w:sz w:val="7"/>
                <w:szCs w:val="7"/>
                <w:color w:val="auto"/>
              </w:rPr>
            </w:pPr>
          </w:p>
        </w:tc>
        <w:tc>
          <w:tcPr>
            <w:tcW w:w="800" w:type="dxa"/>
            <w:vAlign w:val="bottom"/>
            <w:tcBorders>
              <w:bottom w:val="single" w:sz="8" w:color="auto"/>
            </w:tcBorders>
            <w:shd w:val="clear" w:color="auto" w:fill="EAEAEA"/>
          </w:tcPr>
          <w:p>
            <w:pPr>
              <w:spacing w:after="0"/>
              <w:rPr>
                <w:sz w:val="7"/>
                <w:szCs w:val="7"/>
                <w:color w:val="auto"/>
              </w:rPr>
            </w:pPr>
          </w:p>
        </w:tc>
        <w:tc>
          <w:tcPr>
            <w:tcW w:w="1080" w:type="dxa"/>
            <w:vAlign w:val="bottom"/>
            <w:tcBorders>
              <w:bottom w:val="single" w:sz="8" w:color="auto"/>
            </w:tcBorders>
            <w:shd w:val="clear" w:color="auto" w:fill="EAEAEA"/>
          </w:tcPr>
          <w:p>
            <w:pPr>
              <w:spacing w:after="0"/>
              <w:rPr>
                <w:sz w:val="7"/>
                <w:szCs w:val="7"/>
                <w:color w:val="auto"/>
              </w:rPr>
            </w:pPr>
          </w:p>
        </w:tc>
        <w:tc>
          <w:tcPr>
            <w:tcW w:w="960" w:type="dxa"/>
            <w:vAlign w:val="bottom"/>
            <w:tcBorders>
              <w:bottom w:val="single" w:sz="8" w:color="auto"/>
            </w:tcBorders>
            <w:shd w:val="clear" w:color="auto" w:fill="EAEAEA"/>
          </w:tcPr>
          <w:p>
            <w:pPr>
              <w:spacing w:after="0"/>
              <w:rPr>
                <w:sz w:val="7"/>
                <w:szCs w:val="7"/>
                <w:color w:val="auto"/>
              </w:rPr>
            </w:pPr>
          </w:p>
        </w:tc>
        <w:tc>
          <w:tcPr>
            <w:tcW w:w="460" w:type="dxa"/>
            <w:vAlign w:val="bottom"/>
            <w:tcBorders>
              <w:bottom w:val="single" w:sz="8" w:color="auto"/>
            </w:tcBorders>
            <w:shd w:val="clear" w:color="auto" w:fill="EAEAEA"/>
          </w:tcPr>
          <w:p>
            <w:pPr>
              <w:spacing w:after="0"/>
              <w:rPr>
                <w:sz w:val="7"/>
                <w:szCs w:val="7"/>
                <w:color w:val="auto"/>
              </w:rPr>
            </w:pPr>
          </w:p>
        </w:tc>
        <w:tc>
          <w:tcPr>
            <w:tcW w:w="920" w:type="dxa"/>
            <w:vAlign w:val="bottom"/>
            <w:tcBorders>
              <w:bottom w:val="single" w:sz="8" w:color="auto"/>
            </w:tcBorders>
            <w:shd w:val="clear" w:color="auto" w:fill="EAEAEA"/>
          </w:tcPr>
          <w:p>
            <w:pPr>
              <w:spacing w:after="0"/>
              <w:rPr>
                <w:sz w:val="7"/>
                <w:szCs w:val="7"/>
                <w:color w:val="auto"/>
              </w:rPr>
            </w:pPr>
          </w:p>
        </w:tc>
        <w:tc>
          <w:tcPr>
            <w:tcW w:w="820" w:type="dxa"/>
            <w:vAlign w:val="bottom"/>
            <w:tcBorders>
              <w:bottom w:val="single" w:sz="8" w:color="auto"/>
            </w:tcBorders>
            <w:shd w:val="clear" w:color="auto" w:fill="EAEAEA"/>
          </w:tcPr>
          <w:p>
            <w:pPr>
              <w:spacing w:after="0"/>
              <w:rPr>
                <w:sz w:val="7"/>
                <w:szCs w:val="7"/>
                <w:color w:val="auto"/>
              </w:rPr>
            </w:pPr>
          </w:p>
        </w:tc>
        <w:tc>
          <w:tcPr>
            <w:tcW w:w="100" w:type="dxa"/>
            <w:vAlign w:val="bottom"/>
            <w:tcBorders>
              <w:bottom w:val="single" w:sz="8" w:color="auto"/>
            </w:tcBorders>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80" w:type="dxa"/>
            <w:vAlign w:val="bottom"/>
            <w:shd w:val="clear" w:color="auto" w:fill="EAEAEA"/>
          </w:tcPr>
          <w:p>
            <w:pPr>
              <w:spacing w:after="0"/>
              <w:rPr>
                <w:sz w:val="5"/>
                <w:szCs w:val="5"/>
                <w:color w:val="auto"/>
              </w:rPr>
            </w:pPr>
          </w:p>
        </w:tc>
        <w:tc>
          <w:tcPr>
            <w:tcW w:w="1360" w:type="dxa"/>
            <w:vAlign w:val="bottom"/>
            <w:vMerge w:val="restart"/>
            <w:shd w:val="clear" w:color="auto" w:fill="EAEAEA"/>
          </w:tcPr>
          <w:p>
            <w:pPr>
              <w:ind w:left="20"/>
              <w:spacing w:after="0"/>
              <w:rPr>
                <w:sz w:val="20"/>
                <w:szCs w:val="20"/>
                <w:color w:val="auto"/>
              </w:rPr>
            </w:pPr>
            <w:r>
              <w:rPr>
                <w:rFonts w:ascii="Arial" w:cs="Arial" w:eastAsia="Arial" w:hAnsi="Arial"/>
                <w:sz w:val="13"/>
                <w:szCs w:val="13"/>
                <w:b w:val="1"/>
                <w:bCs w:val="1"/>
                <w:color w:val="auto"/>
              </w:rPr>
              <w:t>Renée Galá</w:t>
            </w:r>
          </w:p>
        </w:tc>
        <w:tc>
          <w:tcPr>
            <w:tcW w:w="1040" w:type="dxa"/>
            <w:vAlign w:val="bottom"/>
            <w:vMerge w:val="continue"/>
            <w:shd w:val="clear" w:color="auto" w:fill="EAEAEA"/>
          </w:tcPr>
          <w:p>
            <w:pPr>
              <w:spacing w:after="0"/>
              <w:rPr>
                <w:sz w:val="5"/>
                <w:szCs w:val="5"/>
                <w:color w:val="auto"/>
              </w:rPr>
            </w:pPr>
          </w:p>
        </w:tc>
        <w:tc>
          <w:tcPr>
            <w:tcW w:w="1020" w:type="dxa"/>
            <w:vAlign w:val="bottom"/>
            <w:vMerge w:val="restart"/>
            <w:shd w:val="clear" w:color="auto" w:fill="EAEAEA"/>
          </w:tcPr>
          <w:p>
            <w:pPr>
              <w:jc w:val="center"/>
              <w:spacing w:after="0"/>
              <w:rPr>
                <w:sz w:val="20"/>
                <w:szCs w:val="20"/>
                <w:color w:val="auto"/>
              </w:rPr>
            </w:pPr>
            <w:r>
              <w:rPr>
                <w:rFonts w:ascii="Arial" w:cs="Arial" w:eastAsia="Arial" w:hAnsi="Arial"/>
                <w:sz w:val="13"/>
                <w:szCs w:val="13"/>
                <w:color w:val="auto"/>
                <w:w w:val="92"/>
              </w:rPr>
              <w:t xml:space="preserve">11/10/2023 </w:t>
            </w:r>
            <w:r>
              <w:rPr>
                <w:rFonts w:ascii="Arial" w:cs="Arial" w:eastAsia="Arial" w:hAnsi="Arial"/>
                <w:sz w:val="16"/>
                <w:szCs w:val="16"/>
                <w:color w:val="auto"/>
                <w:w w:val="92"/>
                <w:vertAlign w:val="superscript"/>
              </w:rPr>
              <w:t>(5)</w:t>
            </w:r>
          </w:p>
        </w:tc>
        <w:tc>
          <w:tcPr>
            <w:tcW w:w="820" w:type="dxa"/>
            <w:vAlign w:val="bottom"/>
            <w:vMerge w:val="restart"/>
            <w:shd w:val="clear" w:color="auto" w:fill="EAEAEA"/>
          </w:tcPr>
          <w:p>
            <w:pPr>
              <w:jc w:val="center"/>
              <w:spacing w:after="0"/>
              <w:rPr>
                <w:sz w:val="20"/>
                <w:szCs w:val="20"/>
                <w:color w:val="auto"/>
              </w:rPr>
            </w:pPr>
            <w:r>
              <w:rPr>
                <w:rFonts w:ascii="Arial" w:cs="Arial" w:eastAsia="Arial" w:hAnsi="Arial"/>
                <w:sz w:val="13"/>
                <w:szCs w:val="13"/>
                <w:color w:val="auto"/>
                <w:w w:val="96"/>
              </w:rPr>
              <w:t>11/1/2023</w:t>
            </w:r>
          </w:p>
        </w:tc>
        <w:tc>
          <w:tcPr>
            <w:tcW w:w="860" w:type="dxa"/>
            <w:vAlign w:val="bottom"/>
            <w:vMerge w:val="restart"/>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EAEAEA"/>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vMerge w:val="restart"/>
            <w:shd w:val="clear" w:color="auto" w:fill="EAEAEA"/>
          </w:tcPr>
          <w:p>
            <w:pPr>
              <w:jc w:val="right"/>
              <w:ind w:right="157"/>
              <w:spacing w:after="0"/>
              <w:rPr>
                <w:sz w:val="20"/>
                <w:szCs w:val="20"/>
                <w:color w:val="auto"/>
              </w:rPr>
            </w:pPr>
            <w:r>
              <w:rPr>
                <w:rFonts w:ascii="Arial" w:cs="Arial" w:eastAsia="Arial" w:hAnsi="Arial"/>
                <w:sz w:val="13"/>
                <w:szCs w:val="13"/>
                <w:color w:val="auto"/>
              </w:rPr>
              <w:t>290</w:t>
            </w:r>
          </w:p>
        </w:tc>
        <w:tc>
          <w:tcPr>
            <w:tcW w:w="960" w:type="dxa"/>
            <w:vAlign w:val="bottom"/>
            <w:vMerge w:val="restart"/>
            <w:shd w:val="clear" w:color="auto" w:fill="EAEAEA"/>
          </w:tcPr>
          <w:p>
            <w:pPr>
              <w:jc w:val="right"/>
              <w:ind w:right="317"/>
              <w:spacing w:after="0"/>
              <w:rPr>
                <w:sz w:val="20"/>
                <w:szCs w:val="20"/>
                <w:color w:val="auto"/>
              </w:rPr>
            </w:pPr>
            <w:r>
              <w:rPr>
                <w:rFonts w:ascii="Arial" w:cs="Arial" w:eastAsia="Arial" w:hAnsi="Arial"/>
                <w:sz w:val="13"/>
                <w:szCs w:val="13"/>
                <w:color w:val="auto"/>
              </w:rPr>
              <w:t>772</w:t>
            </w:r>
          </w:p>
        </w:tc>
        <w:tc>
          <w:tcPr>
            <w:tcW w:w="460" w:type="dxa"/>
            <w:vAlign w:val="bottom"/>
            <w:vMerge w:val="restart"/>
            <w:shd w:val="clear" w:color="auto" w:fill="EAEAEA"/>
          </w:tcPr>
          <w:p>
            <w:pPr>
              <w:jc w:val="right"/>
              <w:spacing w:after="0"/>
              <w:rPr>
                <w:sz w:val="20"/>
                <w:szCs w:val="20"/>
                <w:color w:val="auto"/>
              </w:rPr>
            </w:pPr>
            <w:r>
              <w:rPr>
                <w:rFonts w:ascii="Arial" w:cs="Arial" w:eastAsia="Arial" w:hAnsi="Arial"/>
                <w:sz w:val="13"/>
                <w:szCs w:val="13"/>
                <w:color w:val="auto"/>
              </w:rPr>
              <w:t>1,544</w:t>
            </w:r>
          </w:p>
        </w:tc>
        <w:tc>
          <w:tcPr>
            <w:tcW w:w="920" w:type="dxa"/>
            <w:vAlign w:val="bottom"/>
            <w:vMerge w:val="restart"/>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EAEAEA"/>
          </w:tcPr>
          <w:p>
            <w:pPr>
              <w:jc w:val="right"/>
              <w:spacing w:after="0"/>
              <w:rPr>
                <w:sz w:val="20"/>
                <w:szCs w:val="20"/>
                <w:color w:val="auto"/>
              </w:rPr>
            </w:pPr>
            <w:r>
              <w:rPr>
                <w:rFonts w:ascii="Arial" w:cs="Arial" w:eastAsia="Arial" w:hAnsi="Arial"/>
                <w:sz w:val="13"/>
                <w:szCs w:val="13"/>
                <w:color w:val="auto"/>
              </w:rPr>
              <w:t>95,072</w:t>
            </w:r>
          </w:p>
        </w:tc>
        <w:tc>
          <w:tcPr>
            <w:tcW w:w="100" w:type="dxa"/>
            <w:vAlign w:val="bottom"/>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0" w:type="dxa"/>
            <w:vAlign w:val="bottom"/>
            <w:tcBorders>
              <w:bottom w:val="single" w:sz="8" w:color="EAEAEA"/>
            </w:tcBorders>
            <w:shd w:val="clear" w:color="auto" w:fill="EAEAEA"/>
          </w:tcPr>
          <w:p>
            <w:pPr>
              <w:spacing w:after="0"/>
              <w:rPr>
                <w:sz w:val="20"/>
                <w:szCs w:val="20"/>
                <w:color w:val="auto"/>
              </w:rPr>
            </w:pPr>
          </w:p>
        </w:tc>
        <w:tc>
          <w:tcPr>
            <w:tcW w:w="1360" w:type="dxa"/>
            <w:vAlign w:val="bottom"/>
            <w:tcBorders>
              <w:bottom w:val="single" w:sz="8" w:color="EAEAEA"/>
            </w:tcBorders>
            <w:vMerge w:val="continue"/>
            <w:shd w:val="clear" w:color="auto" w:fill="EAEAEA"/>
          </w:tcPr>
          <w:p>
            <w:pPr>
              <w:spacing w:after="0"/>
              <w:rPr>
                <w:sz w:val="20"/>
                <w:szCs w:val="20"/>
                <w:color w:val="auto"/>
              </w:rPr>
            </w:pPr>
          </w:p>
        </w:tc>
        <w:tc>
          <w:tcPr>
            <w:tcW w:w="1040" w:type="dxa"/>
            <w:vAlign w:val="bottom"/>
            <w:tcBorders>
              <w:bottom w:val="single" w:sz="8" w:color="EAEAEA"/>
            </w:tcBorders>
            <w:shd w:val="clear" w:color="auto" w:fill="EAEAEA"/>
          </w:tcPr>
          <w:p>
            <w:pPr>
              <w:spacing w:after="0"/>
              <w:rPr>
                <w:sz w:val="20"/>
                <w:szCs w:val="20"/>
                <w:color w:val="auto"/>
              </w:rPr>
            </w:pPr>
          </w:p>
        </w:tc>
        <w:tc>
          <w:tcPr>
            <w:tcW w:w="1020" w:type="dxa"/>
            <w:vAlign w:val="bottom"/>
            <w:tcBorders>
              <w:bottom w:val="single" w:sz="8" w:color="EAEAEA"/>
            </w:tcBorders>
            <w:vMerge w:val="continue"/>
            <w:shd w:val="clear" w:color="auto" w:fill="EAEAEA"/>
          </w:tcPr>
          <w:p>
            <w:pPr>
              <w:spacing w:after="0"/>
              <w:rPr>
                <w:sz w:val="20"/>
                <w:szCs w:val="20"/>
                <w:color w:val="auto"/>
              </w:rPr>
            </w:pPr>
          </w:p>
        </w:tc>
        <w:tc>
          <w:tcPr>
            <w:tcW w:w="820" w:type="dxa"/>
            <w:vAlign w:val="bottom"/>
            <w:tcBorders>
              <w:bottom w:val="single" w:sz="8" w:color="EAEAEA"/>
            </w:tcBorders>
            <w:vMerge w:val="continue"/>
            <w:shd w:val="clear" w:color="auto" w:fill="EAEAEA"/>
          </w:tcPr>
          <w:p>
            <w:pPr>
              <w:spacing w:after="0"/>
              <w:rPr>
                <w:sz w:val="20"/>
                <w:szCs w:val="20"/>
                <w:color w:val="auto"/>
              </w:rPr>
            </w:pPr>
          </w:p>
        </w:tc>
        <w:tc>
          <w:tcPr>
            <w:tcW w:w="860" w:type="dxa"/>
            <w:vAlign w:val="bottom"/>
            <w:tcBorders>
              <w:bottom w:val="single" w:sz="8" w:color="EAEAEA"/>
            </w:tcBorders>
            <w:vMerge w:val="continue"/>
            <w:shd w:val="clear" w:color="auto" w:fill="EAEAEA"/>
          </w:tcPr>
          <w:p>
            <w:pPr>
              <w:spacing w:after="0"/>
              <w:rPr>
                <w:sz w:val="20"/>
                <w:szCs w:val="20"/>
                <w:color w:val="auto"/>
              </w:rPr>
            </w:pPr>
          </w:p>
        </w:tc>
        <w:tc>
          <w:tcPr>
            <w:tcW w:w="920" w:type="dxa"/>
            <w:vAlign w:val="bottom"/>
            <w:tcBorders>
              <w:bottom w:val="single" w:sz="8" w:color="EAEAEA"/>
            </w:tcBorders>
            <w:vMerge w:val="continue"/>
            <w:shd w:val="clear" w:color="auto" w:fill="EAEAEA"/>
          </w:tcPr>
          <w:p>
            <w:pPr>
              <w:spacing w:after="0"/>
              <w:rPr>
                <w:sz w:val="20"/>
                <w:szCs w:val="20"/>
                <w:color w:val="auto"/>
              </w:rPr>
            </w:pPr>
          </w:p>
        </w:tc>
        <w:tc>
          <w:tcPr>
            <w:tcW w:w="800" w:type="dxa"/>
            <w:vAlign w:val="bottom"/>
            <w:tcBorders>
              <w:bottom w:val="single" w:sz="8" w:color="EAEAEA"/>
            </w:tcBorders>
            <w:vMerge w:val="continue"/>
            <w:shd w:val="clear" w:color="auto" w:fill="EAEAEA"/>
          </w:tcPr>
          <w:p>
            <w:pPr>
              <w:spacing w:after="0"/>
              <w:rPr>
                <w:sz w:val="20"/>
                <w:szCs w:val="20"/>
                <w:color w:val="auto"/>
              </w:rPr>
            </w:pPr>
          </w:p>
        </w:tc>
        <w:tc>
          <w:tcPr>
            <w:tcW w:w="1080" w:type="dxa"/>
            <w:vAlign w:val="bottom"/>
            <w:tcBorders>
              <w:bottom w:val="single" w:sz="8" w:color="EAEAEA"/>
            </w:tcBorders>
            <w:vMerge w:val="continue"/>
            <w:shd w:val="clear" w:color="auto" w:fill="EAEAEA"/>
          </w:tcPr>
          <w:p>
            <w:pPr>
              <w:spacing w:after="0"/>
              <w:rPr>
                <w:sz w:val="20"/>
                <w:szCs w:val="20"/>
                <w:color w:val="auto"/>
              </w:rPr>
            </w:pPr>
          </w:p>
        </w:tc>
        <w:tc>
          <w:tcPr>
            <w:tcW w:w="960" w:type="dxa"/>
            <w:vAlign w:val="bottom"/>
            <w:tcBorders>
              <w:bottom w:val="single" w:sz="8" w:color="EAEAEA"/>
            </w:tcBorders>
            <w:vMerge w:val="continue"/>
            <w:shd w:val="clear" w:color="auto" w:fill="EAEAEA"/>
          </w:tcPr>
          <w:p>
            <w:pPr>
              <w:spacing w:after="0"/>
              <w:rPr>
                <w:sz w:val="20"/>
                <w:szCs w:val="20"/>
                <w:color w:val="auto"/>
              </w:rPr>
            </w:pPr>
          </w:p>
        </w:tc>
        <w:tc>
          <w:tcPr>
            <w:tcW w:w="460" w:type="dxa"/>
            <w:vAlign w:val="bottom"/>
            <w:tcBorders>
              <w:bottom w:val="single" w:sz="8" w:color="EAEAEA"/>
            </w:tcBorders>
            <w:vMerge w:val="continue"/>
            <w:shd w:val="clear" w:color="auto" w:fill="EAEAEA"/>
          </w:tcPr>
          <w:p>
            <w:pPr>
              <w:spacing w:after="0"/>
              <w:rPr>
                <w:sz w:val="20"/>
                <w:szCs w:val="20"/>
                <w:color w:val="auto"/>
              </w:rPr>
            </w:pPr>
          </w:p>
        </w:tc>
        <w:tc>
          <w:tcPr>
            <w:tcW w:w="920" w:type="dxa"/>
            <w:vAlign w:val="bottom"/>
            <w:tcBorders>
              <w:bottom w:val="single" w:sz="8" w:color="EAEAEA"/>
            </w:tcBorders>
            <w:vMerge w:val="continue"/>
            <w:shd w:val="clear" w:color="auto" w:fill="EAEAEA"/>
          </w:tcPr>
          <w:p>
            <w:pPr>
              <w:spacing w:after="0"/>
              <w:rPr>
                <w:sz w:val="20"/>
                <w:szCs w:val="20"/>
                <w:color w:val="auto"/>
              </w:rPr>
            </w:pPr>
          </w:p>
        </w:tc>
        <w:tc>
          <w:tcPr>
            <w:tcW w:w="820" w:type="dxa"/>
            <w:vAlign w:val="bottom"/>
            <w:tcBorders>
              <w:bottom w:val="single" w:sz="8" w:color="EAEAEA"/>
            </w:tcBorders>
            <w:vMerge w:val="continue"/>
            <w:shd w:val="clear" w:color="auto" w:fill="EAEAEA"/>
          </w:tcPr>
          <w:p>
            <w:pPr>
              <w:spacing w:after="0"/>
              <w:rPr>
                <w:sz w:val="20"/>
                <w:szCs w:val="20"/>
                <w:color w:val="auto"/>
              </w:rPr>
            </w:pPr>
          </w:p>
        </w:tc>
        <w:tc>
          <w:tcPr>
            <w:tcW w:w="100" w:type="dxa"/>
            <w:vAlign w:val="bottom"/>
            <w:tcBorders>
              <w:bottom w:val="single" w:sz="8" w:color="EAEAEA"/>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 w:type="dxa"/>
            <w:vAlign w:val="bottom"/>
            <w:tcBorders>
              <w:top w:val="single" w:sz="8" w:color="EAEAEA"/>
            </w:tcBorders>
            <w:shd w:val="clear" w:color="auto" w:fill="EAEAEA"/>
          </w:tcPr>
          <w:p>
            <w:pPr>
              <w:spacing w:after="0"/>
              <w:rPr>
                <w:sz w:val="18"/>
                <w:szCs w:val="18"/>
                <w:color w:val="auto"/>
              </w:rPr>
            </w:pPr>
          </w:p>
        </w:tc>
        <w:tc>
          <w:tcPr>
            <w:tcW w:w="1360" w:type="dxa"/>
            <w:vAlign w:val="bottom"/>
            <w:tcBorders>
              <w:top w:val="single" w:sz="8" w:color="EAEAEA"/>
            </w:tcBorders>
            <w:shd w:val="clear" w:color="auto" w:fill="EAEAEA"/>
          </w:tcPr>
          <w:p>
            <w:pPr>
              <w:spacing w:after="0"/>
              <w:rPr>
                <w:sz w:val="18"/>
                <w:szCs w:val="18"/>
                <w:color w:val="auto"/>
              </w:rPr>
            </w:pPr>
          </w:p>
        </w:tc>
        <w:tc>
          <w:tcPr>
            <w:tcW w:w="1040" w:type="dxa"/>
            <w:vAlign w:val="bottom"/>
            <w:tcBorders>
              <w:top w:val="single" w:sz="8" w:color="auto"/>
            </w:tcBorders>
            <w:vMerge w:val="restart"/>
            <w:shd w:val="clear" w:color="auto" w:fill="EAEAEA"/>
          </w:tcPr>
          <w:p>
            <w:pPr>
              <w:jc w:val="center"/>
              <w:spacing w:after="0"/>
              <w:rPr>
                <w:sz w:val="20"/>
                <w:szCs w:val="20"/>
                <w:color w:val="auto"/>
              </w:rPr>
            </w:pPr>
            <w:r>
              <w:rPr>
                <w:rFonts w:ascii="Arial" w:cs="Arial" w:eastAsia="Arial" w:hAnsi="Arial"/>
                <w:sz w:val="13"/>
                <w:szCs w:val="13"/>
                <w:color w:val="auto"/>
              </w:rPr>
              <w:t>RSU</w:t>
            </w:r>
          </w:p>
        </w:tc>
        <w:tc>
          <w:tcPr>
            <w:tcW w:w="1020" w:type="dxa"/>
            <w:vAlign w:val="bottom"/>
            <w:tcBorders>
              <w:top w:val="single" w:sz="8" w:color="auto"/>
            </w:tcBorders>
            <w:shd w:val="clear" w:color="auto" w:fill="EAEAEA"/>
          </w:tcPr>
          <w:p>
            <w:pPr>
              <w:jc w:val="center"/>
              <w:spacing w:after="0"/>
              <w:rPr>
                <w:sz w:val="20"/>
                <w:szCs w:val="20"/>
                <w:color w:val="auto"/>
              </w:rPr>
            </w:pPr>
            <w:r>
              <w:rPr>
                <w:rFonts w:ascii="Arial" w:cs="Arial" w:eastAsia="Arial" w:hAnsi="Arial"/>
                <w:sz w:val="13"/>
                <w:szCs w:val="13"/>
                <w:color w:val="auto"/>
                <w:w w:val="94"/>
              </w:rPr>
              <w:t>3/3/2023</w:t>
            </w:r>
          </w:p>
        </w:tc>
        <w:tc>
          <w:tcPr>
            <w:tcW w:w="820" w:type="dxa"/>
            <w:vAlign w:val="bottom"/>
            <w:tcBorders>
              <w:top w:val="single" w:sz="8" w:color="auto"/>
            </w:tcBorders>
            <w:shd w:val="clear" w:color="auto" w:fill="EAEAEA"/>
          </w:tcPr>
          <w:p>
            <w:pPr>
              <w:jc w:val="center"/>
              <w:spacing w:after="0"/>
              <w:rPr>
                <w:sz w:val="20"/>
                <w:szCs w:val="20"/>
                <w:color w:val="auto"/>
              </w:rPr>
            </w:pPr>
            <w:r>
              <w:rPr>
                <w:rFonts w:ascii="Arial" w:cs="Arial" w:eastAsia="Arial" w:hAnsi="Arial"/>
                <w:sz w:val="13"/>
                <w:szCs w:val="13"/>
                <w:color w:val="auto"/>
                <w:w w:val="96"/>
              </w:rPr>
              <w:t>2/15/2023</w:t>
            </w:r>
          </w:p>
        </w:tc>
        <w:tc>
          <w:tcPr>
            <w:tcW w:w="86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shd w:val="clear" w:color="auto" w:fill="EAEAEA"/>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shd w:val="clear" w:color="auto" w:fill="EAEAEA"/>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EAEAEA"/>
          </w:tcPr>
          <w:p>
            <w:pPr>
              <w:jc w:val="right"/>
              <w:ind w:right="317"/>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3"/>
                <w:szCs w:val="13"/>
                <w:color w:val="auto"/>
              </w:rPr>
              <w:t>12,784</w:t>
            </w:r>
          </w:p>
        </w:tc>
        <w:tc>
          <w:tcPr>
            <w:tcW w:w="82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3"/>
                <w:szCs w:val="13"/>
                <w:color w:val="auto"/>
              </w:rPr>
              <w:t>1,867,998</w:t>
            </w:r>
          </w:p>
        </w:tc>
        <w:tc>
          <w:tcPr>
            <w:tcW w:w="100" w:type="dxa"/>
            <w:vAlign w:val="bottom"/>
            <w:tcBorders>
              <w:top w:val="single" w:sz="8" w:color="auto"/>
            </w:tcBorders>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80" w:type="dxa"/>
            <w:vAlign w:val="bottom"/>
            <w:tcBorders>
              <w:bottom w:val="single" w:sz="8" w:color="EAEAEA"/>
            </w:tcBorders>
            <w:shd w:val="clear" w:color="auto" w:fill="EAEAEA"/>
          </w:tcPr>
          <w:p>
            <w:pPr>
              <w:spacing w:after="0"/>
              <w:rPr>
                <w:sz w:val="7"/>
                <w:szCs w:val="7"/>
                <w:color w:val="auto"/>
              </w:rPr>
            </w:pPr>
          </w:p>
        </w:tc>
        <w:tc>
          <w:tcPr>
            <w:tcW w:w="1360" w:type="dxa"/>
            <w:vAlign w:val="bottom"/>
            <w:tcBorders>
              <w:bottom w:val="single" w:sz="8" w:color="EAEAEA"/>
            </w:tcBorders>
            <w:shd w:val="clear" w:color="auto" w:fill="EAEAEA"/>
          </w:tcPr>
          <w:p>
            <w:pPr>
              <w:spacing w:after="0"/>
              <w:rPr>
                <w:sz w:val="7"/>
                <w:szCs w:val="7"/>
                <w:color w:val="auto"/>
              </w:rPr>
            </w:pPr>
          </w:p>
        </w:tc>
        <w:tc>
          <w:tcPr>
            <w:tcW w:w="1040" w:type="dxa"/>
            <w:vAlign w:val="bottom"/>
            <w:tcBorders>
              <w:bottom w:val="single" w:sz="8" w:color="auto"/>
            </w:tcBorders>
            <w:vMerge w:val="continue"/>
            <w:shd w:val="clear" w:color="auto" w:fill="EAEAEA"/>
          </w:tcPr>
          <w:p>
            <w:pPr>
              <w:spacing w:after="0"/>
              <w:rPr>
                <w:sz w:val="7"/>
                <w:szCs w:val="7"/>
                <w:color w:val="auto"/>
              </w:rPr>
            </w:pPr>
          </w:p>
        </w:tc>
        <w:tc>
          <w:tcPr>
            <w:tcW w:w="1020" w:type="dxa"/>
            <w:vAlign w:val="bottom"/>
            <w:tcBorders>
              <w:bottom w:val="single" w:sz="8" w:color="auto"/>
            </w:tcBorders>
            <w:shd w:val="clear" w:color="auto" w:fill="EAEAEA"/>
          </w:tcPr>
          <w:p>
            <w:pPr>
              <w:spacing w:after="0"/>
              <w:rPr>
                <w:sz w:val="7"/>
                <w:szCs w:val="7"/>
                <w:color w:val="auto"/>
              </w:rPr>
            </w:pPr>
          </w:p>
        </w:tc>
        <w:tc>
          <w:tcPr>
            <w:tcW w:w="820" w:type="dxa"/>
            <w:vAlign w:val="bottom"/>
            <w:tcBorders>
              <w:bottom w:val="single" w:sz="8" w:color="auto"/>
            </w:tcBorders>
            <w:shd w:val="clear" w:color="auto" w:fill="EAEAEA"/>
          </w:tcPr>
          <w:p>
            <w:pPr>
              <w:spacing w:after="0"/>
              <w:rPr>
                <w:sz w:val="7"/>
                <w:szCs w:val="7"/>
                <w:color w:val="auto"/>
              </w:rPr>
            </w:pPr>
          </w:p>
        </w:tc>
        <w:tc>
          <w:tcPr>
            <w:tcW w:w="860" w:type="dxa"/>
            <w:vAlign w:val="bottom"/>
            <w:tcBorders>
              <w:bottom w:val="single" w:sz="8" w:color="auto"/>
            </w:tcBorders>
            <w:shd w:val="clear" w:color="auto" w:fill="EAEAEA"/>
          </w:tcPr>
          <w:p>
            <w:pPr>
              <w:spacing w:after="0"/>
              <w:rPr>
                <w:sz w:val="7"/>
                <w:szCs w:val="7"/>
                <w:color w:val="auto"/>
              </w:rPr>
            </w:pPr>
          </w:p>
        </w:tc>
        <w:tc>
          <w:tcPr>
            <w:tcW w:w="920" w:type="dxa"/>
            <w:vAlign w:val="bottom"/>
            <w:tcBorders>
              <w:bottom w:val="single" w:sz="8" w:color="auto"/>
            </w:tcBorders>
            <w:shd w:val="clear" w:color="auto" w:fill="EAEAEA"/>
          </w:tcPr>
          <w:p>
            <w:pPr>
              <w:spacing w:after="0"/>
              <w:rPr>
                <w:sz w:val="7"/>
                <w:szCs w:val="7"/>
                <w:color w:val="auto"/>
              </w:rPr>
            </w:pPr>
          </w:p>
        </w:tc>
        <w:tc>
          <w:tcPr>
            <w:tcW w:w="800" w:type="dxa"/>
            <w:vAlign w:val="bottom"/>
            <w:tcBorders>
              <w:bottom w:val="single" w:sz="8" w:color="auto"/>
            </w:tcBorders>
            <w:shd w:val="clear" w:color="auto" w:fill="EAEAEA"/>
          </w:tcPr>
          <w:p>
            <w:pPr>
              <w:spacing w:after="0"/>
              <w:rPr>
                <w:sz w:val="7"/>
                <w:szCs w:val="7"/>
                <w:color w:val="auto"/>
              </w:rPr>
            </w:pPr>
          </w:p>
        </w:tc>
        <w:tc>
          <w:tcPr>
            <w:tcW w:w="1080" w:type="dxa"/>
            <w:vAlign w:val="bottom"/>
            <w:tcBorders>
              <w:bottom w:val="single" w:sz="8" w:color="auto"/>
            </w:tcBorders>
            <w:shd w:val="clear" w:color="auto" w:fill="EAEAEA"/>
          </w:tcPr>
          <w:p>
            <w:pPr>
              <w:spacing w:after="0"/>
              <w:rPr>
                <w:sz w:val="7"/>
                <w:szCs w:val="7"/>
                <w:color w:val="auto"/>
              </w:rPr>
            </w:pPr>
          </w:p>
        </w:tc>
        <w:tc>
          <w:tcPr>
            <w:tcW w:w="960" w:type="dxa"/>
            <w:vAlign w:val="bottom"/>
            <w:tcBorders>
              <w:bottom w:val="single" w:sz="8" w:color="auto"/>
            </w:tcBorders>
            <w:shd w:val="clear" w:color="auto" w:fill="EAEAEA"/>
          </w:tcPr>
          <w:p>
            <w:pPr>
              <w:spacing w:after="0"/>
              <w:rPr>
                <w:sz w:val="7"/>
                <w:szCs w:val="7"/>
                <w:color w:val="auto"/>
              </w:rPr>
            </w:pPr>
          </w:p>
        </w:tc>
        <w:tc>
          <w:tcPr>
            <w:tcW w:w="460" w:type="dxa"/>
            <w:vAlign w:val="bottom"/>
            <w:tcBorders>
              <w:bottom w:val="single" w:sz="8" w:color="auto"/>
            </w:tcBorders>
            <w:shd w:val="clear" w:color="auto" w:fill="EAEAEA"/>
          </w:tcPr>
          <w:p>
            <w:pPr>
              <w:spacing w:after="0"/>
              <w:rPr>
                <w:sz w:val="7"/>
                <w:szCs w:val="7"/>
                <w:color w:val="auto"/>
              </w:rPr>
            </w:pPr>
          </w:p>
        </w:tc>
        <w:tc>
          <w:tcPr>
            <w:tcW w:w="920" w:type="dxa"/>
            <w:vAlign w:val="bottom"/>
            <w:tcBorders>
              <w:bottom w:val="single" w:sz="8" w:color="auto"/>
            </w:tcBorders>
            <w:shd w:val="clear" w:color="auto" w:fill="EAEAEA"/>
          </w:tcPr>
          <w:p>
            <w:pPr>
              <w:spacing w:after="0"/>
              <w:rPr>
                <w:sz w:val="7"/>
                <w:szCs w:val="7"/>
                <w:color w:val="auto"/>
              </w:rPr>
            </w:pPr>
          </w:p>
        </w:tc>
        <w:tc>
          <w:tcPr>
            <w:tcW w:w="820" w:type="dxa"/>
            <w:vAlign w:val="bottom"/>
            <w:tcBorders>
              <w:bottom w:val="single" w:sz="8" w:color="auto"/>
            </w:tcBorders>
            <w:shd w:val="clear" w:color="auto" w:fill="EAEAEA"/>
          </w:tcPr>
          <w:p>
            <w:pPr>
              <w:spacing w:after="0"/>
              <w:rPr>
                <w:sz w:val="7"/>
                <w:szCs w:val="7"/>
                <w:color w:val="auto"/>
              </w:rPr>
            </w:pPr>
          </w:p>
        </w:tc>
        <w:tc>
          <w:tcPr>
            <w:tcW w:w="100" w:type="dxa"/>
            <w:vAlign w:val="bottom"/>
            <w:tcBorders>
              <w:bottom w:val="single" w:sz="8" w:color="auto"/>
            </w:tcBorders>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80" w:type="dxa"/>
            <w:vAlign w:val="bottom"/>
            <w:shd w:val="clear" w:color="auto" w:fill="EAEAEA"/>
          </w:tcPr>
          <w:p>
            <w:pPr>
              <w:spacing w:after="0"/>
              <w:rPr>
                <w:sz w:val="5"/>
                <w:szCs w:val="5"/>
                <w:color w:val="auto"/>
              </w:rPr>
            </w:pPr>
          </w:p>
        </w:tc>
        <w:tc>
          <w:tcPr>
            <w:tcW w:w="1360" w:type="dxa"/>
            <w:vAlign w:val="bottom"/>
            <w:shd w:val="clear" w:color="auto" w:fill="EAEAEA"/>
          </w:tcPr>
          <w:p>
            <w:pPr>
              <w:spacing w:after="0"/>
              <w:rPr>
                <w:sz w:val="5"/>
                <w:szCs w:val="5"/>
                <w:color w:val="auto"/>
              </w:rPr>
            </w:pPr>
          </w:p>
        </w:tc>
        <w:tc>
          <w:tcPr>
            <w:tcW w:w="1040" w:type="dxa"/>
            <w:vAlign w:val="bottom"/>
            <w:vMerge w:val="continue"/>
            <w:shd w:val="clear" w:color="auto" w:fill="EAEAEA"/>
          </w:tcPr>
          <w:p>
            <w:pPr>
              <w:spacing w:after="0"/>
              <w:rPr>
                <w:sz w:val="5"/>
                <w:szCs w:val="5"/>
                <w:color w:val="auto"/>
              </w:rPr>
            </w:pPr>
          </w:p>
        </w:tc>
        <w:tc>
          <w:tcPr>
            <w:tcW w:w="1020" w:type="dxa"/>
            <w:vAlign w:val="bottom"/>
            <w:vMerge w:val="restart"/>
            <w:shd w:val="clear" w:color="auto" w:fill="EAEAEA"/>
          </w:tcPr>
          <w:p>
            <w:pPr>
              <w:jc w:val="center"/>
              <w:spacing w:after="0"/>
              <w:rPr>
                <w:sz w:val="20"/>
                <w:szCs w:val="20"/>
                <w:color w:val="auto"/>
              </w:rPr>
            </w:pPr>
            <w:r>
              <w:rPr>
                <w:rFonts w:ascii="Arial" w:cs="Arial" w:eastAsia="Arial" w:hAnsi="Arial"/>
                <w:sz w:val="13"/>
                <w:szCs w:val="13"/>
                <w:color w:val="auto"/>
                <w:w w:val="92"/>
              </w:rPr>
              <w:t xml:space="preserve">11/10/2023 </w:t>
            </w:r>
            <w:r>
              <w:rPr>
                <w:rFonts w:ascii="Arial" w:cs="Arial" w:eastAsia="Arial" w:hAnsi="Arial"/>
                <w:sz w:val="16"/>
                <w:szCs w:val="16"/>
                <w:color w:val="auto"/>
                <w:w w:val="92"/>
                <w:vertAlign w:val="superscript"/>
              </w:rPr>
              <w:t>(5)</w:t>
            </w:r>
          </w:p>
        </w:tc>
        <w:tc>
          <w:tcPr>
            <w:tcW w:w="820" w:type="dxa"/>
            <w:vAlign w:val="bottom"/>
            <w:vMerge w:val="restart"/>
            <w:shd w:val="clear" w:color="auto" w:fill="EAEAEA"/>
          </w:tcPr>
          <w:p>
            <w:pPr>
              <w:jc w:val="center"/>
              <w:spacing w:after="0"/>
              <w:rPr>
                <w:sz w:val="20"/>
                <w:szCs w:val="20"/>
                <w:color w:val="auto"/>
              </w:rPr>
            </w:pPr>
            <w:r>
              <w:rPr>
                <w:rFonts w:ascii="Arial" w:cs="Arial" w:eastAsia="Arial" w:hAnsi="Arial"/>
                <w:sz w:val="13"/>
                <w:szCs w:val="13"/>
                <w:color w:val="auto"/>
                <w:w w:val="96"/>
              </w:rPr>
              <w:t>11/1/2023</w:t>
            </w:r>
          </w:p>
        </w:tc>
        <w:tc>
          <w:tcPr>
            <w:tcW w:w="860" w:type="dxa"/>
            <w:vAlign w:val="bottom"/>
            <w:vMerge w:val="restart"/>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EAEAEA"/>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vMerge w:val="restart"/>
            <w:shd w:val="clear" w:color="auto" w:fill="EAEAEA"/>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EAEAEA"/>
          </w:tcPr>
          <w:p>
            <w:pPr>
              <w:jc w:val="right"/>
              <w:ind w:right="317"/>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EAEAEA"/>
          </w:tcPr>
          <w:p>
            <w:pPr>
              <w:jc w:val="right"/>
              <w:spacing w:after="0"/>
              <w:rPr>
                <w:sz w:val="20"/>
                <w:szCs w:val="20"/>
                <w:color w:val="auto"/>
              </w:rPr>
            </w:pPr>
            <w:r>
              <w:rPr>
                <w:rFonts w:ascii="Arial" w:cs="Arial" w:eastAsia="Arial" w:hAnsi="Arial"/>
                <w:sz w:val="13"/>
                <w:szCs w:val="13"/>
                <w:color w:val="auto"/>
              </w:rPr>
              <w:t>772</w:t>
            </w:r>
          </w:p>
        </w:tc>
        <w:tc>
          <w:tcPr>
            <w:tcW w:w="820" w:type="dxa"/>
            <w:vAlign w:val="bottom"/>
            <w:vMerge w:val="restart"/>
            <w:shd w:val="clear" w:color="auto" w:fill="EAEAEA"/>
          </w:tcPr>
          <w:p>
            <w:pPr>
              <w:jc w:val="right"/>
              <w:spacing w:after="0"/>
              <w:rPr>
                <w:sz w:val="20"/>
                <w:szCs w:val="20"/>
                <w:color w:val="auto"/>
              </w:rPr>
            </w:pPr>
            <w:r>
              <w:rPr>
                <w:rFonts w:ascii="Arial" w:cs="Arial" w:eastAsia="Arial" w:hAnsi="Arial"/>
                <w:sz w:val="13"/>
                <w:szCs w:val="13"/>
                <w:color w:val="auto"/>
              </w:rPr>
              <w:t>92,794</w:t>
            </w:r>
          </w:p>
        </w:tc>
        <w:tc>
          <w:tcPr>
            <w:tcW w:w="100" w:type="dxa"/>
            <w:vAlign w:val="bottom"/>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0" w:type="dxa"/>
            <w:vAlign w:val="bottom"/>
            <w:tcBorders>
              <w:bottom w:val="single" w:sz="8" w:color="EAEAEA"/>
            </w:tcBorders>
            <w:shd w:val="clear" w:color="auto" w:fill="EAEAEA"/>
          </w:tcPr>
          <w:p>
            <w:pPr>
              <w:spacing w:after="0"/>
              <w:rPr>
                <w:sz w:val="18"/>
                <w:szCs w:val="18"/>
                <w:color w:val="auto"/>
              </w:rPr>
            </w:pPr>
          </w:p>
        </w:tc>
        <w:tc>
          <w:tcPr>
            <w:tcW w:w="1360" w:type="dxa"/>
            <w:vAlign w:val="bottom"/>
            <w:tcBorders>
              <w:bottom w:val="single" w:sz="8" w:color="EAEAEA"/>
            </w:tcBorders>
            <w:shd w:val="clear" w:color="auto" w:fill="EAEAEA"/>
          </w:tcPr>
          <w:p>
            <w:pPr>
              <w:spacing w:after="0"/>
              <w:rPr>
                <w:sz w:val="18"/>
                <w:szCs w:val="18"/>
                <w:color w:val="auto"/>
              </w:rPr>
            </w:pPr>
          </w:p>
        </w:tc>
        <w:tc>
          <w:tcPr>
            <w:tcW w:w="1040" w:type="dxa"/>
            <w:vAlign w:val="bottom"/>
            <w:tcBorders>
              <w:bottom w:val="single" w:sz="8" w:color="EAEAEA"/>
            </w:tcBorders>
            <w:shd w:val="clear" w:color="auto" w:fill="EAEAEA"/>
          </w:tcPr>
          <w:p>
            <w:pPr>
              <w:spacing w:after="0"/>
              <w:rPr>
                <w:sz w:val="18"/>
                <w:szCs w:val="18"/>
                <w:color w:val="auto"/>
              </w:rPr>
            </w:pPr>
          </w:p>
        </w:tc>
        <w:tc>
          <w:tcPr>
            <w:tcW w:w="1020" w:type="dxa"/>
            <w:vAlign w:val="bottom"/>
            <w:tcBorders>
              <w:bottom w:val="single" w:sz="8" w:color="EAEAEA"/>
            </w:tcBorders>
            <w:vMerge w:val="continue"/>
            <w:shd w:val="clear" w:color="auto" w:fill="EAEAEA"/>
          </w:tcPr>
          <w:p>
            <w:pPr>
              <w:spacing w:after="0"/>
              <w:rPr>
                <w:sz w:val="18"/>
                <w:szCs w:val="18"/>
                <w:color w:val="auto"/>
              </w:rPr>
            </w:pPr>
          </w:p>
        </w:tc>
        <w:tc>
          <w:tcPr>
            <w:tcW w:w="820" w:type="dxa"/>
            <w:vAlign w:val="bottom"/>
            <w:tcBorders>
              <w:bottom w:val="single" w:sz="8" w:color="EAEAEA"/>
            </w:tcBorders>
            <w:vMerge w:val="continue"/>
            <w:shd w:val="clear" w:color="auto" w:fill="EAEAEA"/>
          </w:tcPr>
          <w:p>
            <w:pPr>
              <w:spacing w:after="0"/>
              <w:rPr>
                <w:sz w:val="18"/>
                <w:szCs w:val="18"/>
                <w:color w:val="auto"/>
              </w:rPr>
            </w:pPr>
          </w:p>
        </w:tc>
        <w:tc>
          <w:tcPr>
            <w:tcW w:w="860" w:type="dxa"/>
            <w:vAlign w:val="bottom"/>
            <w:tcBorders>
              <w:bottom w:val="single" w:sz="8" w:color="EAEAEA"/>
            </w:tcBorders>
            <w:vMerge w:val="continue"/>
            <w:shd w:val="clear" w:color="auto" w:fill="EAEAEA"/>
          </w:tcPr>
          <w:p>
            <w:pPr>
              <w:spacing w:after="0"/>
              <w:rPr>
                <w:sz w:val="18"/>
                <w:szCs w:val="18"/>
                <w:color w:val="auto"/>
              </w:rPr>
            </w:pPr>
          </w:p>
        </w:tc>
        <w:tc>
          <w:tcPr>
            <w:tcW w:w="920" w:type="dxa"/>
            <w:vAlign w:val="bottom"/>
            <w:tcBorders>
              <w:bottom w:val="single" w:sz="8" w:color="EAEAEA"/>
            </w:tcBorders>
            <w:vMerge w:val="continue"/>
            <w:shd w:val="clear" w:color="auto" w:fill="EAEAEA"/>
          </w:tcPr>
          <w:p>
            <w:pPr>
              <w:spacing w:after="0"/>
              <w:rPr>
                <w:sz w:val="18"/>
                <w:szCs w:val="18"/>
                <w:color w:val="auto"/>
              </w:rPr>
            </w:pPr>
          </w:p>
        </w:tc>
        <w:tc>
          <w:tcPr>
            <w:tcW w:w="800" w:type="dxa"/>
            <w:vAlign w:val="bottom"/>
            <w:tcBorders>
              <w:bottom w:val="single" w:sz="8" w:color="EAEAEA"/>
            </w:tcBorders>
            <w:vMerge w:val="continue"/>
            <w:shd w:val="clear" w:color="auto" w:fill="EAEAEA"/>
          </w:tcPr>
          <w:p>
            <w:pPr>
              <w:spacing w:after="0"/>
              <w:rPr>
                <w:sz w:val="18"/>
                <w:szCs w:val="18"/>
                <w:color w:val="auto"/>
              </w:rPr>
            </w:pPr>
          </w:p>
        </w:tc>
        <w:tc>
          <w:tcPr>
            <w:tcW w:w="1080" w:type="dxa"/>
            <w:vAlign w:val="bottom"/>
            <w:tcBorders>
              <w:bottom w:val="single" w:sz="8" w:color="EAEAEA"/>
            </w:tcBorders>
            <w:vMerge w:val="continue"/>
            <w:shd w:val="clear" w:color="auto" w:fill="EAEAEA"/>
          </w:tcPr>
          <w:p>
            <w:pPr>
              <w:spacing w:after="0"/>
              <w:rPr>
                <w:sz w:val="18"/>
                <w:szCs w:val="18"/>
                <w:color w:val="auto"/>
              </w:rPr>
            </w:pPr>
          </w:p>
        </w:tc>
        <w:tc>
          <w:tcPr>
            <w:tcW w:w="960" w:type="dxa"/>
            <w:vAlign w:val="bottom"/>
            <w:tcBorders>
              <w:bottom w:val="single" w:sz="8" w:color="EAEAEA"/>
            </w:tcBorders>
            <w:vMerge w:val="continue"/>
            <w:shd w:val="clear" w:color="auto" w:fill="EAEAEA"/>
          </w:tcPr>
          <w:p>
            <w:pPr>
              <w:spacing w:after="0"/>
              <w:rPr>
                <w:sz w:val="18"/>
                <w:szCs w:val="18"/>
                <w:color w:val="auto"/>
              </w:rPr>
            </w:pPr>
          </w:p>
        </w:tc>
        <w:tc>
          <w:tcPr>
            <w:tcW w:w="460" w:type="dxa"/>
            <w:vAlign w:val="bottom"/>
            <w:tcBorders>
              <w:bottom w:val="single" w:sz="8" w:color="EAEAEA"/>
            </w:tcBorders>
            <w:vMerge w:val="continue"/>
            <w:shd w:val="clear" w:color="auto" w:fill="EAEAEA"/>
          </w:tcPr>
          <w:p>
            <w:pPr>
              <w:spacing w:after="0"/>
              <w:rPr>
                <w:sz w:val="18"/>
                <w:szCs w:val="18"/>
                <w:color w:val="auto"/>
              </w:rPr>
            </w:pPr>
          </w:p>
        </w:tc>
        <w:tc>
          <w:tcPr>
            <w:tcW w:w="920" w:type="dxa"/>
            <w:vAlign w:val="bottom"/>
            <w:tcBorders>
              <w:bottom w:val="single" w:sz="8" w:color="EAEAEA"/>
            </w:tcBorders>
            <w:vMerge w:val="continue"/>
            <w:shd w:val="clear" w:color="auto" w:fill="EAEAEA"/>
          </w:tcPr>
          <w:p>
            <w:pPr>
              <w:spacing w:after="0"/>
              <w:rPr>
                <w:sz w:val="18"/>
                <w:szCs w:val="18"/>
                <w:color w:val="auto"/>
              </w:rPr>
            </w:pPr>
          </w:p>
        </w:tc>
        <w:tc>
          <w:tcPr>
            <w:tcW w:w="820" w:type="dxa"/>
            <w:vAlign w:val="bottom"/>
            <w:tcBorders>
              <w:bottom w:val="single" w:sz="8" w:color="EAEAEA"/>
            </w:tcBorders>
            <w:vMerge w:val="continue"/>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6"/>
              </w:rPr>
              <w:t>Annual Cash</w:t>
            </w:r>
          </w:p>
        </w:tc>
        <w:tc>
          <w:tcPr>
            <w:tcW w:w="10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182,191</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546,573</w:t>
            </w:r>
          </w:p>
        </w:tc>
        <w:tc>
          <w:tcPr>
            <w:tcW w:w="10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3"/>
                <w:szCs w:val="13"/>
                <w:b w:val="1"/>
                <w:bCs w:val="1"/>
                <w:color w:val="auto"/>
              </w:rPr>
              <w:t>Patricia Carr</w:t>
            </w:r>
          </w:p>
        </w:tc>
        <w:tc>
          <w:tcPr>
            <w:tcW w:w="1040" w:type="dxa"/>
            <w:vAlign w:val="bottom"/>
          </w:tcPr>
          <w:p>
            <w:pPr>
              <w:jc w:val="center"/>
              <w:spacing w:after="0"/>
              <w:rPr>
                <w:sz w:val="20"/>
                <w:szCs w:val="20"/>
                <w:color w:val="auto"/>
              </w:rPr>
            </w:pPr>
            <w:r>
              <w:rPr>
                <w:rFonts w:ascii="Arial" w:cs="Arial" w:eastAsia="Arial" w:hAnsi="Arial"/>
                <w:sz w:val="13"/>
                <w:szCs w:val="13"/>
                <w:color w:val="auto"/>
                <w:w w:val="97"/>
              </w:rPr>
              <w:t>PSU</w:t>
            </w:r>
          </w:p>
        </w:tc>
        <w:tc>
          <w:tcPr>
            <w:tcW w:w="1020" w:type="dxa"/>
            <w:vAlign w:val="bottom"/>
          </w:tcPr>
          <w:p>
            <w:pPr>
              <w:jc w:val="center"/>
              <w:spacing w:after="0"/>
              <w:rPr>
                <w:sz w:val="20"/>
                <w:szCs w:val="20"/>
                <w:color w:val="auto"/>
              </w:rPr>
            </w:pPr>
            <w:r>
              <w:rPr>
                <w:rFonts w:ascii="Arial" w:cs="Arial" w:eastAsia="Arial" w:hAnsi="Arial"/>
                <w:sz w:val="13"/>
                <w:szCs w:val="13"/>
                <w:color w:val="auto"/>
                <w:w w:val="94"/>
              </w:rPr>
              <w:t>3/3/2023</w:t>
            </w:r>
          </w:p>
        </w:tc>
        <w:tc>
          <w:tcPr>
            <w:tcW w:w="820" w:type="dxa"/>
            <w:vAlign w:val="bottom"/>
          </w:tcPr>
          <w:p>
            <w:pPr>
              <w:jc w:val="center"/>
              <w:spacing w:after="0"/>
              <w:rPr>
                <w:sz w:val="20"/>
                <w:szCs w:val="20"/>
                <w:color w:val="auto"/>
              </w:rPr>
            </w:pPr>
            <w:r>
              <w:rPr>
                <w:rFonts w:ascii="Arial" w:cs="Arial" w:eastAsia="Arial" w:hAnsi="Arial"/>
                <w:sz w:val="13"/>
                <w:szCs w:val="13"/>
                <w:color w:val="auto"/>
                <w:w w:val="96"/>
              </w:rPr>
              <w:t>2/15/2023</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57"/>
              <w:spacing w:after="0"/>
              <w:rPr>
                <w:sz w:val="20"/>
                <w:szCs w:val="20"/>
                <w:color w:val="auto"/>
              </w:rPr>
            </w:pPr>
            <w:r>
              <w:rPr>
                <w:rFonts w:ascii="Arial" w:cs="Arial" w:eastAsia="Arial" w:hAnsi="Arial"/>
                <w:sz w:val="13"/>
                <w:szCs w:val="13"/>
                <w:color w:val="auto"/>
              </w:rPr>
              <w:t>946</w:t>
            </w:r>
          </w:p>
        </w:tc>
        <w:tc>
          <w:tcPr>
            <w:tcW w:w="960" w:type="dxa"/>
            <w:vAlign w:val="bottom"/>
          </w:tcPr>
          <w:p>
            <w:pPr>
              <w:jc w:val="right"/>
              <w:ind w:right="317"/>
              <w:spacing w:after="0"/>
              <w:rPr>
                <w:sz w:val="20"/>
                <w:szCs w:val="20"/>
                <w:color w:val="auto"/>
              </w:rPr>
            </w:pPr>
            <w:r>
              <w:rPr>
                <w:rFonts w:ascii="Arial" w:cs="Arial" w:eastAsia="Arial" w:hAnsi="Arial"/>
                <w:sz w:val="13"/>
                <w:szCs w:val="13"/>
                <w:color w:val="auto"/>
              </w:rPr>
              <w:t>2,523</w:t>
            </w:r>
          </w:p>
        </w:tc>
        <w:tc>
          <w:tcPr>
            <w:tcW w:w="460" w:type="dxa"/>
            <w:vAlign w:val="bottom"/>
          </w:tcPr>
          <w:p>
            <w:pPr>
              <w:jc w:val="right"/>
              <w:spacing w:after="0"/>
              <w:rPr>
                <w:sz w:val="20"/>
                <w:szCs w:val="20"/>
                <w:color w:val="auto"/>
              </w:rPr>
            </w:pPr>
            <w:r>
              <w:rPr>
                <w:rFonts w:ascii="Arial" w:cs="Arial" w:eastAsia="Arial" w:hAnsi="Arial"/>
                <w:sz w:val="13"/>
                <w:szCs w:val="13"/>
                <w:color w:val="auto"/>
              </w:rPr>
              <w:t>5,046</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398,962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rPr>
              <w:t>RSU</w:t>
            </w:r>
          </w:p>
        </w:tc>
        <w:tc>
          <w:tcPr>
            <w:tcW w:w="1020" w:type="dxa"/>
            <w:vAlign w:val="bottom"/>
          </w:tcPr>
          <w:p>
            <w:pPr>
              <w:jc w:val="center"/>
              <w:spacing w:after="0"/>
              <w:rPr>
                <w:sz w:val="20"/>
                <w:szCs w:val="20"/>
                <w:color w:val="auto"/>
              </w:rPr>
            </w:pPr>
            <w:r>
              <w:rPr>
                <w:rFonts w:ascii="Arial" w:cs="Arial" w:eastAsia="Arial" w:hAnsi="Arial"/>
                <w:sz w:val="13"/>
                <w:szCs w:val="13"/>
                <w:color w:val="auto"/>
                <w:w w:val="94"/>
              </w:rPr>
              <w:t>3/3/2023</w:t>
            </w:r>
          </w:p>
        </w:tc>
        <w:tc>
          <w:tcPr>
            <w:tcW w:w="820" w:type="dxa"/>
            <w:vAlign w:val="bottom"/>
          </w:tcPr>
          <w:p>
            <w:pPr>
              <w:jc w:val="center"/>
              <w:spacing w:after="0"/>
              <w:rPr>
                <w:sz w:val="20"/>
                <w:szCs w:val="20"/>
                <w:color w:val="auto"/>
              </w:rPr>
            </w:pPr>
            <w:r>
              <w:rPr>
                <w:rFonts w:ascii="Arial" w:cs="Arial" w:eastAsia="Arial" w:hAnsi="Arial"/>
                <w:sz w:val="13"/>
                <w:szCs w:val="13"/>
                <w:color w:val="auto"/>
                <w:w w:val="96"/>
              </w:rPr>
              <w:t>2/15/2023</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2,523</w:t>
            </w:r>
          </w:p>
        </w:tc>
        <w:tc>
          <w:tcPr>
            <w:tcW w:w="820" w:type="dxa"/>
            <w:vAlign w:val="bottom"/>
          </w:tcPr>
          <w:p>
            <w:pPr>
              <w:jc w:val="right"/>
              <w:spacing w:after="0"/>
              <w:rPr>
                <w:sz w:val="20"/>
                <w:szCs w:val="20"/>
                <w:color w:val="auto"/>
              </w:rPr>
            </w:pPr>
            <w:r>
              <w:rPr>
                <w:rFonts w:ascii="Arial" w:cs="Arial" w:eastAsia="Arial" w:hAnsi="Arial"/>
                <w:sz w:val="13"/>
                <w:szCs w:val="13"/>
                <w:color w:val="auto"/>
              </w:rPr>
              <w:t>368,661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9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80" w:type="dxa"/>
            <w:vAlign w:val="bottom"/>
            <w:shd w:val="clear" w:color="auto" w:fill="EAEAEA"/>
          </w:tcPr>
          <w:p>
            <w:pPr>
              <w:spacing w:after="0"/>
              <w:rPr>
                <w:sz w:val="19"/>
                <w:szCs w:val="19"/>
                <w:color w:val="auto"/>
              </w:rPr>
            </w:pPr>
          </w:p>
        </w:tc>
        <w:tc>
          <w:tcPr>
            <w:tcW w:w="1360" w:type="dxa"/>
            <w:vAlign w:val="bottom"/>
            <w:shd w:val="clear" w:color="auto" w:fill="EAEAEA"/>
          </w:tcPr>
          <w:p>
            <w:pPr>
              <w:spacing w:after="0"/>
              <w:rPr>
                <w:sz w:val="19"/>
                <w:szCs w:val="19"/>
                <w:color w:val="auto"/>
              </w:rPr>
            </w:pPr>
          </w:p>
        </w:tc>
        <w:tc>
          <w:tcPr>
            <w:tcW w:w="1040" w:type="dxa"/>
            <w:vAlign w:val="bottom"/>
            <w:shd w:val="clear" w:color="auto" w:fill="EAEAEA"/>
          </w:tcPr>
          <w:p>
            <w:pPr>
              <w:jc w:val="center"/>
              <w:spacing w:after="0"/>
              <w:rPr>
                <w:sz w:val="20"/>
                <w:szCs w:val="20"/>
                <w:color w:val="auto"/>
              </w:rPr>
            </w:pPr>
            <w:r>
              <w:rPr>
                <w:rFonts w:ascii="Arial" w:cs="Arial" w:eastAsia="Arial" w:hAnsi="Arial"/>
                <w:sz w:val="13"/>
                <w:szCs w:val="13"/>
                <w:color w:val="auto"/>
                <w:w w:val="96"/>
              </w:rPr>
              <w:t>Annual Cash</w:t>
            </w:r>
          </w:p>
        </w:tc>
        <w:tc>
          <w:tcPr>
            <w:tcW w:w="1020" w:type="dxa"/>
            <w:vAlign w:val="bottom"/>
            <w:shd w:val="clear" w:color="auto" w:fill="EAEAEA"/>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shd w:val="clear" w:color="auto" w:fill="EAEAEA"/>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423,000</w:t>
            </w:r>
          </w:p>
        </w:tc>
        <w:tc>
          <w:tcPr>
            <w:tcW w:w="80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1,269,000</w:t>
            </w:r>
          </w:p>
        </w:tc>
        <w:tc>
          <w:tcPr>
            <w:tcW w:w="1080" w:type="dxa"/>
            <w:vAlign w:val="bottom"/>
            <w:shd w:val="clear" w:color="auto" w:fill="EAEAEA"/>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shd w:val="clear" w:color="auto" w:fill="EAEAEA"/>
          </w:tcPr>
          <w:p>
            <w:pPr>
              <w:jc w:val="right"/>
              <w:ind w:right="317"/>
              <w:spacing w:after="0"/>
              <w:rPr>
                <w:sz w:val="20"/>
                <w:szCs w:val="20"/>
                <w:color w:val="auto"/>
              </w:rPr>
            </w:pPr>
            <w:r>
              <w:rPr>
                <w:rFonts w:ascii="Arial" w:cs="Arial" w:eastAsia="Arial" w:hAnsi="Arial"/>
                <w:sz w:val="13"/>
                <w:szCs w:val="13"/>
                <w:color w:val="auto"/>
              </w:rPr>
              <w:t>—</w:t>
            </w:r>
          </w:p>
        </w:tc>
        <w:tc>
          <w:tcPr>
            <w:tcW w:w="4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EAEAEA"/>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2"/>
        </w:trPr>
        <w:tc>
          <w:tcPr>
            <w:tcW w:w="80" w:type="dxa"/>
            <w:vAlign w:val="bottom"/>
            <w:tcBorders>
              <w:bottom w:val="single" w:sz="8" w:color="EAEAEA"/>
            </w:tcBorders>
            <w:shd w:val="clear" w:color="auto" w:fill="EAEAEA"/>
          </w:tcPr>
          <w:p>
            <w:pPr>
              <w:spacing w:after="0"/>
              <w:rPr>
                <w:sz w:val="7"/>
                <w:szCs w:val="7"/>
                <w:color w:val="auto"/>
              </w:rPr>
            </w:pPr>
          </w:p>
        </w:tc>
        <w:tc>
          <w:tcPr>
            <w:tcW w:w="1360" w:type="dxa"/>
            <w:vAlign w:val="bottom"/>
            <w:tcBorders>
              <w:bottom w:val="single" w:sz="8" w:color="EAEAEA"/>
            </w:tcBorders>
            <w:vMerge w:val="restart"/>
            <w:shd w:val="clear" w:color="auto" w:fill="EAEAEA"/>
          </w:tcPr>
          <w:p>
            <w:pPr>
              <w:ind w:left="20"/>
              <w:spacing w:after="0"/>
              <w:rPr>
                <w:sz w:val="20"/>
                <w:szCs w:val="20"/>
                <w:color w:val="auto"/>
              </w:rPr>
            </w:pPr>
            <w:r>
              <w:rPr>
                <w:rFonts w:ascii="Arial" w:cs="Arial" w:eastAsia="Arial" w:hAnsi="Arial"/>
                <w:sz w:val="13"/>
                <w:szCs w:val="13"/>
                <w:b w:val="1"/>
                <w:bCs w:val="1"/>
                <w:color w:val="auto"/>
                <w:w w:val="98"/>
              </w:rPr>
              <w:t>Robert Iannone, M.D.,</w:t>
            </w:r>
          </w:p>
        </w:tc>
        <w:tc>
          <w:tcPr>
            <w:tcW w:w="1040" w:type="dxa"/>
            <w:vAlign w:val="bottom"/>
            <w:tcBorders>
              <w:bottom w:val="single" w:sz="8" w:color="auto"/>
            </w:tcBorders>
            <w:shd w:val="clear" w:color="auto" w:fill="EAEAEA"/>
          </w:tcPr>
          <w:p>
            <w:pPr>
              <w:spacing w:after="0"/>
              <w:rPr>
                <w:sz w:val="7"/>
                <w:szCs w:val="7"/>
                <w:color w:val="auto"/>
              </w:rPr>
            </w:pPr>
          </w:p>
        </w:tc>
        <w:tc>
          <w:tcPr>
            <w:tcW w:w="1020" w:type="dxa"/>
            <w:vAlign w:val="bottom"/>
            <w:tcBorders>
              <w:bottom w:val="single" w:sz="8" w:color="auto"/>
            </w:tcBorders>
            <w:shd w:val="clear" w:color="auto" w:fill="EAEAEA"/>
          </w:tcPr>
          <w:p>
            <w:pPr>
              <w:spacing w:after="0"/>
              <w:rPr>
                <w:sz w:val="7"/>
                <w:szCs w:val="7"/>
                <w:color w:val="auto"/>
              </w:rPr>
            </w:pPr>
          </w:p>
        </w:tc>
        <w:tc>
          <w:tcPr>
            <w:tcW w:w="820" w:type="dxa"/>
            <w:vAlign w:val="bottom"/>
            <w:tcBorders>
              <w:bottom w:val="single" w:sz="8" w:color="auto"/>
            </w:tcBorders>
            <w:shd w:val="clear" w:color="auto" w:fill="EAEAEA"/>
          </w:tcPr>
          <w:p>
            <w:pPr>
              <w:spacing w:after="0"/>
              <w:rPr>
                <w:sz w:val="7"/>
                <w:szCs w:val="7"/>
                <w:color w:val="auto"/>
              </w:rPr>
            </w:pPr>
          </w:p>
        </w:tc>
        <w:tc>
          <w:tcPr>
            <w:tcW w:w="860" w:type="dxa"/>
            <w:vAlign w:val="bottom"/>
            <w:tcBorders>
              <w:bottom w:val="single" w:sz="8" w:color="auto"/>
            </w:tcBorders>
            <w:shd w:val="clear" w:color="auto" w:fill="EAEAEA"/>
          </w:tcPr>
          <w:p>
            <w:pPr>
              <w:spacing w:after="0"/>
              <w:rPr>
                <w:sz w:val="7"/>
                <w:szCs w:val="7"/>
                <w:color w:val="auto"/>
              </w:rPr>
            </w:pPr>
          </w:p>
        </w:tc>
        <w:tc>
          <w:tcPr>
            <w:tcW w:w="920" w:type="dxa"/>
            <w:vAlign w:val="bottom"/>
            <w:tcBorders>
              <w:bottom w:val="single" w:sz="8" w:color="auto"/>
            </w:tcBorders>
            <w:shd w:val="clear" w:color="auto" w:fill="EAEAEA"/>
          </w:tcPr>
          <w:p>
            <w:pPr>
              <w:spacing w:after="0"/>
              <w:rPr>
                <w:sz w:val="7"/>
                <w:szCs w:val="7"/>
                <w:color w:val="auto"/>
              </w:rPr>
            </w:pPr>
          </w:p>
        </w:tc>
        <w:tc>
          <w:tcPr>
            <w:tcW w:w="800" w:type="dxa"/>
            <w:vAlign w:val="bottom"/>
            <w:tcBorders>
              <w:bottom w:val="single" w:sz="8" w:color="auto"/>
            </w:tcBorders>
            <w:shd w:val="clear" w:color="auto" w:fill="EAEAEA"/>
          </w:tcPr>
          <w:p>
            <w:pPr>
              <w:spacing w:after="0"/>
              <w:rPr>
                <w:sz w:val="7"/>
                <w:szCs w:val="7"/>
                <w:color w:val="auto"/>
              </w:rPr>
            </w:pPr>
          </w:p>
        </w:tc>
        <w:tc>
          <w:tcPr>
            <w:tcW w:w="1080" w:type="dxa"/>
            <w:vAlign w:val="bottom"/>
            <w:tcBorders>
              <w:bottom w:val="single" w:sz="8" w:color="auto"/>
            </w:tcBorders>
            <w:shd w:val="clear" w:color="auto" w:fill="EAEAEA"/>
          </w:tcPr>
          <w:p>
            <w:pPr>
              <w:spacing w:after="0"/>
              <w:rPr>
                <w:sz w:val="7"/>
                <w:szCs w:val="7"/>
                <w:color w:val="auto"/>
              </w:rPr>
            </w:pPr>
          </w:p>
        </w:tc>
        <w:tc>
          <w:tcPr>
            <w:tcW w:w="960" w:type="dxa"/>
            <w:vAlign w:val="bottom"/>
            <w:tcBorders>
              <w:bottom w:val="single" w:sz="8" w:color="auto"/>
            </w:tcBorders>
            <w:shd w:val="clear" w:color="auto" w:fill="EAEAEA"/>
          </w:tcPr>
          <w:p>
            <w:pPr>
              <w:spacing w:after="0"/>
              <w:rPr>
                <w:sz w:val="7"/>
                <w:szCs w:val="7"/>
                <w:color w:val="auto"/>
              </w:rPr>
            </w:pPr>
          </w:p>
        </w:tc>
        <w:tc>
          <w:tcPr>
            <w:tcW w:w="460" w:type="dxa"/>
            <w:vAlign w:val="bottom"/>
            <w:tcBorders>
              <w:bottom w:val="single" w:sz="8" w:color="auto"/>
            </w:tcBorders>
            <w:shd w:val="clear" w:color="auto" w:fill="EAEAEA"/>
          </w:tcPr>
          <w:p>
            <w:pPr>
              <w:spacing w:after="0"/>
              <w:rPr>
                <w:sz w:val="7"/>
                <w:szCs w:val="7"/>
                <w:color w:val="auto"/>
              </w:rPr>
            </w:pPr>
          </w:p>
        </w:tc>
        <w:tc>
          <w:tcPr>
            <w:tcW w:w="920" w:type="dxa"/>
            <w:vAlign w:val="bottom"/>
            <w:tcBorders>
              <w:bottom w:val="single" w:sz="8" w:color="auto"/>
            </w:tcBorders>
            <w:shd w:val="clear" w:color="auto" w:fill="EAEAEA"/>
          </w:tcPr>
          <w:p>
            <w:pPr>
              <w:spacing w:after="0"/>
              <w:rPr>
                <w:sz w:val="7"/>
                <w:szCs w:val="7"/>
                <w:color w:val="auto"/>
              </w:rPr>
            </w:pPr>
          </w:p>
        </w:tc>
        <w:tc>
          <w:tcPr>
            <w:tcW w:w="820" w:type="dxa"/>
            <w:vAlign w:val="bottom"/>
            <w:tcBorders>
              <w:bottom w:val="single" w:sz="8" w:color="auto"/>
            </w:tcBorders>
            <w:shd w:val="clear" w:color="auto" w:fill="EAEAEA"/>
          </w:tcPr>
          <w:p>
            <w:pPr>
              <w:spacing w:after="0"/>
              <w:rPr>
                <w:sz w:val="7"/>
                <w:szCs w:val="7"/>
                <w:color w:val="auto"/>
              </w:rPr>
            </w:pPr>
          </w:p>
        </w:tc>
        <w:tc>
          <w:tcPr>
            <w:tcW w:w="100" w:type="dxa"/>
            <w:vAlign w:val="bottom"/>
            <w:tcBorders>
              <w:bottom w:val="single" w:sz="8" w:color="auto"/>
            </w:tcBorders>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80" w:type="dxa"/>
            <w:vAlign w:val="bottom"/>
            <w:shd w:val="clear" w:color="auto" w:fill="EAEAEA"/>
          </w:tcPr>
          <w:p>
            <w:pPr>
              <w:spacing w:after="0"/>
              <w:rPr>
                <w:sz w:val="9"/>
                <w:szCs w:val="9"/>
                <w:color w:val="auto"/>
              </w:rPr>
            </w:pPr>
          </w:p>
        </w:tc>
        <w:tc>
          <w:tcPr>
            <w:tcW w:w="1360" w:type="dxa"/>
            <w:vAlign w:val="bottom"/>
            <w:vMerge w:val="continue"/>
            <w:shd w:val="clear" w:color="auto" w:fill="EAEAEA"/>
          </w:tcPr>
          <w:p>
            <w:pPr>
              <w:spacing w:after="0"/>
              <w:rPr>
                <w:sz w:val="9"/>
                <w:szCs w:val="9"/>
                <w:color w:val="auto"/>
              </w:rPr>
            </w:pPr>
          </w:p>
        </w:tc>
        <w:tc>
          <w:tcPr>
            <w:tcW w:w="1040" w:type="dxa"/>
            <w:vAlign w:val="bottom"/>
            <w:vMerge w:val="restart"/>
            <w:shd w:val="clear" w:color="auto" w:fill="EAEAEA"/>
          </w:tcPr>
          <w:p>
            <w:pPr>
              <w:jc w:val="center"/>
              <w:spacing w:after="0"/>
              <w:rPr>
                <w:sz w:val="20"/>
                <w:szCs w:val="20"/>
                <w:color w:val="auto"/>
              </w:rPr>
            </w:pPr>
            <w:r>
              <w:rPr>
                <w:rFonts w:ascii="Arial" w:cs="Arial" w:eastAsia="Arial" w:hAnsi="Arial"/>
                <w:sz w:val="13"/>
                <w:szCs w:val="13"/>
                <w:color w:val="auto"/>
                <w:w w:val="97"/>
              </w:rPr>
              <w:t>PSU</w:t>
            </w:r>
          </w:p>
        </w:tc>
        <w:tc>
          <w:tcPr>
            <w:tcW w:w="1020" w:type="dxa"/>
            <w:vAlign w:val="bottom"/>
            <w:vMerge w:val="restart"/>
            <w:shd w:val="clear" w:color="auto" w:fill="EAEAEA"/>
          </w:tcPr>
          <w:p>
            <w:pPr>
              <w:jc w:val="center"/>
              <w:spacing w:after="0"/>
              <w:rPr>
                <w:sz w:val="20"/>
                <w:szCs w:val="20"/>
                <w:color w:val="auto"/>
              </w:rPr>
            </w:pPr>
            <w:r>
              <w:rPr>
                <w:rFonts w:ascii="Arial" w:cs="Arial" w:eastAsia="Arial" w:hAnsi="Arial"/>
                <w:sz w:val="13"/>
                <w:szCs w:val="13"/>
                <w:color w:val="auto"/>
                <w:w w:val="94"/>
              </w:rPr>
              <w:t>3/3/2023</w:t>
            </w:r>
          </w:p>
        </w:tc>
        <w:tc>
          <w:tcPr>
            <w:tcW w:w="820" w:type="dxa"/>
            <w:vAlign w:val="bottom"/>
            <w:vMerge w:val="restart"/>
            <w:shd w:val="clear" w:color="auto" w:fill="EAEAEA"/>
          </w:tcPr>
          <w:p>
            <w:pPr>
              <w:jc w:val="center"/>
              <w:spacing w:after="0"/>
              <w:rPr>
                <w:sz w:val="20"/>
                <w:szCs w:val="20"/>
                <w:color w:val="auto"/>
              </w:rPr>
            </w:pPr>
            <w:r>
              <w:rPr>
                <w:rFonts w:ascii="Arial" w:cs="Arial" w:eastAsia="Arial" w:hAnsi="Arial"/>
                <w:sz w:val="13"/>
                <w:szCs w:val="13"/>
                <w:color w:val="auto"/>
                <w:w w:val="96"/>
              </w:rPr>
              <w:t>2/15/2022</w:t>
            </w:r>
          </w:p>
        </w:tc>
        <w:tc>
          <w:tcPr>
            <w:tcW w:w="860" w:type="dxa"/>
            <w:vAlign w:val="bottom"/>
            <w:vMerge w:val="restart"/>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EAEAEA"/>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vMerge w:val="restart"/>
            <w:shd w:val="clear" w:color="auto" w:fill="EAEAEA"/>
          </w:tcPr>
          <w:p>
            <w:pPr>
              <w:jc w:val="right"/>
              <w:ind w:right="157"/>
              <w:spacing w:after="0"/>
              <w:rPr>
                <w:sz w:val="20"/>
                <w:szCs w:val="20"/>
                <w:color w:val="auto"/>
              </w:rPr>
            </w:pPr>
            <w:r>
              <w:rPr>
                <w:rFonts w:ascii="Arial" w:cs="Arial" w:eastAsia="Arial" w:hAnsi="Arial"/>
                <w:sz w:val="13"/>
                <w:szCs w:val="13"/>
                <w:color w:val="auto"/>
              </w:rPr>
              <w:t>4,668</w:t>
            </w:r>
          </w:p>
        </w:tc>
        <w:tc>
          <w:tcPr>
            <w:tcW w:w="960" w:type="dxa"/>
            <w:vAlign w:val="bottom"/>
            <w:vMerge w:val="restart"/>
            <w:shd w:val="clear" w:color="auto" w:fill="EAEAEA"/>
          </w:tcPr>
          <w:p>
            <w:pPr>
              <w:jc w:val="right"/>
              <w:ind w:right="317"/>
              <w:spacing w:after="0"/>
              <w:rPr>
                <w:sz w:val="20"/>
                <w:szCs w:val="20"/>
                <w:color w:val="auto"/>
              </w:rPr>
            </w:pPr>
            <w:r>
              <w:rPr>
                <w:rFonts w:ascii="Arial" w:cs="Arial" w:eastAsia="Arial" w:hAnsi="Arial"/>
                <w:sz w:val="13"/>
                <w:szCs w:val="13"/>
                <w:color w:val="auto"/>
              </w:rPr>
              <w:t>12,447</w:t>
            </w:r>
          </w:p>
        </w:tc>
        <w:tc>
          <w:tcPr>
            <w:tcW w:w="460" w:type="dxa"/>
            <w:vAlign w:val="bottom"/>
            <w:vMerge w:val="restart"/>
            <w:shd w:val="clear" w:color="auto" w:fill="EAEAEA"/>
          </w:tcPr>
          <w:p>
            <w:pPr>
              <w:jc w:val="right"/>
              <w:spacing w:after="0"/>
              <w:rPr>
                <w:sz w:val="20"/>
                <w:szCs w:val="20"/>
                <w:color w:val="auto"/>
              </w:rPr>
            </w:pPr>
            <w:r>
              <w:rPr>
                <w:rFonts w:ascii="Arial" w:cs="Arial" w:eastAsia="Arial" w:hAnsi="Arial"/>
                <w:sz w:val="13"/>
                <w:szCs w:val="13"/>
                <w:color w:val="auto"/>
              </w:rPr>
              <w:t>24,894</w:t>
            </w:r>
          </w:p>
        </w:tc>
        <w:tc>
          <w:tcPr>
            <w:tcW w:w="920" w:type="dxa"/>
            <w:vAlign w:val="bottom"/>
            <w:shd w:val="clear" w:color="auto" w:fill="EAEAEA"/>
          </w:tcPr>
          <w:p>
            <w:pPr>
              <w:spacing w:after="0"/>
              <w:rPr>
                <w:sz w:val="9"/>
                <w:szCs w:val="9"/>
                <w:color w:val="auto"/>
              </w:rPr>
            </w:pPr>
          </w:p>
        </w:tc>
        <w:tc>
          <w:tcPr>
            <w:tcW w:w="820" w:type="dxa"/>
            <w:vAlign w:val="bottom"/>
            <w:vMerge w:val="restart"/>
            <w:shd w:val="clear" w:color="auto" w:fill="EAEAEA"/>
          </w:tcPr>
          <w:p>
            <w:pPr>
              <w:jc w:val="right"/>
              <w:spacing w:after="0"/>
              <w:rPr>
                <w:sz w:val="20"/>
                <w:szCs w:val="20"/>
                <w:color w:val="auto"/>
              </w:rPr>
            </w:pPr>
            <w:r>
              <w:rPr>
                <w:rFonts w:ascii="Arial" w:cs="Arial" w:eastAsia="Arial" w:hAnsi="Arial"/>
                <w:sz w:val="13"/>
                <w:szCs w:val="13"/>
                <w:color w:val="auto"/>
              </w:rPr>
              <w:t>1,968,244</w:t>
            </w:r>
          </w:p>
        </w:tc>
        <w:tc>
          <w:tcPr>
            <w:tcW w:w="100" w:type="dxa"/>
            <w:vAlign w:val="bottom"/>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80" w:type="dxa"/>
            <w:vAlign w:val="bottom"/>
            <w:shd w:val="clear" w:color="auto" w:fill="EAEAEA"/>
          </w:tcPr>
          <w:p>
            <w:pPr>
              <w:spacing w:after="0"/>
              <w:rPr>
                <w:sz w:val="8"/>
                <w:szCs w:val="8"/>
                <w:color w:val="auto"/>
              </w:rPr>
            </w:pPr>
          </w:p>
        </w:tc>
        <w:tc>
          <w:tcPr>
            <w:tcW w:w="1360" w:type="dxa"/>
            <w:vAlign w:val="bottom"/>
            <w:vMerge w:val="restart"/>
            <w:shd w:val="clear" w:color="auto" w:fill="EAEAEA"/>
          </w:tcPr>
          <w:p>
            <w:pPr>
              <w:ind w:left="20"/>
              <w:spacing w:after="0"/>
              <w:rPr>
                <w:sz w:val="20"/>
                <w:szCs w:val="20"/>
                <w:color w:val="auto"/>
              </w:rPr>
            </w:pPr>
            <w:r>
              <w:rPr>
                <w:rFonts w:ascii="Arial" w:cs="Arial" w:eastAsia="Arial" w:hAnsi="Arial"/>
                <w:sz w:val="13"/>
                <w:szCs w:val="13"/>
                <w:b w:val="1"/>
                <w:bCs w:val="1"/>
                <w:color w:val="auto"/>
              </w:rPr>
              <w:t>M.S.C.E</w:t>
            </w:r>
          </w:p>
        </w:tc>
        <w:tc>
          <w:tcPr>
            <w:tcW w:w="1040" w:type="dxa"/>
            <w:vAlign w:val="bottom"/>
            <w:vMerge w:val="continue"/>
            <w:shd w:val="clear" w:color="auto" w:fill="EAEAEA"/>
          </w:tcPr>
          <w:p>
            <w:pPr>
              <w:spacing w:after="0"/>
              <w:rPr>
                <w:sz w:val="8"/>
                <w:szCs w:val="8"/>
                <w:color w:val="auto"/>
              </w:rPr>
            </w:pPr>
          </w:p>
        </w:tc>
        <w:tc>
          <w:tcPr>
            <w:tcW w:w="1020" w:type="dxa"/>
            <w:vAlign w:val="bottom"/>
            <w:vMerge w:val="continue"/>
            <w:shd w:val="clear" w:color="auto" w:fill="EAEAEA"/>
          </w:tcPr>
          <w:p>
            <w:pPr>
              <w:spacing w:after="0"/>
              <w:rPr>
                <w:sz w:val="8"/>
                <w:szCs w:val="8"/>
                <w:color w:val="auto"/>
              </w:rPr>
            </w:pPr>
          </w:p>
        </w:tc>
        <w:tc>
          <w:tcPr>
            <w:tcW w:w="820" w:type="dxa"/>
            <w:vAlign w:val="bottom"/>
            <w:vMerge w:val="continue"/>
            <w:shd w:val="clear" w:color="auto" w:fill="EAEAEA"/>
          </w:tcPr>
          <w:p>
            <w:pPr>
              <w:spacing w:after="0"/>
              <w:rPr>
                <w:sz w:val="8"/>
                <w:szCs w:val="8"/>
                <w:color w:val="auto"/>
              </w:rPr>
            </w:pPr>
          </w:p>
        </w:tc>
        <w:tc>
          <w:tcPr>
            <w:tcW w:w="860" w:type="dxa"/>
            <w:vAlign w:val="bottom"/>
            <w:vMerge w:val="continue"/>
            <w:shd w:val="clear" w:color="auto" w:fill="EAEAEA"/>
          </w:tcPr>
          <w:p>
            <w:pPr>
              <w:spacing w:after="0"/>
              <w:rPr>
                <w:sz w:val="8"/>
                <w:szCs w:val="8"/>
                <w:color w:val="auto"/>
              </w:rPr>
            </w:pPr>
          </w:p>
        </w:tc>
        <w:tc>
          <w:tcPr>
            <w:tcW w:w="920" w:type="dxa"/>
            <w:vAlign w:val="bottom"/>
            <w:vMerge w:val="continue"/>
            <w:shd w:val="clear" w:color="auto" w:fill="EAEAEA"/>
          </w:tcPr>
          <w:p>
            <w:pPr>
              <w:spacing w:after="0"/>
              <w:rPr>
                <w:sz w:val="8"/>
                <w:szCs w:val="8"/>
                <w:color w:val="auto"/>
              </w:rPr>
            </w:pPr>
          </w:p>
        </w:tc>
        <w:tc>
          <w:tcPr>
            <w:tcW w:w="800" w:type="dxa"/>
            <w:vAlign w:val="bottom"/>
            <w:vMerge w:val="continue"/>
            <w:shd w:val="clear" w:color="auto" w:fill="EAEAEA"/>
          </w:tcPr>
          <w:p>
            <w:pPr>
              <w:spacing w:after="0"/>
              <w:rPr>
                <w:sz w:val="8"/>
                <w:szCs w:val="8"/>
                <w:color w:val="auto"/>
              </w:rPr>
            </w:pPr>
          </w:p>
        </w:tc>
        <w:tc>
          <w:tcPr>
            <w:tcW w:w="1080" w:type="dxa"/>
            <w:vAlign w:val="bottom"/>
            <w:vMerge w:val="continue"/>
            <w:shd w:val="clear" w:color="auto" w:fill="EAEAEA"/>
          </w:tcPr>
          <w:p>
            <w:pPr>
              <w:spacing w:after="0"/>
              <w:rPr>
                <w:sz w:val="8"/>
                <w:szCs w:val="8"/>
                <w:color w:val="auto"/>
              </w:rPr>
            </w:pPr>
          </w:p>
        </w:tc>
        <w:tc>
          <w:tcPr>
            <w:tcW w:w="960" w:type="dxa"/>
            <w:vAlign w:val="bottom"/>
            <w:vMerge w:val="continue"/>
            <w:shd w:val="clear" w:color="auto" w:fill="EAEAEA"/>
          </w:tcPr>
          <w:p>
            <w:pPr>
              <w:spacing w:after="0"/>
              <w:rPr>
                <w:sz w:val="8"/>
                <w:szCs w:val="8"/>
                <w:color w:val="auto"/>
              </w:rPr>
            </w:pPr>
          </w:p>
        </w:tc>
        <w:tc>
          <w:tcPr>
            <w:tcW w:w="460" w:type="dxa"/>
            <w:vAlign w:val="bottom"/>
            <w:vMerge w:val="continue"/>
            <w:shd w:val="clear" w:color="auto" w:fill="EAEAEA"/>
          </w:tcPr>
          <w:p>
            <w:pPr>
              <w:spacing w:after="0"/>
              <w:rPr>
                <w:sz w:val="8"/>
                <w:szCs w:val="8"/>
                <w:color w:val="auto"/>
              </w:rPr>
            </w:pPr>
          </w:p>
        </w:tc>
        <w:tc>
          <w:tcPr>
            <w:tcW w:w="920" w:type="dxa"/>
            <w:vAlign w:val="bottom"/>
            <w:shd w:val="clear" w:color="auto" w:fill="EAEAEA"/>
          </w:tcPr>
          <w:p>
            <w:pPr>
              <w:spacing w:after="0"/>
              <w:rPr>
                <w:sz w:val="8"/>
                <w:szCs w:val="8"/>
                <w:color w:val="auto"/>
              </w:rPr>
            </w:pPr>
          </w:p>
        </w:tc>
        <w:tc>
          <w:tcPr>
            <w:tcW w:w="820" w:type="dxa"/>
            <w:vAlign w:val="bottom"/>
            <w:vMerge w:val="continue"/>
            <w:shd w:val="clear" w:color="auto" w:fill="EAEAEA"/>
          </w:tcPr>
          <w:p>
            <w:pPr>
              <w:spacing w:after="0"/>
              <w:rPr>
                <w:sz w:val="8"/>
                <w:szCs w:val="8"/>
                <w:color w:val="auto"/>
              </w:rPr>
            </w:pPr>
          </w:p>
        </w:tc>
        <w:tc>
          <w:tcPr>
            <w:tcW w:w="100" w:type="dxa"/>
            <w:vAlign w:val="bottom"/>
            <w:shd w:val="clear" w:color="auto" w:fill="EAEAEA"/>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80" w:type="dxa"/>
            <w:vAlign w:val="bottom"/>
            <w:tcBorders>
              <w:bottom w:val="single" w:sz="8" w:color="EAEAEA"/>
            </w:tcBorders>
            <w:shd w:val="clear" w:color="auto" w:fill="EAEAEA"/>
          </w:tcPr>
          <w:p>
            <w:pPr>
              <w:spacing w:after="0"/>
              <w:rPr>
                <w:sz w:val="6"/>
                <w:szCs w:val="6"/>
                <w:color w:val="auto"/>
              </w:rPr>
            </w:pPr>
          </w:p>
        </w:tc>
        <w:tc>
          <w:tcPr>
            <w:tcW w:w="1360" w:type="dxa"/>
            <w:vAlign w:val="bottom"/>
            <w:tcBorders>
              <w:bottom w:val="single" w:sz="8" w:color="EAEAEA"/>
            </w:tcBorders>
            <w:vMerge w:val="continue"/>
            <w:shd w:val="clear" w:color="auto" w:fill="EAEAEA"/>
          </w:tcPr>
          <w:p>
            <w:pPr>
              <w:spacing w:after="0"/>
              <w:rPr>
                <w:sz w:val="6"/>
                <w:szCs w:val="6"/>
                <w:color w:val="auto"/>
              </w:rPr>
            </w:pPr>
          </w:p>
        </w:tc>
        <w:tc>
          <w:tcPr>
            <w:tcW w:w="1040" w:type="dxa"/>
            <w:vAlign w:val="bottom"/>
            <w:tcBorders>
              <w:bottom w:val="single" w:sz="8" w:color="auto"/>
            </w:tcBorders>
            <w:shd w:val="clear" w:color="auto" w:fill="EAEAEA"/>
          </w:tcPr>
          <w:p>
            <w:pPr>
              <w:spacing w:after="0"/>
              <w:rPr>
                <w:sz w:val="6"/>
                <w:szCs w:val="6"/>
                <w:color w:val="auto"/>
              </w:rPr>
            </w:pPr>
          </w:p>
        </w:tc>
        <w:tc>
          <w:tcPr>
            <w:tcW w:w="1020" w:type="dxa"/>
            <w:vAlign w:val="bottom"/>
            <w:tcBorders>
              <w:bottom w:val="single" w:sz="8" w:color="auto"/>
            </w:tcBorders>
            <w:shd w:val="clear" w:color="auto" w:fill="EAEAEA"/>
          </w:tcPr>
          <w:p>
            <w:pPr>
              <w:spacing w:after="0"/>
              <w:rPr>
                <w:sz w:val="6"/>
                <w:szCs w:val="6"/>
                <w:color w:val="auto"/>
              </w:rPr>
            </w:pPr>
          </w:p>
        </w:tc>
        <w:tc>
          <w:tcPr>
            <w:tcW w:w="820" w:type="dxa"/>
            <w:vAlign w:val="bottom"/>
            <w:tcBorders>
              <w:bottom w:val="single" w:sz="8" w:color="auto"/>
            </w:tcBorders>
            <w:shd w:val="clear" w:color="auto" w:fill="EAEAEA"/>
          </w:tcPr>
          <w:p>
            <w:pPr>
              <w:spacing w:after="0"/>
              <w:rPr>
                <w:sz w:val="6"/>
                <w:szCs w:val="6"/>
                <w:color w:val="auto"/>
              </w:rPr>
            </w:pPr>
          </w:p>
        </w:tc>
        <w:tc>
          <w:tcPr>
            <w:tcW w:w="860" w:type="dxa"/>
            <w:vAlign w:val="bottom"/>
            <w:tcBorders>
              <w:bottom w:val="single" w:sz="8" w:color="auto"/>
            </w:tcBorders>
            <w:shd w:val="clear" w:color="auto" w:fill="EAEAEA"/>
          </w:tcPr>
          <w:p>
            <w:pPr>
              <w:spacing w:after="0"/>
              <w:rPr>
                <w:sz w:val="6"/>
                <w:szCs w:val="6"/>
                <w:color w:val="auto"/>
              </w:rPr>
            </w:pPr>
          </w:p>
        </w:tc>
        <w:tc>
          <w:tcPr>
            <w:tcW w:w="920" w:type="dxa"/>
            <w:vAlign w:val="bottom"/>
            <w:tcBorders>
              <w:bottom w:val="single" w:sz="8" w:color="auto"/>
            </w:tcBorders>
            <w:shd w:val="clear" w:color="auto" w:fill="EAEAEA"/>
          </w:tcPr>
          <w:p>
            <w:pPr>
              <w:spacing w:after="0"/>
              <w:rPr>
                <w:sz w:val="6"/>
                <w:szCs w:val="6"/>
                <w:color w:val="auto"/>
              </w:rPr>
            </w:pPr>
          </w:p>
        </w:tc>
        <w:tc>
          <w:tcPr>
            <w:tcW w:w="800" w:type="dxa"/>
            <w:vAlign w:val="bottom"/>
            <w:tcBorders>
              <w:bottom w:val="single" w:sz="8" w:color="auto"/>
            </w:tcBorders>
            <w:shd w:val="clear" w:color="auto" w:fill="EAEAEA"/>
          </w:tcPr>
          <w:p>
            <w:pPr>
              <w:spacing w:after="0"/>
              <w:rPr>
                <w:sz w:val="6"/>
                <w:szCs w:val="6"/>
                <w:color w:val="auto"/>
              </w:rPr>
            </w:pPr>
          </w:p>
        </w:tc>
        <w:tc>
          <w:tcPr>
            <w:tcW w:w="1080" w:type="dxa"/>
            <w:vAlign w:val="bottom"/>
            <w:tcBorders>
              <w:bottom w:val="single" w:sz="8" w:color="auto"/>
            </w:tcBorders>
            <w:shd w:val="clear" w:color="auto" w:fill="EAEAEA"/>
          </w:tcPr>
          <w:p>
            <w:pPr>
              <w:spacing w:after="0"/>
              <w:rPr>
                <w:sz w:val="6"/>
                <w:szCs w:val="6"/>
                <w:color w:val="auto"/>
              </w:rPr>
            </w:pPr>
          </w:p>
        </w:tc>
        <w:tc>
          <w:tcPr>
            <w:tcW w:w="960" w:type="dxa"/>
            <w:vAlign w:val="bottom"/>
            <w:tcBorders>
              <w:bottom w:val="single" w:sz="8" w:color="auto"/>
            </w:tcBorders>
            <w:shd w:val="clear" w:color="auto" w:fill="EAEAEA"/>
          </w:tcPr>
          <w:p>
            <w:pPr>
              <w:spacing w:after="0"/>
              <w:rPr>
                <w:sz w:val="6"/>
                <w:szCs w:val="6"/>
                <w:color w:val="auto"/>
              </w:rPr>
            </w:pPr>
          </w:p>
        </w:tc>
        <w:tc>
          <w:tcPr>
            <w:tcW w:w="460" w:type="dxa"/>
            <w:vAlign w:val="bottom"/>
            <w:tcBorders>
              <w:bottom w:val="single" w:sz="8" w:color="auto"/>
            </w:tcBorders>
            <w:shd w:val="clear" w:color="auto" w:fill="EAEAEA"/>
          </w:tcPr>
          <w:p>
            <w:pPr>
              <w:spacing w:after="0"/>
              <w:rPr>
                <w:sz w:val="6"/>
                <w:szCs w:val="6"/>
                <w:color w:val="auto"/>
              </w:rPr>
            </w:pPr>
          </w:p>
        </w:tc>
        <w:tc>
          <w:tcPr>
            <w:tcW w:w="920" w:type="dxa"/>
            <w:vAlign w:val="bottom"/>
            <w:tcBorders>
              <w:bottom w:val="single" w:sz="8" w:color="auto"/>
            </w:tcBorders>
            <w:shd w:val="clear" w:color="auto" w:fill="EAEAEA"/>
          </w:tcPr>
          <w:p>
            <w:pPr>
              <w:spacing w:after="0"/>
              <w:rPr>
                <w:sz w:val="6"/>
                <w:szCs w:val="6"/>
                <w:color w:val="auto"/>
              </w:rPr>
            </w:pPr>
          </w:p>
        </w:tc>
        <w:tc>
          <w:tcPr>
            <w:tcW w:w="820" w:type="dxa"/>
            <w:vAlign w:val="bottom"/>
            <w:tcBorders>
              <w:bottom w:val="single" w:sz="8" w:color="auto"/>
            </w:tcBorders>
            <w:shd w:val="clear" w:color="auto" w:fill="EAEAEA"/>
          </w:tcPr>
          <w:p>
            <w:pPr>
              <w:spacing w:after="0"/>
              <w:rPr>
                <w:sz w:val="6"/>
                <w:szCs w:val="6"/>
                <w:color w:val="auto"/>
              </w:rPr>
            </w:pPr>
          </w:p>
        </w:tc>
        <w:tc>
          <w:tcPr>
            <w:tcW w:w="10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80" w:type="dxa"/>
            <w:vAlign w:val="bottom"/>
            <w:shd w:val="clear" w:color="auto" w:fill="EAEAEA"/>
          </w:tcPr>
          <w:p>
            <w:pPr>
              <w:spacing w:after="0"/>
              <w:rPr>
                <w:sz w:val="18"/>
                <w:szCs w:val="18"/>
                <w:color w:val="auto"/>
              </w:rPr>
            </w:pPr>
          </w:p>
        </w:tc>
        <w:tc>
          <w:tcPr>
            <w:tcW w:w="1360" w:type="dxa"/>
            <w:vAlign w:val="bottom"/>
            <w:shd w:val="clear" w:color="auto" w:fill="EAEAEA"/>
          </w:tcPr>
          <w:p>
            <w:pPr>
              <w:spacing w:after="0"/>
              <w:rPr>
                <w:sz w:val="18"/>
                <w:szCs w:val="18"/>
                <w:color w:val="auto"/>
              </w:rPr>
            </w:pPr>
          </w:p>
        </w:tc>
        <w:tc>
          <w:tcPr>
            <w:tcW w:w="1040" w:type="dxa"/>
            <w:vAlign w:val="bottom"/>
            <w:shd w:val="clear" w:color="auto" w:fill="EAEAEA"/>
          </w:tcPr>
          <w:p>
            <w:pPr>
              <w:jc w:val="center"/>
              <w:spacing w:after="0"/>
              <w:rPr>
                <w:sz w:val="20"/>
                <w:szCs w:val="20"/>
                <w:color w:val="auto"/>
              </w:rPr>
            </w:pPr>
            <w:r>
              <w:rPr>
                <w:rFonts w:ascii="Arial" w:cs="Arial" w:eastAsia="Arial" w:hAnsi="Arial"/>
                <w:sz w:val="13"/>
                <w:szCs w:val="13"/>
                <w:color w:val="auto"/>
              </w:rPr>
              <w:t>RSU</w:t>
            </w:r>
          </w:p>
        </w:tc>
        <w:tc>
          <w:tcPr>
            <w:tcW w:w="1020" w:type="dxa"/>
            <w:vAlign w:val="bottom"/>
            <w:shd w:val="clear" w:color="auto" w:fill="EAEAEA"/>
          </w:tcPr>
          <w:p>
            <w:pPr>
              <w:jc w:val="center"/>
              <w:spacing w:after="0"/>
              <w:rPr>
                <w:sz w:val="20"/>
                <w:szCs w:val="20"/>
                <w:color w:val="auto"/>
              </w:rPr>
            </w:pPr>
            <w:r>
              <w:rPr>
                <w:rFonts w:ascii="Arial" w:cs="Arial" w:eastAsia="Arial" w:hAnsi="Arial"/>
                <w:sz w:val="13"/>
                <w:szCs w:val="13"/>
                <w:color w:val="auto"/>
                <w:w w:val="94"/>
              </w:rPr>
              <w:t>3/3/2023</w:t>
            </w:r>
          </w:p>
        </w:tc>
        <w:tc>
          <w:tcPr>
            <w:tcW w:w="820" w:type="dxa"/>
            <w:vAlign w:val="bottom"/>
            <w:shd w:val="clear" w:color="auto" w:fill="EAEAEA"/>
          </w:tcPr>
          <w:p>
            <w:pPr>
              <w:jc w:val="center"/>
              <w:spacing w:after="0"/>
              <w:rPr>
                <w:sz w:val="20"/>
                <w:szCs w:val="20"/>
                <w:color w:val="auto"/>
              </w:rPr>
            </w:pPr>
            <w:r>
              <w:rPr>
                <w:rFonts w:ascii="Arial" w:cs="Arial" w:eastAsia="Arial" w:hAnsi="Arial"/>
                <w:sz w:val="13"/>
                <w:szCs w:val="13"/>
                <w:color w:val="auto"/>
                <w:w w:val="96"/>
              </w:rPr>
              <w:t>2/15/2022</w:t>
            </w:r>
          </w:p>
        </w:tc>
        <w:tc>
          <w:tcPr>
            <w:tcW w:w="8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shd w:val="clear" w:color="auto" w:fill="EAEAEA"/>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shd w:val="clear" w:color="auto" w:fill="EAEAEA"/>
          </w:tcPr>
          <w:p>
            <w:pPr>
              <w:jc w:val="right"/>
              <w:ind w:right="317"/>
              <w:spacing w:after="0"/>
              <w:rPr>
                <w:sz w:val="20"/>
                <w:szCs w:val="20"/>
                <w:color w:val="auto"/>
              </w:rPr>
            </w:pPr>
            <w:r>
              <w:rPr>
                <w:rFonts w:ascii="Arial" w:cs="Arial" w:eastAsia="Arial" w:hAnsi="Arial"/>
                <w:sz w:val="13"/>
                <w:szCs w:val="13"/>
                <w:color w:val="auto"/>
              </w:rPr>
              <w:t>—</w:t>
            </w:r>
          </w:p>
        </w:tc>
        <w:tc>
          <w:tcPr>
            <w:tcW w:w="4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12,447</w:t>
            </w:r>
          </w:p>
        </w:tc>
        <w:tc>
          <w:tcPr>
            <w:tcW w:w="8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1,818,756</w:t>
            </w: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80" w:type="dxa"/>
            <w:vAlign w:val="bottom"/>
            <w:shd w:val="clear" w:color="auto" w:fill="EAEAEA"/>
          </w:tcPr>
          <w:p>
            <w:pPr>
              <w:spacing w:after="0"/>
              <w:rPr>
                <w:sz w:val="7"/>
                <w:szCs w:val="7"/>
                <w:color w:val="auto"/>
              </w:rPr>
            </w:pPr>
          </w:p>
        </w:tc>
        <w:tc>
          <w:tcPr>
            <w:tcW w:w="1360" w:type="dxa"/>
            <w:vAlign w:val="bottom"/>
            <w:shd w:val="clear" w:color="auto" w:fill="EAEAEA"/>
          </w:tcPr>
          <w:p>
            <w:pPr>
              <w:spacing w:after="0"/>
              <w:rPr>
                <w:sz w:val="7"/>
                <w:szCs w:val="7"/>
                <w:color w:val="auto"/>
              </w:rPr>
            </w:pPr>
          </w:p>
        </w:tc>
        <w:tc>
          <w:tcPr>
            <w:tcW w:w="1040" w:type="dxa"/>
            <w:vAlign w:val="bottom"/>
            <w:shd w:val="clear" w:color="auto" w:fill="EAEAEA"/>
          </w:tcPr>
          <w:p>
            <w:pPr>
              <w:spacing w:after="0"/>
              <w:rPr>
                <w:sz w:val="7"/>
                <w:szCs w:val="7"/>
                <w:color w:val="auto"/>
              </w:rPr>
            </w:pPr>
          </w:p>
        </w:tc>
        <w:tc>
          <w:tcPr>
            <w:tcW w:w="1020" w:type="dxa"/>
            <w:vAlign w:val="bottom"/>
            <w:shd w:val="clear" w:color="auto" w:fill="EAEAEA"/>
          </w:tcPr>
          <w:p>
            <w:pPr>
              <w:spacing w:after="0"/>
              <w:rPr>
                <w:sz w:val="7"/>
                <w:szCs w:val="7"/>
                <w:color w:val="auto"/>
              </w:rPr>
            </w:pPr>
          </w:p>
        </w:tc>
        <w:tc>
          <w:tcPr>
            <w:tcW w:w="820" w:type="dxa"/>
            <w:vAlign w:val="bottom"/>
            <w:shd w:val="clear" w:color="auto" w:fill="EAEAEA"/>
          </w:tcPr>
          <w:p>
            <w:pPr>
              <w:spacing w:after="0"/>
              <w:rPr>
                <w:sz w:val="7"/>
                <w:szCs w:val="7"/>
                <w:color w:val="auto"/>
              </w:rPr>
            </w:pPr>
          </w:p>
        </w:tc>
        <w:tc>
          <w:tcPr>
            <w:tcW w:w="860" w:type="dxa"/>
            <w:vAlign w:val="bottom"/>
            <w:shd w:val="clear" w:color="auto" w:fill="EAEAEA"/>
          </w:tcPr>
          <w:p>
            <w:pPr>
              <w:spacing w:after="0"/>
              <w:rPr>
                <w:sz w:val="7"/>
                <w:szCs w:val="7"/>
                <w:color w:val="auto"/>
              </w:rPr>
            </w:pPr>
          </w:p>
        </w:tc>
        <w:tc>
          <w:tcPr>
            <w:tcW w:w="920" w:type="dxa"/>
            <w:vAlign w:val="bottom"/>
            <w:shd w:val="clear" w:color="auto" w:fill="EAEAEA"/>
          </w:tcPr>
          <w:p>
            <w:pPr>
              <w:spacing w:after="0"/>
              <w:rPr>
                <w:sz w:val="7"/>
                <w:szCs w:val="7"/>
                <w:color w:val="auto"/>
              </w:rPr>
            </w:pPr>
          </w:p>
        </w:tc>
        <w:tc>
          <w:tcPr>
            <w:tcW w:w="800" w:type="dxa"/>
            <w:vAlign w:val="bottom"/>
            <w:shd w:val="clear" w:color="auto" w:fill="EAEAEA"/>
          </w:tcPr>
          <w:p>
            <w:pPr>
              <w:spacing w:after="0"/>
              <w:rPr>
                <w:sz w:val="7"/>
                <w:szCs w:val="7"/>
                <w:color w:val="auto"/>
              </w:rPr>
            </w:pPr>
          </w:p>
        </w:tc>
        <w:tc>
          <w:tcPr>
            <w:tcW w:w="1080" w:type="dxa"/>
            <w:vAlign w:val="bottom"/>
            <w:shd w:val="clear" w:color="auto" w:fill="EAEAEA"/>
          </w:tcPr>
          <w:p>
            <w:pPr>
              <w:spacing w:after="0"/>
              <w:rPr>
                <w:sz w:val="7"/>
                <w:szCs w:val="7"/>
                <w:color w:val="auto"/>
              </w:rPr>
            </w:pPr>
          </w:p>
        </w:tc>
        <w:tc>
          <w:tcPr>
            <w:tcW w:w="960" w:type="dxa"/>
            <w:vAlign w:val="bottom"/>
            <w:shd w:val="clear" w:color="auto" w:fill="EAEAEA"/>
          </w:tcPr>
          <w:p>
            <w:pPr>
              <w:spacing w:after="0"/>
              <w:rPr>
                <w:sz w:val="7"/>
                <w:szCs w:val="7"/>
                <w:color w:val="auto"/>
              </w:rPr>
            </w:pPr>
          </w:p>
        </w:tc>
        <w:tc>
          <w:tcPr>
            <w:tcW w:w="460" w:type="dxa"/>
            <w:vAlign w:val="bottom"/>
            <w:shd w:val="clear" w:color="auto" w:fill="EAEAEA"/>
          </w:tcPr>
          <w:p>
            <w:pPr>
              <w:spacing w:after="0"/>
              <w:rPr>
                <w:sz w:val="7"/>
                <w:szCs w:val="7"/>
                <w:color w:val="auto"/>
              </w:rPr>
            </w:pPr>
          </w:p>
        </w:tc>
        <w:tc>
          <w:tcPr>
            <w:tcW w:w="920" w:type="dxa"/>
            <w:vAlign w:val="bottom"/>
            <w:shd w:val="clear" w:color="auto" w:fill="EAEAEA"/>
          </w:tcPr>
          <w:p>
            <w:pPr>
              <w:spacing w:after="0"/>
              <w:rPr>
                <w:sz w:val="7"/>
                <w:szCs w:val="7"/>
                <w:color w:val="auto"/>
              </w:rPr>
            </w:pPr>
          </w:p>
        </w:tc>
        <w:tc>
          <w:tcPr>
            <w:tcW w:w="920" w:type="dxa"/>
            <w:vAlign w:val="bottom"/>
            <w:gridSpan w:val="2"/>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6"/>
              </w:rPr>
              <w:t>Annual Cash</w:t>
            </w:r>
          </w:p>
        </w:tc>
        <w:tc>
          <w:tcPr>
            <w:tcW w:w="10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354,750</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1,064,250</w:t>
            </w:r>
          </w:p>
        </w:tc>
        <w:tc>
          <w:tcPr>
            <w:tcW w:w="10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3"/>
                <w:szCs w:val="13"/>
                <w:b w:val="1"/>
                <w:bCs w:val="1"/>
                <w:color w:val="auto"/>
              </w:rPr>
              <w:t>Neena M. Patil</w:t>
            </w:r>
          </w:p>
        </w:tc>
        <w:tc>
          <w:tcPr>
            <w:tcW w:w="1040" w:type="dxa"/>
            <w:vAlign w:val="bottom"/>
          </w:tcPr>
          <w:p>
            <w:pPr>
              <w:jc w:val="center"/>
              <w:spacing w:after="0"/>
              <w:rPr>
                <w:sz w:val="20"/>
                <w:szCs w:val="20"/>
                <w:color w:val="auto"/>
              </w:rPr>
            </w:pPr>
            <w:r>
              <w:rPr>
                <w:rFonts w:ascii="Arial" w:cs="Arial" w:eastAsia="Arial" w:hAnsi="Arial"/>
                <w:sz w:val="13"/>
                <w:szCs w:val="13"/>
                <w:color w:val="auto"/>
                <w:w w:val="97"/>
              </w:rPr>
              <w:t>PSU</w:t>
            </w:r>
          </w:p>
        </w:tc>
        <w:tc>
          <w:tcPr>
            <w:tcW w:w="1020" w:type="dxa"/>
            <w:vAlign w:val="bottom"/>
          </w:tcPr>
          <w:p>
            <w:pPr>
              <w:jc w:val="center"/>
              <w:spacing w:after="0"/>
              <w:rPr>
                <w:sz w:val="20"/>
                <w:szCs w:val="20"/>
                <w:color w:val="auto"/>
              </w:rPr>
            </w:pPr>
            <w:r>
              <w:rPr>
                <w:rFonts w:ascii="Arial" w:cs="Arial" w:eastAsia="Arial" w:hAnsi="Arial"/>
                <w:sz w:val="13"/>
                <w:szCs w:val="13"/>
                <w:color w:val="auto"/>
                <w:w w:val="94"/>
              </w:rPr>
              <w:t>3/3/2023</w:t>
            </w:r>
          </w:p>
        </w:tc>
        <w:tc>
          <w:tcPr>
            <w:tcW w:w="820" w:type="dxa"/>
            <w:vAlign w:val="bottom"/>
          </w:tcPr>
          <w:p>
            <w:pPr>
              <w:jc w:val="center"/>
              <w:spacing w:after="0"/>
              <w:rPr>
                <w:sz w:val="20"/>
                <w:szCs w:val="20"/>
                <w:color w:val="auto"/>
              </w:rPr>
            </w:pPr>
            <w:r>
              <w:rPr>
                <w:rFonts w:ascii="Arial" w:cs="Arial" w:eastAsia="Arial" w:hAnsi="Arial"/>
                <w:sz w:val="13"/>
                <w:szCs w:val="13"/>
                <w:color w:val="auto"/>
                <w:w w:val="96"/>
              </w:rPr>
              <w:t>2/15/2023</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97"/>
              <w:spacing w:after="0"/>
              <w:rPr>
                <w:sz w:val="20"/>
                <w:szCs w:val="20"/>
                <w:color w:val="auto"/>
              </w:rPr>
            </w:pPr>
            <w:r>
              <w:rPr>
                <w:rFonts w:ascii="Arial" w:cs="Arial" w:eastAsia="Arial" w:hAnsi="Arial"/>
                <w:sz w:val="13"/>
                <w:szCs w:val="13"/>
                <w:color w:val="auto"/>
              </w:rPr>
              <w:t>3,532</w:t>
            </w:r>
          </w:p>
        </w:tc>
        <w:tc>
          <w:tcPr>
            <w:tcW w:w="960" w:type="dxa"/>
            <w:vAlign w:val="bottom"/>
          </w:tcPr>
          <w:p>
            <w:pPr>
              <w:jc w:val="right"/>
              <w:ind w:right="317"/>
              <w:spacing w:after="0"/>
              <w:rPr>
                <w:sz w:val="20"/>
                <w:szCs w:val="20"/>
                <w:color w:val="auto"/>
              </w:rPr>
            </w:pPr>
            <w:r>
              <w:rPr>
                <w:rFonts w:ascii="Arial" w:cs="Arial" w:eastAsia="Arial" w:hAnsi="Arial"/>
                <w:sz w:val="13"/>
                <w:szCs w:val="13"/>
                <w:color w:val="auto"/>
              </w:rPr>
              <w:t>9,419</w:t>
            </w:r>
          </w:p>
        </w:tc>
        <w:tc>
          <w:tcPr>
            <w:tcW w:w="460" w:type="dxa"/>
            <w:vAlign w:val="bottom"/>
          </w:tcPr>
          <w:p>
            <w:pPr>
              <w:jc w:val="right"/>
              <w:spacing w:after="0"/>
              <w:rPr>
                <w:sz w:val="20"/>
                <w:szCs w:val="20"/>
                <w:color w:val="auto"/>
              </w:rPr>
            </w:pPr>
            <w:r>
              <w:rPr>
                <w:rFonts w:ascii="Arial" w:cs="Arial" w:eastAsia="Arial" w:hAnsi="Arial"/>
                <w:sz w:val="13"/>
                <w:szCs w:val="13"/>
                <w:color w:val="auto"/>
              </w:rPr>
              <w:t>18,838</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1,489,426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rPr>
              <w:t>RSU</w:t>
            </w:r>
          </w:p>
        </w:tc>
        <w:tc>
          <w:tcPr>
            <w:tcW w:w="1020" w:type="dxa"/>
            <w:vAlign w:val="bottom"/>
          </w:tcPr>
          <w:p>
            <w:pPr>
              <w:jc w:val="center"/>
              <w:spacing w:after="0"/>
              <w:rPr>
                <w:sz w:val="20"/>
                <w:szCs w:val="20"/>
                <w:color w:val="auto"/>
              </w:rPr>
            </w:pPr>
            <w:r>
              <w:rPr>
                <w:rFonts w:ascii="Arial" w:cs="Arial" w:eastAsia="Arial" w:hAnsi="Arial"/>
                <w:sz w:val="13"/>
                <w:szCs w:val="13"/>
                <w:color w:val="auto"/>
                <w:w w:val="94"/>
              </w:rPr>
              <w:t>3/3/2023</w:t>
            </w:r>
          </w:p>
        </w:tc>
        <w:tc>
          <w:tcPr>
            <w:tcW w:w="820" w:type="dxa"/>
            <w:vAlign w:val="bottom"/>
          </w:tcPr>
          <w:p>
            <w:pPr>
              <w:jc w:val="center"/>
              <w:spacing w:after="0"/>
              <w:rPr>
                <w:sz w:val="20"/>
                <w:szCs w:val="20"/>
                <w:color w:val="auto"/>
              </w:rPr>
            </w:pPr>
            <w:r>
              <w:rPr>
                <w:rFonts w:ascii="Arial" w:cs="Arial" w:eastAsia="Arial" w:hAnsi="Arial"/>
                <w:sz w:val="13"/>
                <w:szCs w:val="13"/>
                <w:color w:val="auto"/>
                <w:w w:val="96"/>
              </w:rPr>
              <w:t>2/15/2023</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9,419</w:t>
            </w:r>
          </w:p>
        </w:tc>
        <w:tc>
          <w:tcPr>
            <w:tcW w:w="820" w:type="dxa"/>
            <w:vAlign w:val="bottom"/>
          </w:tcPr>
          <w:p>
            <w:pPr>
              <w:jc w:val="right"/>
              <w:spacing w:after="0"/>
              <w:rPr>
                <w:sz w:val="20"/>
                <w:szCs w:val="20"/>
                <w:color w:val="auto"/>
              </w:rPr>
            </w:pPr>
            <w:r>
              <w:rPr>
                <w:rFonts w:ascii="Arial" w:cs="Arial" w:eastAsia="Arial" w:hAnsi="Arial"/>
                <w:sz w:val="13"/>
                <w:szCs w:val="13"/>
                <w:color w:val="auto"/>
              </w:rPr>
              <w:t>1,376,304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9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80" w:type="dxa"/>
            <w:vAlign w:val="bottom"/>
            <w:shd w:val="clear" w:color="auto" w:fill="EAEAEA"/>
          </w:tcPr>
          <w:p>
            <w:pPr>
              <w:spacing w:after="0"/>
              <w:rPr>
                <w:sz w:val="19"/>
                <w:szCs w:val="19"/>
                <w:color w:val="auto"/>
              </w:rPr>
            </w:pPr>
          </w:p>
        </w:tc>
        <w:tc>
          <w:tcPr>
            <w:tcW w:w="1360" w:type="dxa"/>
            <w:vAlign w:val="bottom"/>
            <w:shd w:val="clear" w:color="auto" w:fill="EAEAEA"/>
          </w:tcPr>
          <w:p>
            <w:pPr>
              <w:spacing w:after="0"/>
              <w:rPr>
                <w:sz w:val="19"/>
                <w:szCs w:val="19"/>
                <w:color w:val="auto"/>
              </w:rPr>
            </w:pPr>
          </w:p>
        </w:tc>
        <w:tc>
          <w:tcPr>
            <w:tcW w:w="1040" w:type="dxa"/>
            <w:vAlign w:val="bottom"/>
            <w:shd w:val="clear" w:color="auto" w:fill="EAEAEA"/>
          </w:tcPr>
          <w:p>
            <w:pPr>
              <w:jc w:val="center"/>
              <w:spacing w:after="0"/>
              <w:rPr>
                <w:sz w:val="20"/>
                <w:szCs w:val="20"/>
                <w:color w:val="auto"/>
              </w:rPr>
            </w:pPr>
            <w:r>
              <w:rPr>
                <w:rFonts w:ascii="Arial" w:cs="Arial" w:eastAsia="Arial" w:hAnsi="Arial"/>
                <w:sz w:val="13"/>
                <w:szCs w:val="13"/>
                <w:color w:val="auto"/>
                <w:w w:val="96"/>
              </w:rPr>
              <w:t>Annual Cash</w:t>
            </w:r>
          </w:p>
        </w:tc>
        <w:tc>
          <w:tcPr>
            <w:tcW w:w="1020" w:type="dxa"/>
            <w:vAlign w:val="bottom"/>
            <w:shd w:val="clear" w:color="auto" w:fill="EAEAEA"/>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shd w:val="clear" w:color="auto" w:fill="EAEAEA"/>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600,000</w:t>
            </w:r>
          </w:p>
        </w:tc>
        <w:tc>
          <w:tcPr>
            <w:tcW w:w="800" w:type="dxa"/>
            <w:vAlign w:val="bottom"/>
            <w:shd w:val="clear" w:color="auto" w:fill="EAEAEA"/>
          </w:tcPr>
          <w:p>
            <w:pPr>
              <w:jc w:val="right"/>
              <w:ind w:right="77"/>
              <w:spacing w:after="0"/>
              <w:rPr>
                <w:sz w:val="20"/>
                <w:szCs w:val="20"/>
                <w:color w:val="auto"/>
              </w:rPr>
            </w:pPr>
            <w:r>
              <w:rPr>
                <w:rFonts w:ascii="Arial" w:cs="Arial" w:eastAsia="Arial" w:hAnsi="Arial"/>
                <w:sz w:val="13"/>
                <w:szCs w:val="13"/>
                <w:color w:val="auto"/>
              </w:rPr>
              <w:t>1,800,000</w:t>
            </w:r>
          </w:p>
        </w:tc>
        <w:tc>
          <w:tcPr>
            <w:tcW w:w="1080" w:type="dxa"/>
            <w:vAlign w:val="bottom"/>
            <w:shd w:val="clear" w:color="auto" w:fill="EAEAEA"/>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shd w:val="clear" w:color="auto" w:fill="EAEAEA"/>
          </w:tcPr>
          <w:p>
            <w:pPr>
              <w:jc w:val="right"/>
              <w:ind w:right="317"/>
              <w:spacing w:after="0"/>
              <w:rPr>
                <w:sz w:val="20"/>
                <w:szCs w:val="20"/>
                <w:color w:val="auto"/>
              </w:rPr>
            </w:pPr>
            <w:r>
              <w:rPr>
                <w:rFonts w:ascii="Arial" w:cs="Arial" w:eastAsia="Arial" w:hAnsi="Arial"/>
                <w:sz w:val="13"/>
                <w:szCs w:val="13"/>
                <w:color w:val="auto"/>
              </w:rPr>
              <w:t>—</w:t>
            </w:r>
          </w:p>
        </w:tc>
        <w:tc>
          <w:tcPr>
            <w:tcW w:w="4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EAEAEA"/>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2"/>
        </w:trPr>
        <w:tc>
          <w:tcPr>
            <w:tcW w:w="80" w:type="dxa"/>
            <w:vAlign w:val="bottom"/>
            <w:tcBorders>
              <w:bottom w:val="single" w:sz="8" w:color="EAEAEA"/>
            </w:tcBorders>
            <w:shd w:val="clear" w:color="auto" w:fill="EAEAEA"/>
          </w:tcPr>
          <w:p>
            <w:pPr>
              <w:spacing w:after="0"/>
              <w:rPr>
                <w:sz w:val="7"/>
                <w:szCs w:val="7"/>
                <w:color w:val="auto"/>
              </w:rPr>
            </w:pPr>
          </w:p>
        </w:tc>
        <w:tc>
          <w:tcPr>
            <w:tcW w:w="1360" w:type="dxa"/>
            <w:vAlign w:val="bottom"/>
            <w:tcBorders>
              <w:bottom w:val="single" w:sz="8" w:color="EAEAEA"/>
            </w:tcBorders>
            <w:shd w:val="clear" w:color="auto" w:fill="EAEAEA"/>
          </w:tcPr>
          <w:p>
            <w:pPr>
              <w:spacing w:after="0"/>
              <w:rPr>
                <w:sz w:val="7"/>
                <w:szCs w:val="7"/>
                <w:color w:val="auto"/>
              </w:rPr>
            </w:pPr>
          </w:p>
        </w:tc>
        <w:tc>
          <w:tcPr>
            <w:tcW w:w="1040" w:type="dxa"/>
            <w:vAlign w:val="bottom"/>
            <w:tcBorders>
              <w:bottom w:val="single" w:sz="8" w:color="auto"/>
            </w:tcBorders>
            <w:shd w:val="clear" w:color="auto" w:fill="EAEAEA"/>
          </w:tcPr>
          <w:p>
            <w:pPr>
              <w:spacing w:after="0"/>
              <w:rPr>
                <w:sz w:val="7"/>
                <w:szCs w:val="7"/>
                <w:color w:val="auto"/>
              </w:rPr>
            </w:pPr>
          </w:p>
        </w:tc>
        <w:tc>
          <w:tcPr>
            <w:tcW w:w="1020" w:type="dxa"/>
            <w:vAlign w:val="bottom"/>
            <w:tcBorders>
              <w:bottom w:val="single" w:sz="8" w:color="auto"/>
            </w:tcBorders>
            <w:shd w:val="clear" w:color="auto" w:fill="EAEAEA"/>
          </w:tcPr>
          <w:p>
            <w:pPr>
              <w:spacing w:after="0"/>
              <w:rPr>
                <w:sz w:val="7"/>
                <w:szCs w:val="7"/>
                <w:color w:val="auto"/>
              </w:rPr>
            </w:pPr>
          </w:p>
        </w:tc>
        <w:tc>
          <w:tcPr>
            <w:tcW w:w="820" w:type="dxa"/>
            <w:vAlign w:val="bottom"/>
            <w:tcBorders>
              <w:bottom w:val="single" w:sz="8" w:color="auto"/>
            </w:tcBorders>
            <w:shd w:val="clear" w:color="auto" w:fill="EAEAEA"/>
          </w:tcPr>
          <w:p>
            <w:pPr>
              <w:spacing w:after="0"/>
              <w:rPr>
                <w:sz w:val="7"/>
                <w:szCs w:val="7"/>
                <w:color w:val="auto"/>
              </w:rPr>
            </w:pPr>
          </w:p>
        </w:tc>
        <w:tc>
          <w:tcPr>
            <w:tcW w:w="860" w:type="dxa"/>
            <w:vAlign w:val="bottom"/>
            <w:tcBorders>
              <w:bottom w:val="single" w:sz="8" w:color="auto"/>
            </w:tcBorders>
            <w:shd w:val="clear" w:color="auto" w:fill="EAEAEA"/>
          </w:tcPr>
          <w:p>
            <w:pPr>
              <w:spacing w:after="0"/>
              <w:rPr>
                <w:sz w:val="7"/>
                <w:szCs w:val="7"/>
                <w:color w:val="auto"/>
              </w:rPr>
            </w:pPr>
          </w:p>
        </w:tc>
        <w:tc>
          <w:tcPr>
            <w:tcW w:w="920" w:type="dxa"/>
            <w:vAlign w:val="bottom"/>
            <w:tcBorders>
              <w:bottom w:val="single" w:sz="8" w:color="auto"/>
            </w:tcBorders>
            <w:shd w:val="clear" w:color="auto" w:fill="EAEAEA"/>
          </w:tcPr>
          <w:p>
            <w:pPr>
              <w:spacing w:after="0"/>
              <w:rPr>
                <w:sz w:val="7"/>
                <w:szCs w:val="7"/>
                <w:color w:val="auto"/>
              </w:rPr>
            </w:pPr>
          </w:p>
        </w:tc>
        <w:tc>
          <w:tcPr>
            <w:tcW w:w="800" w:type="dxa"/>
            <w:vAlign w:val="bottom"/>
            <w:tcBorders>
              <w:bottom w:val="single" w:sz="8" w:color="auto"/>
            </w:tcBorders>
            <w:shd w:val="clear" w:color="auto" w:fill="EAEAEA"/>
          </w:tcPr>
          <w:p>
            <w:pPr>
              <w:spacing w:after="0"/>
              <w:rPr>
                <w:sz w:val="7"/>
                <w:szCs w:val="7"/>
                <w:color w:val="auto"/>
              </w:rPr>
            </w:pPr>
          </w:p>
        </w:tc>
        <w:tc>
          <w:tcPr>
            <w:tcW w:w="1080" w:type="dxa"/>
            <w:vAlign w:val="bottom"/>
            <w:tcBorders>
              <w:bottom w:val="single" w:sz="8" w:color="auto"/>
            </w:tcBorders>
            <w:shd w:val="clear" w:color="auto" w:fill="EAEAEA"/>
          </w:tcPr>
          <w:p>
            <w:pPr>
              <w:spacing w:after="0"/>
              <w:rPr>
                <w:sz w:val="7"/>
                <w:szCs w:val="7"/>
                <w:color w:val="auto"/>
              </w:rPr>
            </w:pPr>
          </w:p>
        </w:tc>
        <w:tc>
          <w:tcPr>
            <w:tcW w:w="960" w:type="dxa"/>
            <w:vAlign w:val="bottom"/>
            <w:tcBorders>
              <w:bottom w:val="single" w:sz="8" w:color="auto"/>
            </w:tcBorders>
            <w:shd w:val="clear" w:color="auto" w:fill="EAEAEA"/>
          </w:tcPr>
          <w:p>
            <w:pPr>
              <w:spacing w:after="0"/>
              <w:rPr>
                <w:sz w:val="7"/>
                <w:szCs w:val="7"/>
                <w:color w:val="auto"/>
              </w:rPr>
            </w:pPr>
          </w:p>
        </w:tc>
        <w:tc>
          <w:tcPr>
            <w:tcW w:w="460" w:type="dxa"/>
            <w:vAlign w:val="bottom"/>
            <w:tcBorders>
              <w:bottom w:val="single" w:sz="8" w:color="auto"/>
            </w:tcBorders>
            <w:shd w:val="clear" w:color="auto" w:fill="EAEAEA"/>
          </w:tcPr>
          <w:p>
            <w:pPr>
              <w:spacing w:after="0"/>
              <w:rPr>
                <w:sz w:val="7"/>
                <w:szCs w:val="7"/>
                <w:color w:val="auto"/>
              </w:rPr>
            </w:pPr>
          </w:p>
        </w:tc>
        <w:tc>
          <w:tcPr>
            <w:tcW w:w="920" w:type="dxa"/>
            <w:vAlign w:val="bottom"/>
            <w:tcBorders>
              <w:bottom w:val="single" w:sz="8" w:color="auto"/>
            </w:tcBorders>
            <w:shd w:val="clear" w:color="auto" w:fill="EAEAEA"/>
          </w:tcPr>
          <w:p>
            <w:pPr>
              <w:spacing w:after="0"/>
              <w:rPr>
                <w:sz w:val="7"/>
                <w:szCs w:val="7"/>
                <w:color w:val="auto"/>
              </w:rPr>
            </w:pPr>
          </w:p>
        </w:tc>
        <w:tc>
          <w:tcPr>
            <w:tcW w:w="820" w:type="dxa"/>
            <w:vAlign w:val="bottom"/>
            <w:tcBorders>
              <w:bottom w:val="single" w:sz="8" w:color="auto"/>
            </w:tcBorders>
            <w:shd w:val="clear" w:color="auto" w:fill="EAEAEA"/>
          </w:tcPr>
          <w:p>
            <w:pPr>
              <w:spacing w:after="0"/>
              <w:rPr>
                <w:sz w:val="7"/>
                <w:szCs w:val="7"/>
                <w:color w:val="auto"/>
              </w:rPr>
            </w:pPr>
          </w:p>
        </w:tc>
        <w:tc>
          <w:tcPr>
            <w:tcW w:w="100" w:type="dxa"/>
            <w:vAlign w:val="bottom"/>
            <w:tcBorders>
              <w:bottom w:val="single" w:sz="8" w:color="auto"/>
            </w:tcBorders>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80" w:type="dxa"/>
            <w:vAlign w:val="bottom"/>
            <w:shd w:val="clear" w:color="auto" w:fill="EAEAEA"/>
          </w:tcPr>
          <w:p>
            <w:pPr>
              <w:spacing w:after="0"/>
              <w:rPr>
                <w:sz w:val="18"/>
                <w:szCs w:val="18"/>
                <w:color w:val="auto"/>
              </w:rPr>
            </w:pPr>
          </w:p>
        </w:tc>
        <w:tc>
          <w:tcPr>
            <w:tcW w:w="1360" w:type="dxa"/>
            <w:vAlign w:val="bottom"/>
            <w:shd w:val="clear" w:color="auto" w:fill="EAEAEA"/>
          </w:tcPr>
          <w:p>
            <w:pPr>
              <w:ind w:left="20"/>
              <w:spacing w:after="0"/>
              <w:rPr>
                <w:sz w:val="20"/>
                <w:szCs w:val="20"/>
                <w:color w:val="auto"/>
              </w:rPr>
            </w:pPr>
            <w:r>
              <w:rPr>
                <w:rFonts w:ascii="Arial" w:cs="Arial" w:eastAsia="Arial" w:hAnsi="Arial"/>
                <w:sz w:val="13"/>
                <w:szCs w:val="13"/>
                <w:b w:val="1"/>
                <w:bCs w:val="1"/>
                <w:color w:val="auto"/>
                <w:w w:val="99"/>
              </w:rPr>
              <w:t>Daniel N. Swisher, Jr.</w:t>
            </w:r>
          </w:p>
        </w:tc>
        <w:tc>
          <w:tcPr>
            <w:tcW w:w="1040" w:type="dxa"/>
            <w:vAlign w:val="bottom"/>
            <w:shd w:val="clear" w:color="auto" w:fill="EAEAEA"/>
          </w:tcPr>
          <w:p>
            <w:pPr>
              <w:jc w:val="center"/>
              <w:spacing w:after="0"/>
              <w:rPr>
                <w:sz w:val="20"/>
                <w:szCs w:val="20"/>
                <w:color w:val="auto"/>
              </w:rPr>
            </w:pPr>
            <w:r>
              <w:rPr>
                <w:rFonts w:ascii="Arial" w:cs="Arial" w:eastAsia="Arial" w:hAnsi="Arial"/>
                <w:sz w:val="13"/>
                <w:szCs w:val="13"/>
                <w:color w:val="auto"/>
                <w:w w:val="97"/>
              </w:rPr>
              <w:t>PSU</w:t>
            </w:r>
          </w:p>
        </w:tc>
        <w:tc>
          <w:tcPr>
            <w:tcW w:w="1020" w:type="dxa"/>
            <w:vAlign w:val="bottom"/>
            <w:shd w:val="clear" w:color="auto" w:fill="EAEAEA"/>
          </w:tcPr>
          <w:p>
            <w:pPr>
              <w:jc w:val="center"/>
              <w:spacing w:after="0"/>
              <w:rPr>
                <w:sz w:val="20"/>
                <w:szCs w:val="20"/>
                <w:color w:val="auto"/>
              </w:rPr>
            </w:pPr>
            <w:r>
              <w:rPr>
                <w:rFonts w:ascii="Arial" w:cs="Arial" w:eastAsia="Arial" w:hAnsi="Arial"/>
                <w:sz w:val="13"/>
                <w:szCs w:val="13"/>
                <w:color w:val="auto"/>
                <w:w w:val="94"/>
              </w:rPr>
              <w:t>3/3/2023</w:t>
            </w:r>
          </w:p>
        </w:tc>
        <w:tc>
          <w:tcPr>
            <w:tcW w:w="820" w:type="dxa"/>
            <w:vAlign w:val="bottom"/>
            <w:shd w:val="clear" w:color="auto" w:fill="EAEAEA"/>
          </w:tcPr>
          <w:p>
            <w:pPr>
              <w:jc w:val="center"/>
              <w:spacing w:after="0"/>
              <w:rPr>
                <w:sz w:val="20"/>
                <w:szCs w:val="20"/>
                <w:color w:val="auto"/>
              </w:rPr>
            </w:pPr>
            <w:r>
              <w:rPr>
                <w:rFonts w:ascii="Arial" w:cs="Arial" w:eastAsia="Arial" w:hAnsi="Arial"/>
                <w:sz w:val="13"/>
                <w:szCs w:val="13"/>
                <w:color w:val="auto"/>
                <w:w w:val="96"/>
              </w:rPr>
              <w:t>2/15/2022</w:t>
            </w:r>
          </w:p>
        </w:tc>
        <w:tc>
          <w:tcPr>
            <w:tcW w:w="8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shd w:val="clear" w:color="auto" w:fill="EAEAEA"/>
          </w:tcPr>
          <w:p>
            <w:pPr>
              <w:jc w:val="right"/>
              <w:ind w:right="157"/>
              <w:spacing w:after="0"/>
              <w:rPr>
                <w:sz w:val="20"/>
                <w:szCs w:val="20"/>
                <w:color w:val="auto"/>
              </w:rPr>
            </w:pPr>
            <w:r>
              <w:rPr>
                <w:rFonts w:ascii="Arial" w:cs="Arial" w:eastAsia="Arial" w:hAnsi="Arial"/>
                <w:sz w:val="13"/>
                <w:szCs w:val="13"/>
                <w:color w:val="auto"/>
              </w:rPr>
              <w:t>5,046</w:t>
            </w:r>
          </w:p>
        </w:tc>
        <w:tc>
          <w:tcPr>
            <w:tcW w:w="960" w:type="dxa"/>
            <w:vAlign w:val="bottom"/>
            <w:shd w:val="clear" w:color="auto" w:fill="EAEAEA"/>
          </w:tcPr>
          <w:p>
            <w:pPr>
              <w:jc w:val="right"/>
              <w:ind w:right="317"/>
              <w:spacing w:after="0"/>
              <w:rPr>
                <w:sz w:val="20"/>
                <w:szCs w:val="20"/>
                <w:color w:val="auto"/>
              </w:rPr>
            </w:pPr>
            <w:r>
              <w:rPr>
                <w:rFonts w:ascii="Arial" w:cs="Arial" w:eastAsia="Arial" w:hAnsi="Arial"/>
                <w:sz w:val="13"/>
                <w:szCs w:val="13"/>
                <w:color w:val="auto"/>
              </w:rPr>
              <w:t>13,456</w:t>
            </w:r>
          </w:p>
        </w:tc>
        <w:tc>
          <w:tcPr>
            <w:tcW w:w="4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26,912</w:t>
            </w:r>
          </w:p>
        </w:tc>
        <w:tc>
          <w:tcPr>
            <w:tcW w:w="9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2,127,797</w:t>
            </w: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80" w:type="dxa"/>
            <w:vAlign w:val="bottom"/>
            <w:tcBorders>
              <w:bottom w:val="single" w:sz="8" w:color="EAEAEA"/>
            </w:tcBorders>
            <w:shd w:val="clear" w:color="auto" w:fill="EAEAEA"/>
          </w:tcPr>
          <w:p>
            <w:pPr>
              <w:spacing w:after="0"/>
              <w:rPr>
                <w:sz w:val="6"/>
                <w:szCs w:val="6"/>
                <w:color w:val="auto"/>
              </w:rPr>
            </w:pPr>
          </w:p>
        </w:tc>
        <w:tc>
          <w:tcPr>
            <w:tcW w:w="1360" w:type="dxa"/>
            <w:vAlign w:val="bottom"/>
            <w:tcBorders>
              <w:bottom w:val="single" w:sz="8" w:color="EAEAEA"/>
            </w:tcBorders>
            <w:shd w:val="clear" w:color="auto" w:fill="EAEAEA"/>
          </w:tcPr>
          <w:p>
            <w:pPr>
              <w:spacing w:after="0"/>
              <w:rPr>
                <w:sz w:val="6"/>
                <w:szCs w:val="6"/>
                <w:color w:val="auto"/>
              </w:rPr>
            </w:pPr>
          </w:p>
        </w:tc>
        <w:tc>
          <w:tcPr>
            <w:tcW w:w="1040" w:type="dxa"/>
            <w:vAlign w:val="bottom"/>
            <w:tcBorders>
              <w:bottom w:val="single" w:sz="8" w:color="auto"/>
            </w:tcBorders>
            <w:shd w:val="clear" w:color="auto" w:fill="EAEAEA"/>
          </w:tcPr>
          <w:p>
            <w:pPr>
              <w:spacing w:after="0"/>
              <w:rPr>
                <w:sz w:val="6"/>
                <w:szCs w:val="6"/>
                <w:color w:val="auto"/>
              </w:rPr>
            </w:pPr>
          </w:p>
        </w:tc>
        <w:tc>
          <w:tcPr>
            <w:tcW w:w="1020" w:type="dxa"/>
            <w:vAlign w:val="bottom"/>
            <w:tcBorders>
              <w:bottom w:val="single" w:sz="8" w:color="auto"/>
            </w:tcBorders>
            <w:shd w:val="clear" w:color="auto" w:fill="EAEAEA"/>
          </w:tcPr>
          <w:p>
            <w:pPr>
              <w:spacing w:after="0"/>
              <w:rPr>
                <w:sz w:val="6"/>
                <w:szCs w:val="6"/>
                <w:color w:val="auto"/>
              </w:rPr>
            </w:pPr>
          </w:p>
        </w:tc>
        <w:tc>
          <w:tcPr>
            <w:tcW w:w="820" w:type="dxa"/>
            <w:vAlign w:val="bottom"/>
            <w:tcBorders>
              <w:bottom w:val="single" w:sz="8" w:color="auto"/>
            </w:tcBorders>
            <w:shd w:val="clear" w:color="auto" w:fill="EAEAEA"/>
          </w:tcPr>
          <w:p>
            <w:pPr>
              <w:spacing w:after="0"/>
              <w:rPr>
                <w:sz w:val="6"/>
                <w:szCs w:val="6"/>
                <w:color w:val="auto"/>
              </w:rPr>
            </w:pPr>
          </w:p>
        </w:tc>
        <w:tc>
          <w:tcPr>
            <w:tcW w:w="860" w:type="dxa"/>
            <w:vAlign w:val="bottom"/>
            <w:tcBorders>
              <w:bottom w:val="single" w:sz="8" w:color="auto"/>
            </w:tcBorders>
            <w:shd w:val="clear" w:color="auto" w:fill="EAEAEA"/>
          </w:tcPr>
          <w:p>
            <w:pPr>
              <w:spacing w:after="0"/>
              <w:rPr>
                <w:sz w:val="6"/>
                <w:szCs w:val="6"/>
                <w:color w:val="auto"/>
              </w:rPr>
            </w:pPr>
          </w:p>
        </w:tc>
        <w:tc>
          <w:tcPr>
            <w:tcW w:w="920" w:type="dxa"/>
            <w:vAlign w:val="bottom"/>
            <w:tcBorders>
              <w:bottom w:val="single" w:sz="8" w:color="auto"/>
            </w:tcBorders>
            <w:shd w:val="clear" w:color="auto" w:fill="EAEAEA"/>
          </w:tcPr>
          <w:p>
            <w:pPr>
              <w:spacing w:after="0"/>
              <w:rPr>
                <w:sz w:val="6"/>
                <w:szCs w:val="6"/>
                <w:color w:val="auto"/>
              </w:rPr>
            </w:pPr>
          </w:p>
        </w:tc>
        <w:tc>
          <w:tcPr>
            <w:tcW w:w="800" w:type="dxa"/>
            <w:vAlign w:val="bottom"/>
            <w:tcBorders>
              <w:bottom w:val="single" w:sz="8" w:color="auto"/>
            </w:tcBorders>
            <w:shd w:val="clear" w:color="auto" w:fill="EAEAEA"/>
          </w:tcPr>
          <w:p>
            <w:pPr>
              <w:spacing w:after="0"/>
              <w:rPr>
                <w:sz w:val="6"/>
                <w:szCs w:val="6"/>
                <w:color w:val="auto"/>
              </w:rPr>
            </w:pPr>
          </w:p>
        </w:tc>
        <w:tc>
          <w:tcPr>
            <w:tcW w:w="1080" w:type="dxa"/>
            <w:vAlign w:val="bottom"/>
            <w:tcBorders>
              <w:bottom w:val="single" w:sz="8" w:color="auto"/>
            </w:tcBorders>
            <w:shd w:val="clear" w:color="auto" w:fill="EAEAEA"/>
          </w:tcPr>
          <w:p>
            <w:pPr>
              <w:spacing w:after="0"/>
              <w:rPr>
                <w:sz w:val="6"/>
                <w:szCs w:val="6"/>
                <w:color w:val="auto"/>
              </w:rPr>
            </w:pPr>
          </w:p>
        </w:tc>
        <w:tc>
          <w:tcPr>
            <w:tcW w:w="960" w:type="dxa"/>
            <w:vAlign w:val="bottom"/>
            <w:tcBorders>
              <w:bottom w:val="single" w:sz="8" w:color="auto"/>
            </w:tcBorders>
            <w:shd w:val="clear" w:color="auto" w:fill="EAEAEA"/>
          </w:tcPr>
          <w:p>
            <w:pPr>
              <w:spacing w:after="0"/>
              <w:rPr>
                <w:sz w:val="6"/>
                <w:szCs w:val="6"/>
                <w:color w:val="auto"/>
              </w:rPr>
            </w:pPr>
          </w:p>
        </w:tc>
        <w:tc>
          <w:tcPr>
            <w:tcW w:w="460" w:type="dxa"/>
            <w:vAlign w:val="bottom"/>
            <w:tcBorders>
              <w:bottom w:val="single" w:sz="8" w:color="auto"/>
            </w:tcBorders>
            <w:shd w:val="clear" w:color="auto" w:fill="EAEAEA"/>
          </w:tcPr>
          <w:p>
            <w:pPr>
              <w:spacing w:after="0"/>
              <w:rPr>
                <w:sz w:val="6"/>
                <w:szCs w:val="6"/>
                <w:color w:val="auto"/>
              </w:rPr>
            </w:pPr>
          </w:p>
        </w:tc>
        <w:tc>
          <w:tcPr>
            <w:tcW w:w="920" w:type="dxa"/>
            <w:vAlign w:val="bottom"/>
            <w:tcBorders>
              <w:bottom w:val="single" w:sz="8" w:color="auto"/>
            </w:tcBorders>
            <w:shd w:val="clear" w:color="auto" w:fill="EAEAEA"/>
          </w:tcPr>
          <w:p>
            <w:pPr>
              <w:spacing w:after="0"/>
              <w:rPr>
                <w:sz w:val="6"/>
                <w:szCs w:val="6"/>
                <w:color w:val="auto"/>
              </w:rPr>
            </w:pPr>
          </w:p>
        </w:tc>
        <w:tc>
          <w:tcPr>
            <w:tcW w:w="820" w:type="dxa"/>
            <w:vAlign w:val="bottom"/>
            <w:tcBorders>
              <w:bottom w:val="single" w:sz="8" w:color="auto"/>
            </w:tcBorders>
            <w:shd w:val="clear" w:color="auto" w:fill="EAEAEA"/>
          </w:tcPr>
          <w:p>
            <w:pPr>
              <w:spacing w:after="0"/>
              <w:rPr>
                <w:sz w:val="6"/>
                <w:szCs w:val="6"/>
                <w:color w:val="auto"/>
              </w:rPr>
            </w:pPr>
          </w:p>
        </w:tc>
        <w:tc>
          <w:tcPr>
            <w:tcW w:w="100" w:type="dxa"/>
            <w:vAlign w:val="bottom"/>
            <w:tcBorders>
              <w:bottom w:val="single" w:sz="8" w:color="auto"/>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80" w:type="dxa"/>
            <w:vAlign w:val="bottom"/>
            <w:shd w:val="clear" w:color="auto" w:fill="EAEAEA"/>
          </w:tcPr>
          <w:p>
            <w:pPr>
              <w:spacing w:after="0"/>
              <w:rPr>
                <w:sz w:val="18"/>
                <w:szCs w:val="18"/>
                <w:color w:val="auto"/>
              </w:rPr>
            </w:pPr>
          </w:p>
        </w:tc>
        <w:tc>
          <w:tcPr>
            <w:tcW w:w="1360" w:type="dxa"/>
            <w:vAlign w:val="bottom"/>
            <w:shd w:val="clear" w:color="auto" w:fill="EAEAEA"/>
          </w:tcPr>
          <w:p>
            <w:pPr>
              <w:spacing w:after="0"/>
              <w:rPr>
                <w:sz w:val="18"/>
                <w:szCs w:val="18"/>
                <w:color w:val="auto"/>
              </w:rPr>
            </w:pPr>
          </w:p>
        </w:tc>
        <w:tc>
          <w:tcPr>
            <w:tcW w:w="1040" w:type="dxa"/>
            <w:vAlign w:val="bottom"/>
            <w:shd w:val="clear" w:color="auto" w:fill="EAEAEA"/>
          </w:tcPr>
          <w:p>
            <w:pPr>
              <w:jc w:val="center"/>
              <w:spacing w:after="0"/>
              <w:rPr>
                <w:sz w:val="20"/>
                <w:szCs w:val="20"/>
                <w:color w:val="auto"/>
              </w:rPr>
            </w:pPr>
            <w:r>
              <w:rPr>
                <w:rFonts w:ascii="Arial" w:cs="Arial" w:eastAsia="Arial" w:hAnsi="Arial"/>
                <w:sz w:val="13"/>
                <w:szCs w:val="13"/>
                <w:color w:val="auto"/>
              </w:rPr>
              <w:t>RSU</w:t>
            </w:r>
          </w:p>
        </w:tc>
        <w:tc>
          <w:tcPr>
            <w:tcW w:w="1020" w:type="dxa"/>
            <w:vAlign w:val="bottom"/>
            <w:shd w:val="clear" w:color="auto" w:fill="EAEAEA"/>
          </w:tcPr>
          <w:p>
            <w:pPr>
              <w:jc w:val="center"/>
              <w:spacing w:after="0"/>
              <w:rPr>
                <w:sz w:val="20"/>
                <w:szCs w:val="20"/>
                <w:color w:val="auto"/>
              </w:rPr>
            </w:pPr>
            <w:r>
              <w:rPr>
                <w:rFonts w:ascii="Arial" w:cs="Arial" w:eastAsia="Arial" w:hAnsi="Arial"/>
                <w:sz w:val="13"/>
                <w:szCs w:val="13"/>
                <w:color w:val="auto"/>
                <w:w w:val="94"/>
              </w:rPr>
              <w:t>3/3/2023</w:t>
            </w:r>
          </w:p>
        </w:tc>
        <w:tc>
          <w:tcPr>
            <w:tcW w:w="820" w:type="dxa"/>
            <w:vAlign w:val="bottom"/>
            <w:shd w:val="clear" w:color="auto" w:fill="EAEAEA"/>
          </w:tcPr>
          <w:p>
            <w:pPr>
              <w:jc w:val="center"/>
              <w:spacing w:after="0"/>
              <w:rPr>
                <w:sz w:val="20"/>
                <w:szCs w:val="20"/>
                <w:color w:val="auto"/>
              </w:rPr>
            </w:pPr>
            <w:r>
              <w:rPr>
                <w:rFonts w:ascii="Arial" w:cs="Arial" w:eastAsia="Arial" w:hAnsi="Arial"/>
                <w:sz w:val="13"/>
                <w:szCs w:val="13"/>
                <w:color w:val="auto"/>
                <w:w w:val="96"/>
              </w:rPr>
              <w:t>2/15/2022</w:t>
            </w:r>
          </w:p>
        </w:tc>
        <w:tc>
          <w:tcPr>
            <w:tcW w:w="8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shd w:val="clear" w:color="auto" w:fill="EAEAEA"/>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shd w:val="clear" w:color="auto" w:fill="EAEAEA"/>
          </w:tcPr>
          <w:p>
            <w:pPr>
              <w:jc w:val="right"/>
              <w:ind w:right="317"/>
              <w:spacing w:after="0"/>
              <w:rPr>
                <w:sz w:val="20"/>
                <w:szCs w:val="20"/>
                <w:color w:val="auto"/>
              </w:rPr>
            </w:pPr>
            <w:r>
              <w:rPr>
                <w:rFonts w:ascii="Arial" w:cs="Arial" w:eastAsia="Arial" w:hAnsi="Arial"/>
                <w:sz w:val="13"/>
                <w:szCs w:val="13"/>
                <w:color w:val="auto"/>
              </w:rPr>
              <w:t>—</w:t>
            </w:r>
          </w:p>
        </w:tc>
        <w:tc>
          <w:tcPr>
            <w:tcW w:w="4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13,456</w:t>
            </w:r>
          </w:p>
        </w:tc>
        <w:tc>
          <w:tcPr>
            <w:tcW w:w="8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1,966,191</w:t>
            </w: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80" w:type="dxa"/>
            <w:vAlign w:val="bottom"/>
            <w:shd w:val="clear" w:color="auto" w:fill="EAEAEA"/>
          </w:tcPr>
          <w:p>
            <w:pPr>
              <w:spacing w:after="0"/>
              <w:rPr>
                <w:sz w:val="7"/>
                <w:szCs w:val="7"/>
                <w:color w:val="auto"/>
              </w:rPr>
            </w:pPr>
          </w:p>
        </w:tc>
        <w:tc>
          <w:tcPr>
            <w:tcW w:w="1360" w:type="dxa"/>
            <w:vAlign w:val="bottom"/>
            <w:shd w:val="clear" w:color="auto" w:fill="EAEAEA"/>
          </w:tcPr>
          <w:p>
            <w:pPr>
              <w:spacing w:after="0"/>
              <w:rPr>
                <w:sz w:val="7"/>
                <w:szCs w:val="7"/>
                <w:color w:val="auto"/>
              </w:rPr>
            </w:pPr>
          </w:p>
        </w:tc>
        <w:tc>
          <w:tcPr>
            <w:tcW w:w="1040" w:type="dxa"/>
            <w:vAlign w:val="bottom"/>
            <w:shd w:val="clear" w:color="auto" w:fill="EAEAEA"/>
          </w:tcPr>
          <w:p>
            <w:pPr>
              <w:spacing w:after="0"/>
              <w:rPr>
                <w:sz w:val="7"/>
                <w:szCs w:val="7"/>
                <w:color w:val="auto"/>
              </w:rPr>
            </w:pPr>
          </w:p>
        </w:tc>
        <w:tc>
          <w:tcPr>
            <w:tcW w:w="1020" w:type="dxa"/>
            <w:vAlign w:val="bottom"/>
            <w:shd w:val="clear" w:color="auto" w:fill="EAEAEA"/>
          </w:tcPr>
          <w:p>
            <w:pPr>
              <w:spacing w:after="0"/>
              <w:rPr>
                <w:sz w:val="7"/>
                <w:szCs w:val="7"/>
                <w:color w:val="auto"/>
              </w:rPr>
            </w:pPr>
          </w:p>
        </w:tc>
        <w:tc>
          <w:tcPr>
            <w:tcW w:w="820" w:type="dxa"/>
            <w:vAlign w:val="bottom"/>
            <w:shd w:val="clear" w:color="auto" w:fill="EAEAEA"/>
          </w:tcPr>
          <w:p>
            <w:pPr>
              <w:spacing w:after="0"/>
              <w:rPr>
                <w:sz w:val="7"/>
                <w:szCs w:val="7"/>
                <w:color w:val="auto"/>
              </w:rPr>
            </w:pPr>
          </w:p>
        </w:tc>
        <w:tc>
          <w:tcPr>
            <w:tcW w:w="860" w:type="dxa"/>
            <w:vAlign w:val="bottom"/>
            <w:shd w:val="clear" w:color="auto" w:fill="EAEAEA"/>
          </w:tcPr>
          <w:p>
            <w:pPr>
              <w:spacing w:after="0"/>
              <w:rPr>
                <w:sz w:val="7"/>
                <w:szCs w:val="7"/>
                <w:color w:val="auto"/>
              </w:rPr>
            </w:pPr>
          </w:p>
        </w:tc>
        <w:tc>
          <w:tcPr>
            <w:tcW w:w="920" w:type="dxa"/>
            <w:vAlign w:val="bottom"/>
            <w:shd w:val="clear" w:color="auto" w:fill="EAEAEA"/>
          </w:tcPr>
          <w:p>
            <w:pPr>
              <w:spacing w:after="0"/>
              <w:rPr>
                <w:sz w:val="7"/>
                <w:szCs w:val="7"/>
                <w:color w:val="auto"/>
              </w:rPr>
            </w:pPr>
          </w:p>
        </w:tc>
        <w:tc>
          <w:tcPr>
            <w:tcW w:w="800" w:type="dxa"/>
            <w:vAlign w:val="bottom"/>
            <w:shd w:val="clear" w:color="auto" w:fill="EAEAEA"/>
          </w:tcPr>
          <w:p>
            <w:pPr>
              <w:spacing w:after="0"/>
              <w:rPr>
                <w:sz w:val="7"/>
                <w:szCs w:val="7"/>
                <w:color w:val="auto"/>
              </w:rPr>
            </w:pPr>
          </w:p>
        </w:tc>
        <w:tc>
          <w:tcPr>
            <w:tcW w:w="1080" w:type="dxa"/>
            <w:vAlign w:val="bottom"/>
            <w:shd w:val="clear" w:color="auto" w:fill="EAEAEA"/>
          </w:tcPr>
          <w:p>
            <w:pPr>
              <w:spacing w:after="0"/>
              <w:rPr>
                <w:sz w:val="7"/>
                <w:szCs w:val="7"/>
                <w:color w:val="auto"/>
              </w:rPr>
            </w:pPr>
          </w:p>
        </w:tc>
        <w:tc>
          <w:tcPr>
            <w:tcW w:w="960" w:type="dxa"/>
            <w:vAlign w:val="bottom"/>
            <w:shd w:val="clear" w:color="auto" w:fill="EAEAEA"/>
          </w:tcPr>
          <w:p>
            <w:pPr>
              <w:spacing w:after="0"/>
              <w:rPr>
                <w:sz w:val="7"/>
                <w:szCs w:val="7"/>
                <w:color w:val="auto"/>
              </w:rPr>
            </w:pPr>
          </w:p>
        </w:tc>
        <w:tc>
          <w:tcPr>
            <w:tcW w:w="460" w:type="dxa"/>
            <w:vAlign w:val="bottom"/>
            <w:shd w:val="clear" w:color="auto" w:fill="EAEAEA"/>
          </w:tcPr>
          <w:p>
            <w:pPr>
              <w:spacing w:after="0"/>
              <w:rPr>
                <w:sz w:val="7"/>
                <w:szCs w:val="7"/>
                <w:color w:val="auto"/>
              </w:rPr>
            </w:pPr>
          </w:p>
        </w:tc>
        <w:tc>
          <w:tcPr>
            <w:tcW w:w="920" w:type="dxa"/>
            <w:vAlign w:val="bottom"/>
            <w:shd w:val="clear" w:color="auto" w:fill="EAEAEA"/>
          </w:tcPr>
          <w:p>
            <w:pPr>
              <w:spacing w:after="0"/>
              <w:rPr>
                <w:sz w:val="7"/>
                <w:szCs w:val="7"/>
                <w:color w:val="auto"/>
              </w:rPr>
            </w:pPr>
          </w:p>
        </w:tc>
        <w:tc>
          <w:tcPr>
            <w:tcW w:w="920" w:type="dxa"/>
            <w:vAlign w:val="bottom"/>
            <w:gridSpan w:val="2"/>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6"/>
              </w:rPr>
              <w:t>Annual Cash</w:t>
            </w:r>
          </w:p>
        </w:tc>
        <w:tc>
          <w:tcPr>
            <w:tcW w:w="10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343,750</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1,031,250</w:t>
            </w:r>
          </w:p>
        </w:tc>
        <w:tc>
          <w:tcPr>
            <w:tcW w:w="10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3"/>
                <w:szCs w:val="13"/>
                <w:b w:val="1"/>
                <w:bCs w:val="1"/>
                <w:color w:val="auto"/>
              </w:rPr>
              <w:t>Kim Sablich</w:t>
            </w:r>
          </w:p>
        </w:tc>
        <w:tc>
          <w:tcPr>
            <w:tcW w:w="1040" w:type="dxa"/>
            <w:vAlign w:val="bottom"/>
          </w:tcPr>
          <w:p>
            <w:pPr>
              <w:jc w:val="center"/>
              <w:spacing w:after="0"/>
              <w:rPr>
                <w:sz w:val="20"/>
                <w:szCs w:val="20"/>
                <w:color w:val="auto"/>
              </w:rPr>
            </w:pPr>
            <w:r>
              <w:rPr>
                <w:rFonts w:ascii="Arial" w:cs="Arial" w:eastAsia="Arial" w:hAnsi="Arial"/>
                <w:sz w:val="13"/>
                <w:szCs w:val="13"/>
                <w:color w:val="auto"/>
                <w:w w:val="97"/>
              </w:rPr>
              <w:t>PSU</w:t>
            </w:r>
          </w:p>
        </w:tc>
        <w:tc>
          <w:tcPr>
            <w:tcW w:w="1020" w:type="dxa"/>
            <w:vAlign w:val="bottom"/>
          </w:tcPr>
          <w:p>
            <w:pPr>
              <w:jc w:val="center"/>
              <w:spacing w:after="0"/>
              <w:rPr>
                <w:sz w:val="20"/>
                <w:szCs w:val="20"/>
                <w:color w:val="auto"/>
              </w:rPr>
            </w:pPr>
            <w:r>
              <w:rPr>
                <w:rFonts w:ascii="Arial" w:cs="Arial" w:eastAsia="Arial" w:hAnsi="Arial"/>
                <w:sz w:val="13"/>
                <w:szCs w:val="13"/>
                <w:color w:val="auto"/>
                <w:w w:val="94"/>
              </w:rPr>
              <w:t>3/3/2023</w:t>
            </w:r>
          </w:p>
        </w:tc>
        <w:tc>
          <w:tcPr>
            <w:tcW w:w="820" w:type="dxa"/>
            <w:vAlign w:val="bottom"/>
          </w:tcPr>
          <w:p>
            <w:pPr>
              <w:jc w:val="center"/>
              <w:spacing w:after="0"/>
              <w:rPr>
                <w:sz w:val="20"/>
                <w:szCs w:val="20"/>
                <w:color w:val="auto"/>
              </w:rPr>
            </w:pPr>
            <w:r>
              <w:rPr>
                <w:rFonts w:ascii="Arial" w:cs="Arial" w:eastAsia="Arial" w:hAnsi="Arial"/>
                <w:sz w:val="13"/>
                <w:szCs w:val="13"/>
                <w:color w:val="auto"/>
                <w:w w:val="96"/>
              </w:rPr>
              <w:t>2/15/2023</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57"/>
              <w:spacing w:after="0"/>
              <w:rPr>
                <w:sz w:val="20"/>
                <w:szCs w:val="20"/>
                <w:color w:val="auto"/>
              </w:rPr>
            </w:pPr>
            <w:r>
              <w:rPr>
                <w:rFonts w:ascii="Arial" w:cs="Arial" w:eastAsia="Arial" w:hAnsi="Arial"/>
                <w:sz w:val="13"/>
                <w:szCs w:val="13"/>
                <w:color w:val="auto"/>
              </w:rPr>
              <w:t>3,911</w:t>
            </w:r>
          </w:p>
        </w:tc>
        <w:tc>
          <w:tcPr>
            <w:tcW w:w="960" w:type="dxa"/>
            <w:vAlign w:val="bottom"/>
          </w:tcPr>
          <w:p>
            <w:pPr>
              <w:jc w:val="right"/>
              <w:ind w:right="317"/>
              <w:spacing w:after="0"/>
              <w:rPr>
                <w:sz w:val="20"/>
                <w:szCs w:val="20"/>
                <w:color w:val="auto"/>
              </w:rPr>
            </w:pPr>
            <w:r>
              <w:rPr>
                <w:rFonts w:ascii="Arial" w:cs="Arial" w:eastAsia="Arial" w:hAnsi="Arial"/>
                <w:sz w:val="13"/>
                <w:szCs w:val="13"/>
                <w:color w:val="auto"/>
              </w:rPr>
              <w:t>10,429</w:t>
            </w:r>
          </w:p>
        </w:tc>
        <w:tc>
          <w:tcPr>
            <w:tcW w:w="460" w:type="dxa"/>
            <w:vAlign w:val="bottom"/>
          </w:tcPr>
          <w:p>
            <w:pPr>
              <w:jc w:val="right"/>
              <w:spacing w:after="0"/>
              <w:rPr>
                <w:sz w:val="20"/>
                <w:szCs w:val="20"/>
                <w:color w:val="auto"/>
              </w:rPr>
            </w:pPr>
            <w:r>
              <w:rPr>
                <w:rFonts w:ascii="Arial" w:cs="Arial" w:eastAsia="Arial" w:hAnsi="Arial"/>
                <w:sz w:val="13"/>
                <w:szCs w:val="13"/>
                <w:color w:val="auto"/>
              </w:rPr>
              <w:t>20,858</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1,649,138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rPr>
              <w:t>RSU</w:t>
            </w:r>
          </w:p>
        </w:tc>
        <w:tc>
          <w:tcPr>
            <w:tcW w:w="1020" w:type="dxa"/>
            <w:vAlign w:val="bottom"/>
          </w:tcPr>
          <w:p>
            <w:pPr>
              <w:jc w:val="center"/>
              <w:spacing w:after="0"/>
              <w:rPr>
                <w:sz w:val="20"/>
                <w:szCs w:val="20"/>
                <w:color w:val="auto"/>
              </w:rPr>
            </w:pPr>
            <w:r>
              <w:rPr>
                <w:rFonts w:ascii="Arial" w:cs="Arial" w:eastAsia="Arial" w:hAnsi="Arial"/>
                <w:sz w:val="13"/>
                <w:szCs w:val="13"/>
                <w:color w:val="auto"/>
                <w:w w:val="94"/>
              </w:rPr>
              <w:t>3/3/2023</w:t>
            </w:r>
          </w:p>
        </w:tc>
        <w:tc>
          <w:tcPr>
            <w:tcW w:w="820" w:type="dxa"/>
            <w:vAlign w:val="bottom"/>
          </w:tcPr>
          <w:p>
            <w:pPr>
              <w:jc w:val="center"/>
              <w:spacing w:after="0"/>
              <w:rPr>
                <w:sz w:val="20"/>
                <w:szCs w:val="20"/>
                <w:color w:val="auto"/>
              </w:rPr>
            </w:pPr>
            <w:r>
              <w:rPr>
                <w:rFonts w:ascii="Arial" w:cs="Arial" w:eastAsia="Arial" w:hAnsi="Arial"/>
                <w:sz w:val="13"/>
                <w:szCs w:val="13"/>
                <w:color w:val="auto"/>
                <w:w w:val="96"/>
              </w:rPr>
              <w:t>2/15/2023</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10,429</w:t>
            </w:r>
          </w:p>
        </w:tc>
        <w:tc>
          <w:tcPr>
            <w:tcW w:w="820" w:type="dxa"/>
            <w:vAlign w:val="bottom"/>
          </w:tcPr>
          <w:p>
            <w:pPr>
              <w:jc w:val="right"/>
              <w:spacing w:after="0"/>
              <w:rPr>
                <w:sz w:val="20"/>
                <w:szCs w:val="20"/>
                <w:color w:val="auto"/>
              </w:rPr>
            </w:pPr>
            <w:r>
              <w:rPr>
                <w:rFonts w:ascii="Arial" w:cs="Arial" w:eastAsia="Arial" w:hAnsi="Arial"/>
                <w:sz w:val="13"/>
                <w:szCs w:val="13"/>
                <w:color w:val="auto"/>
              </w:rPr>
              <w:t>1,523,885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80" w:type="dxa"/>
            <w:vAlign w:val="bottom"/>
            <w:tcBorders>
              <w:bottom w:val="single" w:sz="8" w:color="852166"/>
            </w:tcBorders>
          </w:tcPr>
          <w:p>
            <w:pPr>
              <w:spacing w:after="0"/>
              <w:rPr>
                <w:sz w:val="7"/>
                <w:szCs w:val="7"/>
                <w:color w:val="auto"/>
              </w:rPr>
            </w:pPr>
          </w:p>
        </w:tc>
        <w:tc>
          <w:tcPr>
            <w:tcW w:w="1360" w:type="dxa"/>
            <w:vAlign w:val="bottom"/>
            <w:tcBorders>
              <w:bottom w:val="single" w:sz="8" w:color="852166"/>
            </w:tcBorders>
          </w:tcPr>
          <w:p>
            <w:pPr>
              <w:spacing w:after="0"/>
              <w:rPr>
                <w:sz w:val="7"/>
                <w:szCs w:val="7"/>
                <w:color w:val="auto"/>
              </w:rPr>
            </w:pPr>
          </w:p>
        </w:tc>
        <w:tc>
          <w:tcPr>
            <w:tcW w:w="1040" w:type="dxa"/>
            <w:vAlign w:val="bottom"/>
            <w:tcBorders>
              <w:bottom w:val="single" w:sz="8" w:color="852166"/>
            </w:tcBorders>
          </w:tcPr>
          <w:p>
            <w:pPr>
              <w:spacing w:after="0"/>
              <w:rPr>
                <w:sz w:val="7"/>
                <w:szCs w:val="7"/>
                <w:color w:val="auto"/>
              </w:rPr>
            </w:pPr>
          </w:p>
        </w:tc>
        <w:tc>
          <w:tcPr>
            <w:tcW w:w="1020" w:type="dxa"/>
            <w:vAlign w:val="bottom"/>
            <w:tcBorders>
              <w:bottom w:val="single" w:sz="8" w:color="852166"/>
            </w:tcBorders>
          </w:tcPr>
          <w:p>
            <w:pPr>
              <w:spacing w:after="0"/>
              <w:rPr>
                <w:sz w:val="7"/>
                <w:szCs w:val="7"/>
                <w:color w:val="auto"/>
              </w:rPr>
            </w:pPr>
          </w:p>
        </w:tc>
        <w:tc>
          <w:tcPr>
            <w:tcW w:w="820" w:type="dxa"/>
            <w:vAlign w:val="bottom"/>
            <w:tcBorders>
              <w:bottom w:val="single" w:sz="8" w:color="852166"/>
            </w:tcBorders>
          </w:tcPr>
          <w:p>
            <w:pPr>
              <w:spacing w:after="0"/>
              <w:rPr>
                <w:sz w:val="7"/>
                <w:szCs w:val="7"/>
                <w:color w:val="auto"/>
              </w:rPr>
            </w:pPr>
          </w:p>
        </w:tc>
        <w:tc>
          <w:tcPr>
            <w:tcW w:w="860" w:type="dxa"/>
            <w:vAlign w:val="bottom"/>
            <w:tcBorders>
              <w:bottom w:val="single" w:sz="8" w:color="852166"/>
            </w:tcBorders>
          </w:tcPr>
          <w:p>
            <w:pPr>
              <w:spacing w:after="0"/>
              <w:rPr>
                <w:sz w:val="7"/>
                <w:szCs w:val="7"/>
                <w:color w:val="auto"/>
              </w:rPr>
            </w:pPr>
          </w:p>
        </w:tc>
        <w:tc>
          <w:tcPr>
            <w:tcW w:w="920" w:type="dxa"/>
            <w:vAlign w:val="bottom"/>
            <w:tcBorders>
              <w:bottom w:val="single" w:sz="8" w:color="852166"/>
            </w:tcBorders>
          </w:tcPr>
          <w:p>
            <w:pPr>
              <w:spacing w:after="0"/>
              <w:rPr>
                <w:sz w:val="7"/>
                <w:szCs w:val="7"/>
                <w:color w:val="auto"/>
              </w:rPr>
            </w:pPr>
          </w:p>
        </w:tc>
        <w:tc>
          <w:tcPr>
            <w:tcW w:w="800" w:type="dxa"/>
            <w:vAlign w:val="bottom"/>
            <w:tcBorders>
              <w:bottom w:val="single" w:sz="8" w:color="852166"/>
            </w:tcBorders>
          </w:tcPr>
          <w:p>
            <w:pPr>
              <w:spacing w:after="0"/>
              <w:rPr>
                <w:sz w:val="7"/>
                <w:szCs w:val="7"/>
                <w:color w:val="auto"/>
              </w:rPr>
            </w:pPr>
          </w:p>
        </w:tc>
        <w:tc>
          <w:tcPr>
            <w:tcW w:w="1080" w:type="dxa"/>
            <w:vAlign w:val="bottom"/>
            <w:tcBorders>
              <w:bottom w:val="single" w:sz="8" w:color="852166"/>
            </w:tcBorders>
          </w:tcPr>
          <w:p>
            <w:pPr>
              <w:spacing w:after="0"/>
              <w:rPr>
                <w:sz w:val="7"/>
                <w:szCs w:val="7"/>
                <w:color w:val="auto"/>
              </w:rPr>
            </w:pPr>
          </w:p>
        </w:tc>
        <w:tc>
          <w:tcPr>
            <w:tcW w:w="960" w:type="dxa"/>
            <w:vAlign w:val="bottom"/>
            <w:tcBorders>
              <w:bottom w:val="single" w:sz="8" w:color="852166"/>
            </w:tcBorders>
          </w:tcPr>
          <w:p>
            <w:pPr>
              <w:spacing w:after="0"/>
              <w:rPr>
                <w:sz w:val="7"/>
                <w:szCs w:val="7"/>
                <w:color w:val="auto"/>
              </w:rPr>
            </w:pPr>
          </w:p>
        </w:tc>
        <w:tc>
          <w:tcPr>
            <w:tcW w:w="460" w:type="dxa"/>
            <w:vAlign w:val="bottom"/>
            <w:tcBorders>
              <w:bottom w:val="single" w:sz="8" w:color="852166"/>
            </w:tcBorders>
          </w:tcPr>
          <w:p>
            <w:pPr>
              <w:spacing w:after="0"/>
              <w:rPr>
                <w:sz w:val="7"/>
                <w:szCs w:val="7"/>
                <w:color w:val="auto"/>
              </w:rPr>
            </w:pPr>
          </w:p>
        </w:tc>
        <w:tc>
          <w:tcPr>
            <w:tcW w:w="920" w:type="dxa"/>
            <w:vAlign w:val="bottom"/>
            <w:tcBorders>
              <w:bottom w:val="single" w:sz="8" w:color="852166"/>
            </w:tcBorders>
          </w:tcPr>
          <w:p>
            <w:pPr>
              <w:spacing w:after="0"/>
              <w:rPr>
                <w:sz w:val="7"/>
                <w:szCs w:val="7"/>
                <w:color w:val="auto"/>
              </w:rPr>
            </w:pPr>
          </w:p>
        </w:tc>
        <w:tc>
          <w:tcPr>
            <w:tcW w:w="820" w:type="dxa"/>
            <w:vAlign w:val="bottom"/>
            <w:tcBorders>
              <w:bottom w:val="single" w:sz="8" w:color="852166"/>
            </w:tcBorders>
          </w:tcPr>
          <w:p>
            <w:pPr>
              <w:spacing w:after="0"/>
              <w:rPr>
                <w:sz w:val="7"/>
                <w:szCs w:val="7"/>
                <w:color w:val="auto"/>
              </w:rPr>
            </w:pPr>
          </w:p>
        </w:tc>
        <w:tc>
          <w:tcPr>
            <w:tcW w:w="100" w:type="dxa"/>
            <w:vAlign w:val="bottom"/>
            <w:tcBorders>
              <w:bottom w:val="single" w:sz="8" w:color="852166"/>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-4885690</wp:posOffset>
            </wp:positionV>
            <wp:extent cx="32315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119" w:lineRule="exact"/>
        <w:rPr>
          <w:sz w:val="20"/>
          <w:szCs w:val="20"/>
          <w:color w:val="auto"/>
        </w:rPr>
      </w:pPr>
    </w:p>
    <w:p>
      <w:pPr>
        <w:ind w:left="340" w:hanging="332"/>
        <w:spacing w:after="0" w:line="282" w:lineRule="auto"/>
        <w:tabs>
          <w:tab w:leader="none" w:pos="327"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This column sets forth the target and maximum bonus amount for each NEO for the year ended December 31, 2023 under our performance bonus plan. There are no threshold amounts for each individual officer established under our performance bonus plan. The amounts shown under “Target” reflect the applicable target payment under the performance bonus plan if (i) we achieved 100% of the pre-determined 2023 corporate goals established by our compensation committee, and (ii) as applicable, each NEO’s individual performance percentage was assessed at 100% by our compensation committee with respect to his or her contributions toward the achievement of our corporate goals. The amounts shown under “Maximum” reflect the applicable maximum payment under our performance bonus plan if (i) we achieved maximum pre-determined 2023 corporate goals established by our compensation committee, and (ii) as applicable, each NEO achieved maximum individual performance as assessed by our compensation committee with respect to his or her contributions toward the achievement of our corporate goals; provided, however, that the 2023 bonus payable under the performance bonus plan may not exceed 200% of the officer’s target bonus in the case of the CEO (whose bonus is determined solely based on corporate objective achievement) and 300% for each other NEO. Target bonuses were set as a percentage of each NEO’s base salary rate as of December 31, 2023 and originally were 110% for Mr. Cozadd, 75% for Mr. Swisher, 60% for each of Ms. Galá and Dr. Iannone, 55% for Ms. Patil and Ms. Sablich and 45% for Ms. Carr. Ms. Galá’s target bonus percentage increased to 75% as of October 1, 2023 in connection with Ms. Galá’s appointment as President</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406"/>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73" w:name="page74"/>
    <w:bookmarkEnd w:id="73"/>
    <w:p>
      <w:pPr>
        <w:ind w:left="340"/>
        <w:spacing w:after="0" w:line="289" w:lineRule="auto"/>
        <w:rPr>
          <w:sz w:val="20"/>
          <w:szCs w:val="20"/>
          <w:color w:val="auto"/>
        </w:rPr>
      </w:pPr>
      <w:r>
        <w:rPr>
          <w:rFonts w:ascii="Arial" w:cs="Arial" w:eastAsia="Arial" w:hAnsi="Arial"/>
          <w:sz w:val="14"/>
          <w:szCs w:val="14"/>
          <w:color w:val="auto"/>
        </w:rPr>
        <w:t>and COO. The dollar value of the actual bonus award earned for the year ended December 31, 2023 for each NEO is set forth in the Summary Compensation Table above. As such, the amounts set forth in this column do not represent either additional or actual compensation earned by the NEOs for the year ended December 31, 2023. For a description of the performance bonus plan, see “</w:t>
      </w:r>
      <w:r>
        <w:rPr>
          <w:rFonts w:ascii="Arial" w:cs="Arial" w:eastAsia="Arial" w:hAnsi="Arial"/>
          <w:sz w:val="14"/>
          <w:szCs w:val="14"/>
          <w:i w:val="1"/>
          <w:iCs w:val="1"/>
          <w:color w:val="auto"/>
        </w:rPr>
        <w:t>Compensation Discussion and Analysis—Goals for and Achievement of 2023 Performance-Based Compensation—2023</w:t>
      </w:r>
      <w:r>
        <w:rPr>
          <w:rFonts w:ascii="Arial" w:cs="Arial" w:eastAsia="Arial" w:hAnsi="Arial"/>
          <w:sz w:val="14"/>
          <w:szCs w:val="14"/>
          <w:color w:val="auto"/>
        </w:rPr>
        <w:t xml:space="preserve"> </w:t>
      </w:r>
      <w:r>
        <w:rPr>
          <w:rFonts w:ascii="Arial" w:cs="Arial" w:eastAsia="Arial" w:hAnsi="Arial"/>
          <w:sz w:val="14"/>
          <w:szCs w:val="14"/>
          <w:i w:val="1"/>
          <w:iCs w:val="1"/>
          <w:color w:val="auto"/>
        </w:rPr>
        <w:t>Performance Bonus Program</w:t>
      </w:r>
      <w:r>
        <w:rPr>
          <w:rFonts w:ascii="Arial" w:cs="Arial" w:eastAsia="Arial" w:hAnsi="Arial"/>
          <w:sz w:val="14"/>
          <w:szCs w:val="14"/>
          <w:color w:val="auto"/>
        </w:rPr>
        <w:t>” above.</w:t>
      </w:r>
    </w:p>
    <w:p>
      <w:pPr>
        <w:spacing w:after="0" w:line="21" w:lineRule="exact"/>
        <w:rPr>
          <w:sz w:val="20"/>
          <w:szCs w:val="20"/>
          <w:color w:val="auto"/>
        </w:rPr>
      </w:pPr>
    </w:p>
    <w:p>
      <w:pPr>
        <w:ind w:left="340" w:right="60" w:hanging="332"/>
        <w:spacing w:after="0" w:line="283" w:lineRule="auto"/>
        <w:tabs>
          <w:tab w:leader="none" w:pos="327" w:val="left"/>
        </w:tabs>
        <w:numPr>
          <w:ilvl w:val="0"/>
          <w:numId w:val="75"/>
        </w:numPr>
        <w:rPr>
          <w:rFonts w:ascii="Arial" w:cs="Arial" w:eastAsia="Arial" w:hAnsi="Arial"/>
          <w:sz w:val="14"/>
          <w:szCs w:val="14"/>
          <w:color w:val="auto"/>
        </w:rPr>
      </w:pPr>
      <w:r>
        <w:rPr>
          <w:rFonts w:ascii="Arial" w:cs="Arial" w:eastAsia="Arial" w:hAnsi="Arial"/>
          <w:sz w:val="14"/>
          <w:szCs w:val="14"/>
          <w:color w:val="auto"/>
        </w:rPr>
        <w:t>Performance-based PSU awards were granted to our NEOs on March 3, 2023 pursuant to the 2011 Plan. Each of the PSU awards vests depending on the achievement of certain performance criteria to be assessed over a performance period of January 1, 2023 to December 31, 2025. Following the determination of our achievement with respect to the performance criteria, the amount of shares awarded will be subject to adjustment based on the application of a TSR modifier, which depends on our relative TSR performance against the constituents of the Russell 1000 pharmaceutical and biotechnology component companies over the same three-year performance period. The amounts shown reflect the number of shares that may be earned for threshold performance at 50% of target, the number of shares that may be earned for target performance at 100% of target and the number of shares that may be earned for maximum performance at 160% of target and, in each case, an assumed TSR modifier of 75% for threshold, 100% for target and 125% for maximum performance. For additional information on performance-based PSUs granted to our NEOs in 2023, see “</w:t>
      </w:r>
      <w:r>
        <w:rPr>
          <w:rFonts w:ascii="Arial" w:cs="Arial" w:eastAsia="Arial" w:hAnsi="Arial"/>
          <w:sz w:val="14"/>
          <w:szCs w:val="14"/>
          <w:i w:val="1"/>
          <w:iCs w:val="1"/>
          <w:color w:val="auto"/>
        </w:rPr>
        <w:t>Compensation Discussion and Analysis—2023 Compensation Decisions for Our Named Executive Officers—Long-Term Incentive Program</w:t>
      </w:r>
      <w:r>
        <w:rPr>
          <w:rFonts w:ascii="Arial" w:cs="Arial" w:eastAsia="Arial" w:hAnsi="Arial"/>
          <w:sz w:val="14"/>
          <w:szCs w:val="14"/>
          <w:color w:val="auto"/>
        </w:rPr>
        <w:t>” and “</w:t>
      </w:r>
      <w:r>
        <w:rPr>
          <w:rFonts w:ascii="Arial" w:cs="Arial" w:eastAsia="Arial" w:hAnsi="Arial"/>
          <w:sz w:val="14"/>
          <w:szCs w:val="14"/>
          <w:i w:val="1"/>
          <w:iCs w:val="1"/>
          <w:color w:val="auto"/>
        </w:rPr>
        <w:t>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Discussion and Analysis—Goals for and Achievement of 2023 Performance-Based Compensation—2023 – 2025 PSU Program</w:t>
      </w:r>
      <w:r>
        <w:rPr>
          <w:rFonts w:ascii="Arial" w:cs="Arial" w:eastAsia="Arial" w:hAnsi="Arial"/>
          <w:sz w:val="14"/>
          <w:szCs w:val="14"/>
          <w:color w:val="auto"/>
        </w:rPr>
        <w:t>” above. The PSU awards are subject to</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potential vesting acceleration as described below under the heading </w:t>
      </w:r>
      <w:r>
        <w:rPr>
          <w:rFonts w:ascii="Arial" w:cs="Arial" w:eastAsia="Arial" w:hAnsi="Arial"/>
          <w:sz w:val="14"/>
          <w:szCs w:val="14"/>
          <w:i w:val="1"/>
          <w:iCs w:val="1"/>
          <w:color w:val="auto"/>
        </w:rPr>
        <w:t>“Potential Payments upon Termination or Change in Control—Treatment of 2021, 2022 and 2023</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PSUs” </w:t>
      </w:r>
      <w:r>
        <w:rPr>
          <w:rFonts w:ascii="Arial" w:cs="Arial" w:eastAsia="Arial" w:hAnsi="Arial"/>
          <w:sz w:val="14"/>
          <w:szCs w:val="14"/>
          <w:color w:val="auto"/>
        </w:rPr>
        <w:t>and</w:t>
      </w:r>
      <w:r>
        <w:rPr>
          <w:rFonts w:ascii="Arial" w:cs="Arial" w:eastAsia="Arial" w:hAnsi="Arial"/>
          <w:sz w:val="14"/>
          <w:szCs w:val="14"/>
          <w:i w:val="1"/>
          <w:iCs w:val="1"/>
          <w:color w:val="auto"/>
        </w:rPr>
        <w:t xml:space="preserve"> “Description of Compensation Arrangements—Equity Compensation Arrangements—2011 Equity Incentive Plan.” </w:t>
      </w:r>
      <w:r>
        <w:rPr>
          <w:rFonts w:ascii="Arial" w:cs="Arial" w:eastAsia="Arial" w:hAnsi="Arial"/>
          <w:sz w:val="14"/>
          <w:szCs w:val="14"/>
          <w:color w:val="auto"/>
        </w:rPr>
        <w:t>See also “</w:t>
      </w:r>
      <w:r>
        <w:rPr>
          <w:rFonts w:ascii="Arial" w:cs="Arial" w:eastAsia="Arial" w:hAnsi="Arial"/>
          <w:sz w:val="14"/>
          <w:szCs w:val="14"/>
          <w:i w:val="1"/>
          <w:iCs w:val="1"/>
          <w:color w:val="auto"/>
        </w:rPr>
        <w:t>Description of Compensation Arrangements—Equity Compensation Arrangements—2011 Equity Incentive Plan</w:t>
      </w:r>
      <w:r>
        <w:rPr>
          <w:rFonts w:ascii="Arial" w:cs="Arial" w:eastAsia="Arial" w:hAnsi="Arial"/>
          <w:sz w:val="14"/>
          <w:szCs w:val="14"/>
          <w:color w:val="auto"/>
        </w:rPr>
        <w:t>” below for a general description of the material terms of the 2011 Plan.</w:t>
      </w:r>
    </w:p>
    <w:p>
      <w:pPr>
        <w:spacing w:after="0" w:line="30" w:lineRule="exact"/>
        <w:rPr>
          <w:rFonts w:ascii="Arial" w:cs="Arial" w:eastAsia="Arial" w:hAnsi="Arial"/>
          <w:sz w:val="14"/>
          <w:szCs w:val="14"/>
          <w:color w:val="auto"/>
        </w:rPr>
      </w:pPr>
    </w:p>
    <w:p>
      <w:pPr>
        <w:ind w:left="340" w:right="20" w:hanging="332"/>
        <w:spacing w:after="0" w:line="289" w:lineRule="auto"/>
        <w:tabs>
          <w:tab w:leader="none" w:pos="327" w:val="left"/>
        </w:tabs>
        <w:numPr>
          <w:ilvl w:val="0"/>
          <w:numId w:val="75"/>
        </w:numPr>
        <w:rPr>
          <w:rFonts w:ascii="Arial" w:cs="Arial" w:eastAsia="Arial" w:hAnsi="Arial"/>
          <w:sz w:val="14"/>
          <w:szCs w:val="14"/>
          <w:color w:val="auto"/>
        </w:rPr>
      </w:pPr>
      <w:r>
        <w:rPr>
          <w:rFonts w:ascii="Arial" w:cs="Arial" w:eastAsia="Arial" w:hAnsi="Arial"/>
          <w:sz w:val="14"/>
          <w:szCs w:val="14"/>
          <w:color w:val="auto"/>
        </w:rPr>
        <w:t xml:space="preserve">Each of the annual time-based RSU awards vest in four equal annual installments on the anniversary of the vesting commencement date of March 5, 2023. As a general matter, time-based RSUs will cease vesting upon each NEO’s last day of service. Time-based RSU awards are subject to potential vesting acceleration as described below under the headings </w:t>
      </w:r>
      <w:r>
        <w:rPr>
          <w:rFonts w:ascii="Arial" w:cs="Arial" w:eastAsia="Arial" w:hAnsi="Arial"/>
          <w:sz w:val="14"/>
          <w:szCs w:val="14"/>
          <w:i w:val="1"/>
          <w:iCs w:val="1"/>
          <w:color w:val="auto"/>
        </w:rPr>
        <w:t>“Description of Compensation Arrangements—Equity Compensation Arrangements—2011 Equity Incentive Plan” and “Potential Payments upon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Termination or Change in Control—Amended and Restated Executive Change in Control and Severance Benefit Plan” </w:t>
      </w:r>
      <w:r>
        <w:rPr>
          <w:rFonts w:ascii="Arial" w:cs="Arial" w:eastAsia="Arial" w:hAnsi="Arial"/>
          <w:sz w:val="14"/>
          <w:szCs w:val="14"/>
          <w:color w:val="auto"/>
        </w:rPr>
        <w:t>below.</w:t>
      </w:r>
    </w:p>
    <w:p>
      <w:pPr>
        <w:spacing w:after="0" w:line="21" w:lineRule="exact"/>
        <w:rPr>
          <w:rFonts w:ascii="Arial" w:cs="Arial" w:eastAsia="Arial" w:hAnsi="Arial"/>
          <w:sz w:val="14"/>
          <w:szCs w:val="14"/>
          <w:color w:val="auto"/>
        </w:rPr>
      </w:pPr>
    </w:p>
    <w:p>
      <w:pPr>
        <w:ind w:left="340" w:right="40" w:hanging="332"/>
        <w:spacing w:after="0" w:line="296" w:lineRule="auto"/>
        <w:tabs>
          <w:tab w:leader="none" w:pos="327"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dollar amounts in this column represent the grant date fair value of each PSU and RSU award, as applicable, granted to the NEOs in 2023. These amounts have been calculated in accordance with FASB ASC 718. The grant date fair value for time-based RSUs is based on the closing price of our ordinary shares on the date of grant. The grant date fair value for performance-based PSUs is calculated using a Monte-Carlo simulation model. These amounts do not necessarily correspond to the actual value recognized or that may be recognized by the NEOs. The fair value for each award may differ based on the applicable data, assumptions, and estimates used in the model.</w:t>
      </w:r>
    </w:p>
    <w:p>
      <w:pPr>
        <w:spacing w:after="0" w:line="2" w:lineRule="exact"/>
        <w:rPr>
          <w:rFonts w:ascii="Arial" w:cs="Arial" w:eastAsia="Arial" w:hAnsi="Arial"/>
          <w:sz w:val="14"/>
          <w:szCs w:val="14"/>
          <w:color w:val="auto"/>
        </w:rPr>
      </w:pPr>
    </w:p>
    <w:p>
      <w:pPr>
        <w:ind w:left="340" w:right="140" w:hanging="332"/>
        <w:spacing w:after="0" w:line="325" w:lineRule="auto"/>
        <w:tabs>
          <w:tab w:leader="none" w:pos="327"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 connection with her appointment as President and COO as of October 1, 2023, Ms. Galá received additional one-time promotion PSU and RSU awards, incremental to her 2023 annual equity grant.</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Description of Compensation Arrangements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Executive Employment and Severance Agreements</w:t>
      </w:r>
    </w:p>
    <w:p>
      <w:pPr>
        <w:spacing w:after="0" w:line="127" w:lineRule="exact"/>
        <w:rPr>
          <w:sz w:val="20"/>
          <w:szCs w:val="20"/>
          <w:color w:val="auto"/>
        </w:rPr>
      </w:pPr>
    </w:p>
    <w:p>
      <w:pPr>
        <w:jc w:val="both"/>
        <w:ind w:right="60"/>
        <w:spacing w:after="0" w:line="304" w:lineRule="auto"/>
        <w:rPr>
          <w:sz w:val="20"/>
          <w:szCs w:val="20"/>
          <w:color w:val="auto"/>
        </w:rPr>
      </w:pPr>
      <w:r>
        <w:rPr>
          <w:rFonts w:ascii="Arial" w:cs="Arial" w:eastAsia="Arial" w:hAnsi="Arial"/>
          <w:sz w:val="16"/>
          <w:szCs w:val="16"/>
          <w:color w:val="auto"/>
        </w:rPr>
        <w:t>We do not have employment agreements currently in effect with any of our NEOs based in the United States. Like other employees, such executive officers are eligible for annual salary increases, participation in the performance bonus plan and discretionary equity grants. From time to time, we have provided an offer letter in connection with the commencement of employment of an executive officer based in the United States, which describes such executive officer’s initial terms of employment. We do not have agreements currently in effect with any of our NEOs entitling such individuals to severance benefits (other than in connection with a change in control pursuant to our change in control plan described below).</w:t>
      </w:r>
    </w:p>
    <w:p>
      <w:pPr>
        <w:spacing w:after="0" w:line="77" w:lineRule="exact"/>
        <w:rPr>
          <w:sz w:val="20"/>
          <w:szCs w:val="20"/>
          <w:color w:val="auto"/>
        </w:rPr>
      </w:pPr>
    </w:p>
    <w:p>
      <w:pPr>
        <w:ind w:right="100"/>
        <w:spacing w:after="0" w:line="339" w:lineRule="auto"/>
        <w:rPr>
          <w:sz w:val="20"/>
          <w:szCs w:val="20"/>
          <w:color w:val="auto"/>
        </w:rPr>
      </w:pPr>
      <w:r>
        <w:rPr>
          <w:rFonts w:ascii="Arial" w:cs="Arial" w:eastAsia="Arial" w:hAnsi="Arial"/>
          <w:sz w:val="16"/>
          <w:szCs w:val="16"/>
          <w:color w:val="auto"/>
        </w:rPr>
        <w:t>We have employment or service agreements in effect with certain employees based outside of the United States, including Ms. Carr. In May 2012, Ms. Carr entered into an employment agreement with us, which includes her initial base salary, a signing bonus, a discretionary target cash bonus and equity grant.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Amended and Restated Executive Change in Control and Severance Benefit Plan</w:t>
      </w:r>
    </w:p>
    <w:p>
      <w:pPr>
        <w:spacing w:after="0" w:line="127" w:lineRule="exact"/>
        <w:rPr>
          <w:sz w:val="20"/>
          <w:szCs w:val="20"/>
          <w:color w:val="auto"/>
        </w:rPr>
      </w:pPr>
    </w:p>
    <w:p>
      <w:pPr>
        <w:ind w:right="200"/>
        <w:spacing w:after="0" w:line="339" w:lineRule="auto"/>
        <w:rPr>
          <w:sz w:val="20"/>
          <w:szCs w:val="20"/>
          <w:color w:val="auto"/>
        </w:rPr>
      </w:pPr>
      <w:r>
        <w:rPr>
          <w:rFonts w:ascii="Arial" w:cs="Arial" w:eastAsia="Arial" w:hAnsi="Arial"/>
          <w:sz w:val="16"/>
          <w:szCs w:val="16"/>
          <w:color w:val="auto"/>
        </w:rPr>
        <w:t xml:space="preserve">Each of the continuing NEOs is a participant in the change in control plan, a description of which is included below under the heading </w:t>
      </w:r>
      <w:r>
        <w:rPr>
          <w:rFonts w:ascii="Arial" w:cs="Arial" w:eastAsia="Arial" w:hAnsi="Arial"/>
          <w:sz w:val="16"/>
          <w:szCs w:val="16"/>
          <w:i w:val="1"/>
          <w:iCs w:val="1"/>
          <w:color w:val="auto"/>
        </w:rPr>
        <w:t>“Potential Payments</w:t>
      </w:r>
      <w:r>
        <w:rPr>
          <w:rFonts w:ascii="Arial" w:cs="Arial" w:eastAsia="Arial" w:hAnsi="Arial"/>
          <w:sz w:val="16"/>
          <w:szCs w:val="16"/>
          <w:color w:val="auto"/>
        </w:rPr>
        <w:t xml:space="preserve"> </w:t>
      </w:r>
      <w:r>
        <w:rPr>
          <w:rFonts w:ascii="Arial" w:cs="Arial" w:eastAsia="Arial" w:hAnsi="Arial"/>
          <w:sz w:val="16"/>
          <w:szCs w:val="16"/>
          <w:i w:val="1"/>
          <w:iCs w:val="1"/>
          <w:color w:val="auto"/>
        </w:rPr>
        <w:t>upon Termination or Change in Control—Amended and Restated Executive Change in Control and Severance Benefit Plan.”</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Equity Compensation Arrangements</w:t>
      </w:r>
    </w:p>
    <w:p>
      <w:pPr>
        <w:spacing w:after="0" w:line="127"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Since the Azur Merger, we have granted equity awards to employees, including the NEOs, under the 2011 Plan. From the initial public offering of Jazz Pharmaceuticals, Inc. until the Azur Merger, we granted equity awards to our employees, including some of the NEOs, under the 2007 Plan. As a result of the GW Acquisition, we assumed the GW 2020 Long-Term Incentive Plan. For more information on our current equity compensation program and decisions regarding the grants of equity awards in 2023 for our NEOs, see “</w:t>
      </w:r>
      <w:r>
        <w:rPr>
          <w:rFonts w:ascii="Arial" w:cs="Arial" w:eastAsia="Arial" w:hAnsi="Arial"/>
          <w:sz w:val="16"/>
          <w:szCs w:val="16"/>
          <w:i w:val="1"/>
          <w:iCs w:val="1"/>
          <w:color w:val="auto"/>
        </w:rPr>
        <w:t>Compensation Discussion and Analysis—2023 Compensation Decisions for Our Named</w:t>
      </w:r>
      <w:r>
        <w:rPr>
          <w:rFonts w:ascii="Arial" w:cs="Arial" w:eastAsia="Arial" w:hAnsi="Arial"/>
          <w:sz w:val="16"/>
          <w:szCs w:val="16"/>
          <w:color w:val="auto"/>
        </w:rPr>
        <w:t xml:space="preserve"> </w:t>
      </w:r>
      <w:r>
        <w:rPr>
          <w:rFonts w:ascii="Arial" w:cs="Arial" w:eastAsia="Arial" w:hAnsi="Arial"/>
          <w:sz w:val="16"/>
          <w:szCs w:val="16"/>
          <w:i w:val="1"/>
          <w:iCs w:val="1"/>
          <w:color w:val="auto"/>
        </w:rPr>
        <w:t>Executive Officers</w:t>
      </w:r>
      <w:r>
        <w:rPr>
          <w:rFonts w:ascii="Arial" w:cs="Arial" w:eastAsia="Arial" w:hAnsi="Arial"/>
          <w:sz w:val="16"/>
          <w:szCs w:val="16"/>
          <w:color w:val="auto"/>
        </w:rPr>
        <w:t>” above. The following is a brief summary of the material terms of each of our equity compensation plans.</w:t>
      </w:r>
    </w:p>
    <w:p>
      <w:pPr>
        <w:spacing w:after="0" w:line="200" w:lineRule="exact"/>
        <w:rPr>
          <w:sz w:val="20"/>
          <w:szCs w:val="20"/>
          <w:color w:val="auto"/>
        </w:rPr>
      </w:pPr>
    </w:p>
    <w:p>
      <w:pPr>
        <w:spacing w:after="0" w:line="368"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70</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color w:val="auto"/>
        </w:rPr>
        <w:t>2011 Equity Incentive Plan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brief summary of the material terms of the 2011 Plan, as amended and restated.</w:t>
      </w:r>
    </w:p>
    <w:p>
      <w:pPr>
        <w:spacing w:after="0" w:line="154" w:lineRule="exact"/>
        <w:rPr>
          <w:sz w:val="20"/>
          <w:szCs w:val="20"/>
          <w:color w:val="auto"/>
        </w:rPr>
      </w:pPr>
    </w:p>
    <w:p>
      <w:pPr>
        <w:ind w:right="320"/>
        <w:spacing w:after="0" w:line="319" w:lineRule="auto"/>
        <w:rPr>
          <w:sz w:val="20"/>
          <w:szCs w:val="20"/>
          <w:color w:val="auto"/>
        </w:rPr>
      </w:pPr>
      <w:r>
        <w:rPr>
          <w:rFonts w:ascii="Arial" w:cs="Arial" w:eastAsia="Arial" w:hAnsi="Arial"/>
          <w:sz w:val="16"/>
          <w:szCs w:val="16"/>
          <w:i w:val="1"/>
          <w:iCs w:val="1"/>
          <w:color w:val="auto"/>
        </w:rPr>
        <w:t xml:space="preserve">Types of Awards. </w:t>
      </w:r>
      <w:r>
        <w:rPr>
          <w:rFonts w:ascii="Arial" w:cs="Arial" w:eastAsia="Arial" w:hAnsi="Arial"/>
          <w:sz w:val="16"/>
          <w:szCs w:val="16"/>
          <w:color w:val="auto"/>
        </w:rPr>
        <w:t>The 2011 Plan provides for the grant of incentive stock options, nonstatutory stock options, stock appreciation rights, 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awards, RSU awards, other stock awards, and performance awards (including PSU awards) that may be settled in cash, shares, or other property, which may be granted to employees, including officers.</w:t>
      </w:r>
    </w:p>
    <w:p>
      <w:pPr>
        <w:spacing w:after="0" w:line="4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i w:val="1"/>
          <w:iCs w:val="1"/>
          <w:color w:val="auto"/>
        </w:rPr>
        <w:t xml:space="preserve">Corporate Transactions. </w:t>
      </w:r>
      <w:r>
        <w:rPr>
          <w:rFonts w:ascii="Arial" w:cs="Arial" w:eastAsia="Arial" w:hAnsi="Arial"/>
          <w:sz w:val="16"/>
          <w:szCs w:val="16"/>
          <w:color w:val="auto"/>
        </w:rPr>
        <w:t>In the event of certain significant corporate transactions (as defined in the 2011 Plan and described below), our board will have the</w:t>
      </w:r>
      <w:r>
        <w:rPr>
          <w:rFonts w:ascii="Arial" w:cs="Arial" w:eastAsia="Arial" w:hAnsi="Arial"/>
          <w:sz w:val="16"/>
          <w:szCs w:val="16"/>
          <w:i w:val="1"/>
          <w:iCs w:val="1"/>
          <w:color w:val="auto"/>
        </w:rPr>
        <w:t xml:space="preserve"> </w:t>
      </w:r>
      <w:r>
        <w:rPr>
          <w:rFonts w:ascii="Arial" w:cs="Arial" w:eastAsia="Arial" w:hAnsi="Arial"/>
          <w:sz w:val="16"/>
          <w:szCs w:val="16"/>
          <w:color w:val="auto"/>
        </w:rPr>
        <w:t>discretion to take one or more of the following actions with respect to outstanding stock awards (contingent upon the closing or completion of such corporate transaction), unless otherwise provided in the stock award agreement or other written agreement with the participant or unless otherwise provided by our board at the time of grant:</w:t>
      </w:r>
    </w:p>
    <w:p>
      <w:pPr>
        <w:spacing w:after="0" w:line="69" w:lineRule="exact"/>
        <w:rPr>
          <w:sz w:val="20"/>
          <w:szCs w:val="20"/>
          <w:color w:val="auto"/>
        </w:rPr>
      </w:pPr>
    </w:p>
    <w:p>
      <w:pPr>
        <w:ind w:left="640" w:hanging="308"/>
        <w:spacing w:after="0"/>
        <w:tabs>
          <w:tab w:leader="none" w:pos="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arrange for assumption, continuation, or substitution of a stock award by a surviving or acquiring corporation (or its parent company);</w:t>
      </w:r>
    </w:p>
    <w:p>
      <w:pPr>
        <w:spacing w:after="0" w:line="140" w:lineRule="exact"/>
        <w:rPr>
          <w:rFonts w:ascii="Arial" w:cs="Arial" w:eastAsia="Arial" w:hAnsi="Arial"/>
          <w:sz w:val="16"/>
          <w:szCs w:val="16"/>
          <w:color w:val="auto"/>
        </w:rPr>
      </w:pPr>
    </w:p>
    <w:p>
      <w:pPr>
        <w:ind w:left="660" w:right="200" w:hanging="328"/>
        <w:spacing w:after="0" w:line="339" w:lineRule="auto"/>
        <w:tabs>
          <w:tab w:leader="none" w:pos="649" w:val="left"/>
        </w:tabs>
        <w:numPr>
          <w:ilvl w:val="0"/>
          <w:numId w:val="76"/>
        </w:numPr>
        <w:rPr>
          <w:rFonts w:ascii="Arial" w:cs="Arial" w:eastAsia="Arial" w:hAnsi="Arial"/>
          <w:sz w:val="16"/>
          <w:szCs w:val="16"/>
          <w:color w:val="auto"/>
        </w:rPr>
      </w:pPr>
      <w:r>
        <w:rPr>
          <w:rFonts w:ascii="Arial" w:cs="Arial" w:eastAsia="Arial" w:hAnsi="Arial"/>
          <w:sz w:val="16"/>
          <w:szCs w:val="16"/>
          <w:color w:val="auto"/>
        </w:rPr>
        <w:t>arrange for the assignment of any reacquisition or repurchase rights applicable to any shares issued pursuant to a stock award to the surviving or acquiring corporation (or its parent company);</w:t>
      </w:r>
    </w:p>
    <w:p>
      <w:pPr>
        <w:spacing w:after="0" w:line="47" w:lineRule="exact"/>
        <w:rPr>
          <w:rFonts w:ascii="Arial" w:cs="Arial" w:eastAsia="Arial" w:hAnsi="Arial"/>
          <w:sz w:val="16"/>
          <w:szCs w:val="16"/>
          <w:color w:val="auto"/>
        </w:rPr>
      </w:pPr>
    </w:p>
    <w:p>
      <w:pPr>
        <w:ind w:left="660" w:right="300" w:hanging="328"/>
        <w:spacing w:after="0" w:line="339" w:lineRule="auto"/>
        <w:tabs>
          <w:tab w:leader="none" w:pos="649" w:val="left"/>
        </w:tabs>
        <w:numPr>
          <w:ilvl w:val="0"/>
          <w:numId w:val="76"/>
        </w:numPr>
        <w:rPr>
          <w:rFonts w:ascii="Arial" w:cs="Arial" w:eastAsia="Arial" w:hAnsi="Arial"/>
          <w:sz w:val="16"/>
          <w:szCs w:val="16"/>
          <w:color w:val="auto"/>
        </w:rPr>
      </w:pPr>
      <w:r>
        <w:rPr>
          <w:rFonts w:ascii="Arial" w:cs="Arial" w:eastAsia="Arial" w:hAnsi="Arial"/>
          <w:sz w:val="16"/>
          <w:szCs w:val="16"/>
          <w:color w:val="auto"/>
        </w:rPr>
        <w:t>accelerate the vesting, in whole or in part, and exercisability of a stock award and provide for its termination if it is not exercised at or prior to the corporate transaction;</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arrange for the lapse of any reacquisition or repurchase rights applicable to any shares issued pursuant to a stock award;</w:t>
      </w:r>
    </w:p>
    <w:p>
      <w:pPr>
        <w:spacing w:after="0" w:line="140" w:lineRule="exact"/>
        <w:rPr>
          <w:rFonts w:ascii="Arial" w:cs="Arial" w:eastAsia="Arial" w:hAnsi="Arial"/>
          <w:sz w:val="16"/>
          <w:szCs w:val="16"/>
          <w:color w:val="auto"/>
        </w:rPr>
      </w:pPr>
    </w:p>
    <w:p>
      <w:pPr>
        <w:ind w:left="660" w:right="120" w:hanging="328"/>
        <w:spacing w:after="0" w:line="339" w:lineRule="auto"/>
        <w:tabs>
          <w:tab w:leader="none" w:pos="649" w:val="left"/>
        </w:tabs>
        <w:numPr>
          <w:ilvl w:val="0"/>
          <w:numId w:val="76"/>
        </w:numPr>
        <w:rPr>
          <w:rFonts w:ascii="Arial" w:cs="Arial" w:eastAsia="Arial" w:hAnsi="Arial"/>
          <w:sz w:val="16"/>
          <w:szCs w:val="16"/>
          <w:color w:val="auto"/>
        </w:rPr>
      </w:pPr>
      <w:r>
        <w:rPr>
          <w:rFonts w:ascii="Arial" w:cs="Arial" w:eastAsia="Arial" w:hAnsi="Arial"/>
          <w:sz w:val="16"/>
          <w:szCs w:val="16"/>
          <w:color w:val="auto"/>
        </w:rPr>
        <w:t>cancel or arrange for the cancellation of a stock award, to the extent not vested or exercised prior to the effective time of the corporate transaction, in exchange for such cash consideration, if any, as our board may consider appropriate; or</w:t>
      </w:r>
    </w:p>
    <w:p>
      <w:pPr>
        <w:spacing w:after="0" w:line="47" w:lineRule="exact"/>
        <w:rPr>
          <w:rFonts w:ascii="Arial" w:cs="Arial" w:eastAsia="Arial" w:hAnsi="Arial"/>
          <w:sz w:val="16"/>
          <w:szCs w:val="16"/>
          <w:color w:val="auto"/>
        </w:rPr>
      </w:pPr>
    </w:p>
    <w:p>
      <w:pPr>
        <w:ind w:left="660" w:right="140" w:hanging="328"/>
        <w:spacing w:after="0" w:line="339" w:lineRule="auto"/>
        <w:tabs>
          <w:tab w:leader="none" w:pos="649" w:val="left"/>
        </w:tabs>
        <w:numPr>
          <w:ilvl w:val="0"/>
          <w:numId w:val="76"/>
        </w:numPr>
        <w:rPr>
          <w:rFonts w:ascii="Arial" w:cs="Arial" w:eastAsia="Arial" w:hAnsi="Arial"/>
          <w:sz w:val="16"/>
          <w:szCs w:val="16"/>
          <w:color w:val="auto"/>
        </w:rPr>
      </w:pPr>
      <w:r>
        <w:rPr>
          <w:rFonts w:ascii="Arial" w:cs="Arial" w:eastAsia="Arial" w:hAnsi="Arial"/>
          <w:sz w:val="16"/>
          <w:szCs w:val="16"/>
          <w:color w:val="auto"/>
        </w:rPr>
        <w:t>make a payment equal to the excess, if any, of (a) the value of the property that the participant would have received upon the exercise of the stock award over (b) any exercise price payable in connection with such exercise.</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Our board need not take the same action for each stock award or with regard to all participants.</w:t>
      </w:r>
    </w:p>
    <w:p>
      <w:pPr>
        <w:spacing w:after="0" w:line="14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For purposes of the 2011 Plan, a “corporate transaction” generally means (i) a sale or disposition of all or substantially all our assets or a sale or disposition of at least 90% of our outstanding securities; (ii) a merger, consolidation or similar transaction after which we are not the surviving corporation; or (iii) a merger, consolidation or similar transaction after which we are the surviving corporation but our ordinary shares are converted or exchanged into other property.</w:t>
      </w:r>
    </w:p>
    <w:p>
      <w:pPr>
        <w:spacing w:after="0" w:line="69" w:lineRule="exact"/>
        <w:rPr>
          <w:sz w:val="20"/>
          <w:szCs w:val="20"/>
          <w:color w:val="auto"/>
        </w:rPr>
      </w:pPr>
    </w:p>
    <w:p>
      <w:pPr>
        <w:ind w:right="120"/>
        <w:spacing w:after="0" w:line="300"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Our board has the discretion to provide additional acceleration of vesting and exercisability upon or after a change in control (as defined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the 2011 Plan and described below) as may be provided in a stock award agreement or any other written agreement between us or any of our affiliates and a participant. The forms of stock option agreement and RSU award agreement adopted by our board under the 2011 Plan provide that in the event a participant’s service relationship with us or a successor entity is terminated due to an involuntary termination without cause (as defined in the stock award agreement and as described below) within 12 months following, or one month prior to, the effective date of a change in control, the vesting (and in the case of stock options, exercisability) of the stock award will accelerate in full. The treatment of the 2023 PSUs in the event of a change in control is described below under the heading, </w:t>
      </w:r>
      <w:r>
        <w:rPr>
          <w:rFonts w:ascii="Arial" w:cs="Arial" w:eastAsia="Arial" w:hAnsi="Arial"/>
          <w:sz w:val="16"/>
          <w:szCs w:val="16"/>
          <w:i w:val="1"/>
          <w:iCs w:val="1"/>
          <w:color w:val="auto"/>
        </w:rPr>
        <w:t>“Potential Payments upon Termination or Change in Control—Treatment of 2021, 2022 and 2023 PSUs.”</w:t>
      </w:r>
    </w:p>
    <w:p>
      <w:pPr>
        <w:spacing w:after="0" w:line="7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For purposes of the 2011 Plan and the forms of award agreements issued thereunder, a “change in control” generally means (i) a person or group acquires ownership of more than 30% of the combined voting power of our outstanding securities (other than directly from us); (ii) certain compromises or arrangements sanctioned by the Irish courts, certain schemes, contracts or offers that have become binding on all of our shareholders, certain takeover bids, certain offers or reverse takeover transactions or a reorganization, merger, statutory share exchange, consolidation or similar transaction involving us, and</w:t>
      </w:r>
    </w:p>
    <w:p>
      <w:pPr>
        <w:spacing w:after="0" w:line="3" w:lineRule="exact"/>
        <w:rPr>
          <w:sz w:val="20"/>
          <w:szCs w:val="20"/>
          <w:color w:val="auto"/>
        </w:rPr>
      </w:pPr>
    </w:p>
    <w:p>
      <w:pPr>
        <w:ind w:firstLine="8"/>
        <w:spacing w:after="0" w:line="303" w:lineRule="auto"/>
        <w:tabs>
          <w:tab w:leader="none" w:pos="261" w:val="left"/>
        </w:tabs>
        <w:numPr>
          <w:ilvl w:val="0"/>
          <w:numId w:val="77"/>
        </w:numPr>
        <w:rPr>
          <w:rFonts w:ascii="Arial" w:cs="Arial" w:eastAsia="Arial" w:hAnsi="Arial"/>
          <w:sz w:val="16"/>
          <w:szCs w:val="16"/>
          <w:color w:val="auto"/>
        </w:rPr>
      </w:pPr>
      <w:r>
        <w:rPr>
          <w:rFonts w:ascii="Arial" w:cs="Arial" w:eastAsia="Arial" w:hAnsi="Arial"/>
          <w:sz w:val="16"/>
          <w:szCs w:val="16"/>
          <w:color w:val="auto"/>
        </w:rPr>
        <w:t>after which our shareholders do not own more than 50% of the combined voting power of the surviving entity or its parent in substantially the same proportion as their ownership of our outstanding voting securities immediately before the transaction, (B) a person or group acquires ownership of more than 30% of the combined voting power of the surviving entity or its parent, or (C) at least a majority of the members of our board of the parent (or the surviving entity, if there is no parent) following such transaction are not incumbent board members (as defined in (v) below) at the time our board approves the transaction; (iii) our shareholders or our board approves a complete dissolution or liquidation of our company, or a complete dissolution or liquidation of our company otherwise occurs (except for a liquidation into a parent company); (iv) a sale, lease, exclusive license or other disposition of all or substantially all of our assets, other than to certain entities; or (v) individuals who were members of our board on the date of adoption of the</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406"/>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75" w:name="page76"/>
    <w:bookmarkEnd w:id="75"/>
    <w:p>
      <w:pPr>
        <w:ind w:right="740"/>
        <w:spacing w:after="0" w:line="339" w:lineRule="auto"/>
        <w:rPr>
          <w:sz w:val="20"/>
          <w:szCs w:val="20"/>
          <w:color w:val="auto"/>
        </w:rPr>
      </w:pPr>
      <w:r>
        <w:rPr>
          <w:rFonts w:ascii="Arial" w:cs="Arial" w:eastAsia="Arial" w:hAnsi="Arial"/>
          <w:sz w:val="16"/>
          <w:szCs w:val="16"/>
          <w:color w:val="auto"/>
        </w:rPr>
        <w:t>2011 Plan (or members of our board approved or recommended by a majority vote of such members still in office), referred to as “incumbent board members,” cease to constitute at least a majority of our board.</w:t>
      </w:r>
    </w:p>
    <w:p>
      <w:pPr>
        <w:spacing w:after="0" w:line="34"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An “involuntary termination without cause” generally means that a participant’s service relationship with us is terminated for any reason other than for the following reasons (and not upon a participant’s death or disability): (i) participant’s commission of any felony or crime involving fraud, dishonesty or moral turpitude under the laws of the United States or any state thereof (with respect to Irish participants, the participant’s conviction for any criminal offense (other than an offense under any road traffic legislation in Ireland, the United Kingdom or elsewhere for which a fine or non-custodial penalty is imposed) or any offense under any regulation or legislation relating to insider dealing, fraud or dishonesty); (ii) participant’s attempted commission of or participation in a fraud or act of dishonesty against us; (iii) participant’s intentional, material violation of any contract or agreement with us or of any statutory duty owed to us; (iv) participant’s unauthorized use or disclosure of our confidential information or trade secrets; or (v) participant’s gross misconduct.</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GW 2020 Long-Term Incentive Plan</w:t>
      </w:r>
    </w:p>
    <w:p>
      <w:pPr>
        <w:spacing w:after="0" w:line="12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terms of the GW 2020 Long-Term Incentive Plan provide for the grant of stock options, stock appreciation rights, RSUs, other stock awards, and performance awards that may be settled in cash, shares, or other property. Ordinary shares granted to employees in exchange for GW ADS in connection with the GW Acquisition vest ratably over service periods of two years, while all post-acquisition grants vest ratably over service periods of four years and expire no more than 10 years after the date of grant.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2007 Employee Stock Purchase Plan</w:t>
      </w:r>
    </w:p>
    <w:p>
      <w:pPr>
        <w:spacing w:after="0" w:line="127"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color w:val="auto"/>
        </w:rPr>
        <w:t>Additional long-term equity incentives are provided through the ESPP. The ESPP is intended to qualify as an “employee stock purchase plan” within the meaning of section 423 of the Internal Revenue Code, or the Code. Under the ESPP, all of our regular employees and employees of any of our parent or subsidiary companies designated by our board as eligible to participate may participate and may contribute, normally through payroll deductions, up to 15% of their earnings up to a total of $15,000 per purchase period for the purchase of our ordinary shares under the ESPP. The ESPP is currently offered to our regular employees in Ireland, Canada and the United States, including the NEOs. The ESPP is implemented through a series of offerings of purchase rights to eligible employees. Under the ESPP, we may specify offerings with a duration of not more than 27 months and may specify shorter purchase periods within each offering. Each offering will have one or more purchase dates on which our ordinary shares will be purchased for employees participating in the offering. Unless otherwise determined by our board, ordinary shares are purchased for accounts of employees participating in the ESPP at a price per share equal to the lower of (a) 85% of the fair market value of an ordinary share on the first date of an offering or (b) 85% of the fair market value of an ordinary share on the date of purchase.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Performance Bonus Plan</w:t>
      </w:r>
    </w:p>
    <w:p>
      <w:pPr>
        <w:spacing w:after="0" w:line="127"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 xml:space="preserve">We maintain a performance bonus plan to reward executive officers and other employees for successful achievement of company-wide performance objectives and individual contributions toward those objectives on an annual basis. More information regarding the performance bonus plan is provided above under the headings </w:t>
      </w:r>
      <w:r>
        <w:rPr>
          <w:rFonts w:ascii="Arial" w:cs="Arial" w:eastAsia="Arial" w:hAnsi="Arial"/>
          <w:sz w:val="16"/>
          <w:szCs w:val="16"/>
          <w:i w:val="1"/>
          <w:iCs w:val="1"/>
          <w:color w:val="auto"/>
        </w:rPr>
        <w:t>“Compensation Discussion and Analysis—Goals for and Achievement of 2023 Performance-Based Compensation—2023</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Performance Bonus Program” </w:t>
      </w:r>
      <w:r>
        <w:rPr>
          <w:rFonts w:ascii="Arial" w:cs="Arial" w:eastAsia="Arial" w:hAnsi="Arial"/>
          <w:sz w:val="16"/>
          <w:szCs w:val="16"/>
          <w:color w:val="auto"/>
        </w:rPr>
        <w:t>and</w:t>
      </w:r>
      <w:r>
        <w:rPr>
          <w:rFonts w:ascii="Arial" w:cs="Arial" w:eastAsia="Arial" w:hAnsi="Arial"/>
          <w:sz w:val="16"/>
          <w:szCs w:val="16"/>
          <w:i w:val="1"/>
          <w:iCs w:val="1"/>
          <w:color w:val="auto"/>
        </w:rPr>
        <w:t xml:space="preserve"> “Compensation Discussion and Analysis—2023 Compensation Decisions for Our Named Executive Officers.”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401(k) Plan</w:t>
      </w:r>
    </w:p>
    <w:p>
      <w:pPr>
        <w:spacing w:after="0" w:line="140"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auto"/>
        </w:rPr>
        <w:t>Our employees based in the United States are eligible to participate in the 401(k) Plan. The 401(k) Plan is intended to qualify as a tax-qualified plan under section 401 of the Code. Employee contributions are held and invested by the 401(k) Plan’s trustee. The 401(k) Plan provides that each participant may contribute a portion of his or her pre-tax compensation, up to a statutory annual limit, which was $22,500 for employees under age 50, and $30,000 for employees age 50 and over in 2023. The 401(k) Plan also permits us to make discretionary contributions and matching contributions, subject to established limits and a vesting schedule. In 2013, we began making discretionary matching contributions, which for 2023, consisted of a match of 50% of up to the first 6% of eligible compensation contributed by each employee toward his or her 401(k) plan.</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Additional Benefits</w:t>
      </w:r>
    </w:p>
    <w:p>
      <w:pPr>
        <w:spacing w:after="0" w:line="127" w:lineRule="exact"/>
        <w:rPr>
          <w:sz w:val="20"/>
          <w:szCs w:val="20"/>
          <w:color w:val="auto"/>
        </w:rPr>
      </w:pPr>
    </w:p>
    <w:p>
      <w:pPr>
        <w:ind w:right="100"/>
        <w:spacing w:after="0" w:line="339" w:lineRule="auto"/>
        <w:rPr>
          <w:sz w:val="20"/>
          <w:szCs w:val="20"/>
          <w:color w:val="auto"/>
        </w:rPr>
      </w:pPr>
      <w:r>
        <w:rPr>
          <w:rFonts w:ascii="Arial" w:cs="Arial" w:eastAsia="Arial" w:hAnsi="Arial"/>
          <w:sz w:val="16"/>
          <w:szCs w:val="16"/>
          <w:color w:val="auto"/>
        </w:rPr>
        <w:t xml:space="preserve">The NEOs are eligible to participate in our benefit plans generally available to all employees, as described in </w:t>
      </w:r>
      <w:r>
        <w:rPr>
          <w:rFonts w:ascii="Arial" w:cs="Arial" w:eastAsia="Arial" w:hAnsi="Arial"/>
          <w:sz w:val="16"/>
          <w:szCs w:val="16"/>
          <w:i w:val="1"/>
          <w:iCs w:val="1"/>
          <w:color w:val="auto"/>
        </w:rPr>
        <w:t>“Compensation Discussion and Analysis—Key</w:t>
      </w:r>
      <w:r>
        <w:rPr>
          <w:rFonts w:ascii="Arial" w:cs="Arial" w:eastAsia="Arial" w:hAnsi="Arial"/>
          <w:sz w:val="16"/>
          <w:szCs w:val="16"/>
          <w:color w:val="auto"/>
        </w:rPr>
        <w:t xml:space="preserve"> </w:t>
      </w:r>
      <w:r>
        <w:rPr>
          <w:rFonts w:ascii="Arial" w:cs="Arial" w:eastAsia="Arial" w:hAnsi="Arial"/>
          <w:sz w:val="16"/>
          <w:szCs w:val="16"/>
          <w:i w:val="1"/>
          <w:iCs w:val="1"/>
          <w:color w:val="auto"/>
        </w:rPr>
        <w:t>Components and Design of the Executive Compensation Program.”</w:t>
      </w:r>
    </w:p>
    <w:p>
      <w:pPr>
        <w:spacing w:after="0" w:line="200" w:lineRule="exact"/>
        <w:rPr>
          <w:sz w:val="20"/>
          <w:szCs w:val="20"/>
          <w:color w:val="auto"/>
        </w:rPr>
      </w:pPr>
    </w:p>
    <w:p>
      <w:pPr>
        <w:spacing w:after="0" w:line="338"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color w:val="852166"/>
        </w:rPr>
        <w:t>Pension Benefits</w:t>
      </w:r>
    </w:p>
    <w:p>
      <w:pPr>
        <w:spacing w:after="0" w:line="127" w:lineRule="exact"/>
        <w:rPr>
          <w:sz w:val="20"/>
          <w:szCs w:val="20"/>
          <w:color w:val="auto"/>
        </w:rPr>
      </w:pPr>
    </w:p>
    <w:p>
      <w:pPr>
        <w:ind w:right="700"/>
        <w:spacing w:after="0" w:line="339" w:lineRule="auto"/>
        <w:rPr>
          <w:sz w:val="20"/>
          <w:szCs w:val="20"/>
          <w:color w:val="auto"/>
        </w:rPr>
      </w:pPr>
      <w:r>
        <w:rPr>
          <w:rFonts w:ascii="Arial" w:cs="Arial" w:eastAsia="Arial" w:hAnsi="Arial"/>
          <w:sz w:val="16"/>
          <w:szCs w:val="16"/>
          <w:color w:val="auto"/>
        </w:rPr>
        <w:t>Other than with respect to tax-qualified defined contribution plans such as the 401(k) Plan, the NEOs do not participate in any plan that provides for retirement payments and benefits, or payments and benefits that will be provided primarily following retirement.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Nonqualified Deferred Compensation</w:t>
      </w:r>
    </w:p>
    <w:p>
      <w:pPr>
        <w:spacing w:after="0" w:line="127" w:lineRule="exact"/>
        <w:rPr>
          <w:sz w:val="20"/>
          <w:szCs w:val="20"/>
          <w:color w:val="auto"/>
        </w:rPr>
      </w:pPr>
    </w:p>
    <w:p>
      <w:pPr>
        <w:ind w:right="480"/>
        <w:spacing w:after="0" w:line="339" w:lineRule="auto"/>
        <w:rPr>
          <w:sz w:val="20"/>
          <w:szCs w:val="20"/>
          <w:color w:val="auto"/>
        </w:rPr>
      </w:pPr>
      <w:r>
        <w:rPr>
          <w:rFonts w:ascii="Arial" w:cs="Arial" w:eastAsia="Arial" w:hAnsi="Arial"/>
          <w:sz w:val="16"/>
          <w:szCs w:val="16"/>
          <w:color w:val="auto"/>
        </w:rPr>
        <w:t>During the year ended December 31, 2023, the NEOs did not contribute to, or earn any amounts with respect to, any defined contribution or other plan sponsored by us that provides for the deferral of compensation on a basis that is not tax-qualified.</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Outstanding Equity Awards at Fiscal Year-End</w:t>
      </w:r>
    </w:p>
    <w:p>
      <w:pPr>
        <w:spacing w:after="0" w:line="131"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color w:val="auto"/>
        </w:rPr>
        <w:t>The following table sets forth, for the fiscal year ended December 31, 2023, certain information regarding outstanding equity awards held at fiscal year-end for the NEOs.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EQUITY AWARDS AT 2023 FISCAL YEAR-END TABLE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1380" w:type="dxa"/>
            <w:vAlign w:val="bottom"/>
            <w:shd w:val="clear" w:color="auto" w:fill="852166"/>
          </w:tcPr>
          <w:p>
            <w:pPr>
              <w:spacing w:after="0"/>
              <w:rPr>
                <w:sz w:val="24"/>
                <w:szCs w:val="24"/>
                <w:color w:val="auto"/>
              </w:rPr>
            </w:pPr>
          </w:p>
        </w:tc>
        <w:tc>
          <w:tcPr>
            <w:tcW w:w="1020" w:type="dxa"/>
            <w:vAlign w:val="bottom"/>
            <w:shd w:val="clear" w:color="auto" w:fill="852166"/>
          </w:tcPr>
          <w:p>
            <w:pPr>
              <w:spacing w:after="0"/>
              <w:rPr>
                <w:sz w:val="24"/>
                <w:szCs w:val="24"/>
                <w:color w:val="auto"/>
              </w:rPr>
            </w:pPr>
          </w:p>
        </w:tc>
        <w:tc>
          <w:tcPr>
            <w:tcW w:w="1800" w:type="dxa"/>
            <w:vAlign w:val="bottom"/>
            <w:gridSpan w:val="2"/>
            <w:shd w:val="clear" w:color="auto" w:fill="852166"/>
          </w:tcPr>
          <w:p>
            <w:pPr>
              <w:jc w:val="right"/>
              <w:ind w:right="99"/>
              <w:spacing w:after="0"/>
              <w:rPr>
                <w:sz w:val="20"/>
                <w:szCs w:val="20"/>
                <w:color w:val="auto"/>
              </w:rPr>
            </w:pPr>
            <w:r>
              <w:rPr>
                <w:rFonts w:ascii="Arial" w:cs="Arial" w:eastAsia="Arial" w:hAnsi="Arial"/>
                <w:sz w:val="13"/>
                <w:szCs w:val="13"/>
                <w:b w:val="1"/>
                <w:bCs w:val="1"/>
                <w:color w:val="FFFFFF"/>
              </w:rPr>
              <w:t>Option Awards</w:t>
            </w:r>
            <w:r>
              <w:rPr>
                <w:rFonts w:ascii="Arial" w:cs="Arial" w:eastAsia="Arial" w:hAnsi="Arial"/>
                <w:sz w:val="16"/>
                <w:szCs w:val="16"/>
                <w:b w:val="1"/>
                <w:bCs w:val="1"/>
                <w:color w:val="FFFFFF"/>
                <w:vertAlign w:val="superscript"/>
              </w:rPr>
              <w:t>(1)</w:t>
            </w:r>
          </w:p>
        </w:tc>
        <w:tc>
          <w:tcPr>
            <w:tcW w:w="740" w:type="dxa"/>
            <w:vAlign w:val="bottom"/>
            <w:shd w:val="clear" w:color="auto" w:fill="852166"/>
          </w:tcPr>
          <w:p>
            <w:pPr>
              <w:spacing w:after="0"/>
              <w:rPr>
                <w:sz w:val="24"/>
                <w:szCs w:val="24"/>
                <w:color w:val="auto"/>
              </w:rPr>
            </w:pPr>
          </w:p>
        </w:tc>
        <w:tc>
          <w:tcPr>
            <w:tcW w:w="820" w:type="dxa"/>
            <w:vAlign w:val="bottom"/>
            <w:shd w:val="clear" w:color="auto" w:fill="852166"/>
          </w:tcPr>
          <w:p>
            <w:pPr>
              <w:spacing w:after="0"/>
              <w:rPr>
                <w:sz w:val="24"/>
                <w:szCs w:val="24"/>
                <w:color w:val="auto"/>
              </w:rPr>
            </w:pPr>
          </w:p>
        </w:tc>
        <w:tc>
          <w:tcPr>
            <w:tcW w:w="1020" w:type="dxa"/>
            <w:vAlign w:val="bottom"/>
            <w:shd w:val="clear" w:color="auto" w:fill="852166"/>
          </w:tcPr>
          <w:p>
            <w:pPr>
              <w:spacing w:after="0"/>
              <w:rPr>
                <w:sz w:val="24"/>
                <w:szCs w:val="24"/>
                <w:color w:val="auto"/>
              </w:rPr>
            </w:pPr>
          </w:p>
        </w:tc>
        <w:tc>
          <w:tcPr>
            <w:tcW w:w="240" w:type="dxa"/>
            <w:vAlign w:val="bottom"/>
            <w:shd w:val="clear" w:color="auto" w:fill="852166"/>
          </w:tcPr>
          <w:p>
            <w:pPr>
              <w:spacing w:after="0"/>
              <w:rPr>
                <w:sz w:val="24"/>
                <w:szCs w:val="24"/>
                <w:color w:val="auto"/>
              </w:rPr>
            </w:pPr>
          </w:p>
        </w:tc>
        <w:tc>
          <w:tcPr>
            <w:tcW w:w="2440" w:type="dxa"/>
            <w:vAlign w:val="bottom"/>
            <w:gridSpan w:val="2"/>
            <w:shd w:val="clear" w:color="auto" w:fill="852166"/>
          </w:tcPr>
          <w:p>
            <w:pPr>
              <w:jc w:val="right"/>
              <w:ind w:right="437"/>
              <w:spacing w:after="0"/>
              <w:rPr>
                <w:sz w:val="20"/>
                <w:szCs w:val="20"/>
                <w:color w:val="auto"/>
              </w:rPr>
            </w:pPr>
            <w:r>
              <w:rPr>
                <w:rFonts w:ascii="Arial" w:cs="Arial" w:eastAsia="Arial" w:hAnsi="Arial"/>
                <w:sz w:val="13"/>
                <w:szCs w:val="13"/>
                <w:b w:val="1"/>
                <w:bCs w:val="1"/>
                <w:color w:val="FFFFFF"/>
              </w:rPr>
              <w:t>Stock Awards</w:t>
            </w:r>
            <w:r>
              <w:rPr>
                <w:rFonts w:ascii="Arial" w:cs="Arial" w:eastAsia="Arial" w:hAnsi="Arial"/>
                <w:sz w:val="16"/>
                <w:szCs w:val="16"/>
                <w:b w:val="1"/>
                <w:bCs w:val="1"/>
                <w:color w:val="FFFFFF"/>
                <w:vertAlign w:val="superscript"/>
              </w:rPr>
              <w:t>(1)</w:t>
            </w:r>
          </w:p>
        </w:tc>
        <w:tc>
          <w:tcPr>
            <w:tcW w:w="260" w:type="dxa"/>
            <w:vAlign w:val="bottom"/>
            <w:shd w:val="clear" w:color="auto" w:fill="852166"/>
          </w:tcPr>
          <w:p>
            <w:pPr>
              <w:spacing w:after="0"/>
              <w:rPr>
                <w:sz w:val="24"/>
                <w:szCs w:val="24"/>
                <w:color w:val="auto"/>
              </w:rPr>
            </w:pPr>
          </w:p>
        </w:tc>
        <w:tc>
          <w:tcPr>
            <w:tcW w:w="1520" w:type="dxa"/>
            <w:vAlign w:val="bottom"/>
            <w:shd w:val="clear" w:color="auto" w:fill="852166"/>
          </w:tcPr>
          <w:p>
            <w:pPr>
              <w:spacing w:after="0"/>
              <w:rPr>
                <w:sz w:val="24"/>
                <w:szCs w:val="24"/>
                <w:color w:val="auto"/>
              </w:rPr>
            </w:pPr>
          </w:p>
        </w:tc>
      </w:tr>
      <w:tr>
        <w:trPr>
          <w:trHeight w:val="381"/>
        </w:trPr>
        <w:tc>
          <w:tcPr>
            <w:tcW w:w="1380" w:type="dxa"/>
            <w:vAlign w:val="bottom"/>
            <w:shd w:val="clear" w:color="auto" w:fill="852166"/>
          </w:tcPr>
          <w:p>
            <w:pPr>
              <w:spacing w:after="0"/>
              <w:rPr>
                <w:sz w:val="24"/>
                <w:szCs w:val="24"/>
                <w:color w:val="auto"/>
              </w:rPr>
            </w:pPr>
          </w:p>
        </w:tc>
        <w:tc>
          <w:tcPr>
            <w:tcW w:w="1020" w:type="dxa"/>
            <w:vAlign w:val="bottom"/>
            <w:shd w:val="clear" w:color="auto" w:fill="852166"/>
          </w:tcPr>
          <w:p>
            <w:pPr>
              <w:spacing w:after="0"/>
              <w:rPr>
                <w:sz w:val="24"/>
                <w:szCs w:val="24"/>
                <w:color w:val="auto"/>
              </w:rPr>
            </w:pPr>
          </w:p>
        </w:tc>
        <w:tc>
          <w:tcPr>
            <w:tcW w:w="1400" w:type="dxa"/>
            <w:vAlign w:val="bottom"/>
            <w:shd w:val="clear" w:color="auto" w:fill="852166"/>
          </w:tcPr>
          <w:p>
            <w:pPr>
              <w:spacing w:after="0"/>
              <w:rPr>
                <w:sz w:val="24"/>
                <w:szCs w:val="24"/>
                <w:color w:val="auto"/>
              </w:rPr>
            </w:pPr>
          </w:p>
        </w:tc>
        <w:tc>
          <w:tcPr>
            <w:tcW w:w="400" w:type="dxa"/>
            <w:vAlign w:val="bottom"/>
            <w:shd w:val="clear" w:color="auto" w:fill="852166"/>
          </w:tcPr>
          <w:p>
            <w:pPr>
              <w:spacing w:after="0"/>
              <w:rPr>
                <w:sz w:val="24"/>
                <w:szCs w:val="24"/>
                <w:color w:val="auto"/>
              </w:rPr>
            </w:pPr>
          </w:p>
        </w:tc>
        <w:tc>
          <w:tcPr>
            <w:tcW w:w="740" w:type="dxa"/>
            <w:vAlign w:val="bottom"/>
            <w:shd w:val="clear" w:color="auto" w:fill="852166"/>
          </w:tcPr>
          <w:p>
            <w:pPr>
              <w:spacing w:after="0"/>
              <w:rPr>
                <w:sz w:val="24"/>
                <w:szCs w:val="24"/>
                <w:color w:val="auto"/>
              </w:rPr>
            </w:pPr>
          </w:p>
        </w:tc>
        <w:tc>
          <w:tcPr>
            <w:tcW w:w="820" w:type="dxa"/>
            <w:vAlign w:val="bottom"/>
            <w:shd w:val="clear" w:color="auto" w:fill="852166"/>
          </w:tcPr>
          <w:p>
            <w:pPr>
              <w:spacing w:after="0"/>
              <w:rPr>
                <w:sz w:val="24"/>
                <w:szCs w:val="24"/>
                <w:color w:val="auto"/>
              </w:rPr>
            </w:pPr>
          </w:p>
        </w:tc>
        <w:tc>
          <w:tcPr>
            <w:tcW w:w="1020" w:type="dxa"/>
            <w:vAlign w:val="bottom"/>
            <w:shd w:val="clear" w:color="auto" w:fill="852166"/>
          </w:tcPr>
          <w:p>
            <w:pPr>
              <w:spacing w:after="0"/>
              <w:rPr>
                <w:sz w:val="24"/>
                <w:szCs w:val="24"/>
                <w:color w:val="auto"/>
              </w:rPr>
            </w:pPr>
          </w:p>
        </w:tc>
        <w:tc>
          <w:tcPr>
            <w:tcW w:w="240" w:type="dxa"/>
            <w:vAlign w:val="bottom"/>
            <w:shd w:val="clear" w:color="auto" w:fill="852166"/>
          </w:tcPr>
          <w:p>
            <w:pPr>
              <w:spacing w:after="0"/>
              <w:rPr>
                <w:sz w:val="24"/>
                <w:szCs w:val="24"/>
                <w:color w:val="auto"/>
              </w:rPr>
            </w:pPr>
          </w:p>
        </w:tc>
        <w:tc>
          <w:tcPr>
            <w:tcW w:w="1200" w:type="dxa"/>
            <w:vAlign w:val="bottom"/>
            <w:shd w:val="clear" w:color="auto" w:fill="852166"/>
          </w:tcPr>
          <w:p>
            <w:pPr>
              <w:spacing w:after="0"/>
              <w:rPr>
                <w:sz w:val="24"/>
                <w:szCs w:val="24"/>
                <w:color w:val="auto"/>
              </w:rPr>
            </w:pPr>
          </w:p>
        </w:tc>
        <w:tc>
          <w:tcPr>
            <w:tcW w:w="124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Equity Incentive</w:t>
            </w:r>
          </w:p>
        </w:tc>
        <w:tc>
          <w:tcPr>
            <w:tcW w:w="260" w:type="dxa"/>
            <w:vAlign w:val="bottom"/>
            <w:shd w:val="clear" w:color="auto" w:fill="852166"/>
          </w:tcPr>
          <w:p>
            <w:pPr>
              <w:spacing w:after="0"/>
              <w:rPr>
                <w:sz w:val="24"/>
                <w:szCs w:val="24"/>
                <w:color w:val="auto"/>
              </w:rPr>
            </w:pPr>
          </w:p>
        </w:tc>
        <w:tc>
          <w:tcPr>
            <w:tcW w:w="1520" w:type="dxa"/>
            <w:vAlign w:val="bottom"/>
            <w:shd w:val="clear" w:color="auto" w:fill="852166"/>
          </w:tcPr>
          <w:p>
            <w:pPr>
              <w:spacing w:after="0"/>
              <w:rPr>
                <w:sz w:val="24"/>
                <w:szCs w:val="24"/>
                <w:color w:val="auto"/>
              </w:rPr>
            </w:pPr>
          </w:p>
        </w:tc>
      </w:tr>
      <w:tr>
        <w:trPr>
          <w:trHeight w:val="148"/>
        </w:trPr>
        <w:tc>
          <w:tcPr>
            <w:tcW w:w="1380" w:type="dxa"/>
            <w:vAlign w:val="bottom"/>
            <w:shd w:val="clear" w:color="auto" w:fill="852166"/>
          </w:tcPr>
          <w:p>
            <w:pPr>
              <w:spacing w:after="0"/>
              <w:rPr>
                <w:sz w:val="12"/>
                <w:szCs w:val="12"/>
                <w:color w:val="auto"/>
              </w:rPr>
            </w:pPr>
          </w:p>
        </w:tc>
        <w:tc>
          <w:tcPr>
            <w:tcW w:w="1020" w:type="dxa"/>
            <w:vAlign w:val="bottom"/>
            <w:shd w:val="clear" w:color="auto" w:fill="852166"/>
          </w:tcPr>
          <w:p>
            <w:pPr>
              <w:spacing w:after="0"/>
              <w:rPr>
                <w:sz w:val="12"/>
                <w:szCs w:val="12"/>
                <w:color w:val="auto"/>
              </w:rPr>
            </w:pPr>
          </w:p>
        </w:tc>
        <w:tc>
          <w:tcPr>
            <w:tcW w:w="1400" w:type="dxa"/>
            <w:vAlign w:val="bottom"/>
            <w:shd w:val="clear" w:color="auto" w:fill="852166"/>
          </w:tcPr>
          <w:p>
            <w:pPr>
              <w:spacing w:after="0"/>
              <w:rPr>
                <w:sz w:val="12"/>
                <w:szCs w:val="12"/>
                <w:color w:val="auto"/>
              </w:rPr>
            </w:pPr>
          </w:p>
        </w:tc>
        <w:tc>
          <w:tcPr>
            <w:tcW w:w="400" w:type="dxa"/>
            <w:vAlign w:val="bottom"/>
            <w:shd w:val="clear" w:color="auto" w:fill="852166"/>
          </w:tcPr>
          <w:p>
            <w:pPr>
              <w:spacing w:after="0"/>
              <w:rPr>
                <w:sz w:val="12"/>
                <w:szCs w:val="12"/>
                <w:color w:val="auto"/>
              </w:rPr>
            </w:pPr>
          </w:p>
        </w:tc>
        <w:tc>
          <w:tcPr>
            <w:tcW w:w="740" w:type="dxa"/>
            <w:vAlign w:val="bottom"/>
            <w:shd w:val="clear" w:color="auto" w:fill="852166"/>
          </w:tcPr>
          <w:p>
            <w:pPr>
              <w:spacing w:after="0"/>
              <w:rPr>
                <w:sz w:val="12"/>
                <w:szCs w:val="12"/>
                <w:color w:val="auto"/>
              </w:rPr>
            </w:pPr>
          </w:p>
        </w:tc>
        <w:tc>
          <w:tcPr>
            <w:tcW w:w="820" w:type="dxa"/>
            <w:vAlign w:val="bottom"/>
            <w:shd w:val="clear" w:color="auto" w:fill="852166"/>
          </w:tcPr>
          <w:p>
            <w:pPr>
              <w:spacing w:after="0"/>
              <w:rPr>
                <w:sz w:val="12"/>
                <w:szCs w:val="12"/>
                <w:color w:val="auto"/>
              </w:rPr>
            </w:pPr>
          </w:p>
        </w:tc>
        <w:tc>
          <w:tcPr>
            <w:tcW w:w="1020" w:type="dxa"/>
            <w:vAlign w:val="bottom"/>
            <w:shd w:val="clear" w:color="auto" w:fill="852166"/>
          </w:tcPr>
          <w:p>
            <w:pPr>
              <w:spacing w:after="0"/>
              <w:rPr>
                <w:sz w:val="12"/>
                <w:szCs w:val="12"/>
                <w:color w:val="auto"/>
              </w:rPr>
            </w:pPr>
          </w:p>
        </w:tc>
        <w:tc>
          <w:tcPr>
            <w:tcW w:w="240" w:type="dxa"/>
            <w:vAlign w:val="bottom"/>
            <w:shd w:val="clear" w:color="auto" w:fill="852166"/>
          </w:tcPr>
          <w:p>
            <w:pPr>
              <w:spacing w:after="0"/>
              <w:rPr>
                <w:sz w:val="12"/>
                <w:szCs w:val="12"/>
                <w:color w:val="auto"/>
              </w:rPr>
            </w:pPr>
          </w:p>
        </w:tc>
        <w:tc>
          <w:tcPr>
            <w:tcW w:w="1200" w:type="dxa"/>
            <w:vAlign w:val="bottom"/>
            <w:shd w:val="clear" w:color="auto" w:fill="852166"/>
          </w:tcPr>
          <w:p>
            <w:pPr>
              <w:spacing w:after="0"/>
              <w:rPr>
                <w:sz w:val="12"/>
                <w:szCs w:val="12"/>
                <w:color w:val="auto"/>
              </w:rPr>
            </w:pPr>
          </w:p>
        </w:tc>
        <w:tc>
          <w:tcPr>
            <w:tcW w:w="124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Plan Awards:</w:t>
            </w:r>
          </w:p>
        </w:tc>
        <w:tc>
          <w:tcPr>
            <w:tcW w:w="260" w:type="dxa"/>
            <w:vAlign w:val="bottom"/>
            <w:shd w:val="clear" w:color="auto" w:fill="852166"/>
          </w:tcPr>
          <w:p>
            <w:pPr>
              <w:spacing w:after="0"/>
              <w:rPr>
                <w:sz w:val="12"/>
                <w:szCs w:val="12"/>
                <w:color w:val="auto"/>
              </w:rPr>
            </w:pPr>
          </w:p>
        </w:tc>
        <w:tc>
          <w:tcPr>
            <w:tcW w:w="1520" w:type="dxa"/>
            <w:vAlign w:val="bottom"/>
            <w:shd w:val="clear" w:color="auto" w:fill="852166"/>
          </w:tcPr>
          <w:p>
            <w:pPr>
              <w:jc w:val="right"/>
              <w:ind w:right="57"/>
              <w:spacing w:after="0"/>
              <w:rPr>
                <w:sz w:val="20"/>
                <w:szCs w:val="20"/>
                <w:color w:val="auto"/>
              </w:rPr>
            </w:pPr>
            <w:r>
              <w:rPr>
                <w:rFonts w:ascii="Arial" w:cs="Arial" w:eastAsia="Arial" w:hAnsi="Arial"/>
                <w:sz w:val="13"/>
                <w:szCs w:val="13"/>
                <w:b w:val="1"/>
                <w:bCs w:val="1"/>
                <w:color w:val="FFFFFF"/>
              </w:rPr>
              <w:t>Equity Incentive Plan</w:t>
            </w:r>
          </w:p>
        </w:tc>
      </w:tr>
      <w:tr>
        <w:trPr>
          <w:trHeight w:val="148"/>
        </w:trPr>
        <w:tc>
          <w:tcPr>
            <w:tcW w:w="1380" w:type="dxa"/>
            <w:vAlign w:val="bottom"/>
            <w:shd w:val="clear" w:color="auto" w:fill="852166"/>
          </w:tcPr>
          <w:p>
            <w:pPr>
              <w:spacing w:after="0"/>
              <w:rPr>
                <w:sz w:val="12"/>
                <w:szCs w:val="12"/>
                <w:color w:val="auto"/>
              </w:rPr>
            </w:pPr>
          </w:p>
        </w:tc>
        <w:tc>
          <w:tcPr>
            <w:tcW w:w="102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Number of</w:t>
            </w:r>
          </w:p>
        </w:tc>
        <w:tc>
          <w:tcPr>
            <w:tcW w:w="140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Number of</w:t>
            </w:r>
          </w:p>
        </w:tc>
        <w:tc>
          <w:tcPr>
            <w:tcW w:w="400" w:type="dxa"/>
            <w:vAlign w:val="bottom"/>
            <w:shd w:val="clear" w:color="auto" w:fill="852166"/>
          </w:tcPr>
          <w:p>
            <w:pPr>
              <w:spacing w:after="0"/>
              <w:rPr>
                <w:sz w:val="12"/>
                <w:szCs w:val="12"/>
                <w:color w:val="auto"/>
              </w:rPr>
            </w:pPr>
          </w:p>
        </w:tc>
        <w:tc>
          <w:tcPr>
            <w:tcW w:w="740" w:type="dxa"/>
            <w:vAlign w:val="bottom"/>
            <w:shd w:val="clear" w:color="auto" w:fill="852166"/>
          </w:tcPr>
          <w:p>
            <w:pPr>
              <w:spacing w:after="0"/>
              <w:rPr>
                <w:sz w:val="12"/>
                <w:szCs w:val="12"/>
                <w:color w:val="auto"/>
              </w:rPr>
            </w:pPr>
          </w:p>
        </w:tc>
        <w:tc>
          <w:tcPr>
            <w:tcW w:w="820" w:type="dxa"/>
            <w:vAlign w:val="bottom"/>
            <w:shd w:val="clear" w:color="auto" w:fill="852166"/>
          </w:tcPr>
          <w:p>
            <w:pPr>
              <w:spacing w:after="0"/>
              <w:rPr>
                <w:sz w:val="12"/>
                <w:szCs w:val="12"/>
                <w:color w:val="auto"/>
              </w:rPr>
            </w:pPr>
          </w:p>
        </w:tc>
        <w:tc>
          <w:tcPr>
            <w:tcW w:w="102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Number of</w:t>
            </w:r>
          </w:p>
        </w:tc>
        <w:tc>
          <w:tcPr>
            <w:tcW w:w="240" w:type="dxa"/>
            <w:vAlign w:val="bottom"/>
            <w:shd w:val="clear" w:color="auto" w:fill="852166"/>
          </w:tcPr>
          <w:p>
            <w:pPr>
              <w:spacing w:after="0"/>
              <w:rPr>
                <w:sz w:val="12"/>
                <w:szCs w:val="12"/>
                <w:color w:val="auto"/>
              </w:rPr>
            </w:pPr>
          </w:p>
        </w:tc>
        <w:tc>
          <w:tcPr>
            <w:tcW w:w="1200" w:type="dxa"/>
            <w:vAlign w:val="bottom"/>
            <w:shd w:val="clear" w:color="auto" w:fill="852166"/>
          </w:tcPr>
          <w:p>
            <w:pPr>
              <w:jc w:val="right"/>
              <w:ind w:right="77"/>
              <w:spacing w:after="0"/>
              <w:rPr>
                <w:sz w:val="20"/>
                <w:szCs w:val="20"/>
                <w:color w:val="auto"/>
              </w:rPr>
            </w:pPr>
            <w:r>
              <w:rPr>
                <w:rFonts w:ascii="Arial" w:cs="Arial" w:eastAsia="Arial" w:hAnsi="Arial"/>
                <w:sz w:val="13"/>
                <w:szCs w:val="13"/>
                <w:b w:val="1"/>
                <w:bCs w:val="1"/>
                <w:color w:val="FFFFFF"/>
              </w:rPr>
              <w:t>Market Value of</w:t>
            </w:r>
          </w:p>
        </w:tc>
        <w:tc>
          <w:tcPr>
            <w:tcW w:w="124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Number of</w:t>
            </w:r>
          </w:p>
        </w:tc>
        <w:tc>
          <w:tcPr>
            <w:tcW w:w="260" w:type="dxa"/>
            <w:vAlign w:val="bottom"/>
            <w:shd w:val="clear" w:color="auto" w:fill="852166"/>
          </w:tcPr>
          <w:p>
            <w:pPr>
              <w:spacing w:after="0"/>
              <w:rPr>
                <w:sz w:val="12"/>
                <w:szCs w:val="12"/>
                <w:color w:val="auto"/>
              </w:rPr>
            </w:pPr>
          </w:p>
        </w:tc>
        <w:tc>
          <w:tcPr>
            <w:tcW w:w="1520" w:type="dxa"/>
            <w:vAlign w:val="bottom"/>
            <w:shd w:val="clear" w:color="auto" w:fill="852166"/>
          </w:tcPr>
          <w:p>
            <w:pPr>
              <w:jc w:val="right"/>
              <w:ind w:right="57"/>
              <w:spacing w:after="0"/>
              <w:rPr>
                <w:sz w:val="20"/>
                <w:szCs w:val="20"/>
                <w:color w:val="auto"/>
              </w:rPr>
            </w:pPr>
            <w:r>
              <w:rPr>
                <w:rFonts w:ascii="Arial" w:cs="Arial" w:eastAsia="Arial" w:hAnsi="Arial"/>
                <w:sz w:val="13"/>
                <w:szCs w:val="13"/>
                <w:b w:val="1"/>
                <w:bCs w:val="1"/>
                <w:color w:val="FFFFFF"/>
              </w:rPr>
              <w:t>Awards: Market Value</w:t>
            </w:r>
          </w:p>
        </w:tc>
      </w:tr>
      <w:tr>
        <w:trPr>
          <w:trHeight w:val="149"/>
        </w:trPr>
        <w:tc>
          <w:tcPr>
            <w:tcW w:w="1380" w:type="dxa"/>
            <w:vAlign w:val="bottom"/>
            <w:shd w:val="clear" w:color="auto" w:fill="852166"/>
          </w:tcPr>
          <w:p>
            <w:pPr>
              <w:spacing w:after="0"/>
              <w:rPr>
                <w:sz w:val="12"/>
                <w:szCs w:val="12"/>
                <w:color w:val="auto"/>
              </w:rPr>
            </w:pPr>
          </w:p>
        </w:tc>
        <w:tc>
          <w:tcPr>
            <w:tcW w:w="102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Securities</w:t>
            </w:r>
          </w:p>
        </w:tc>
        <w:tc>
          <w:tcPr>
            <w:tcW w:w="140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Securities</w:t>
            </w:r>
          </w:p>
        </w:tc>
        <w:tc>
          <w:tcPr>
            <w:tcW w:w="400" w:type="dxa"/>
            <w:vAlign w:val="bottom"/>
            <w:shd w:val="clear" w:color="auto" w:fill="852166"/>
          </w:tcPr>
          <w:p>
            <w:pPr>
              <w:spacing w:after="0"/>
              <w:rPr>
                <w:sz w:val="12"/>
                <w:szCs w:val="12"/>
                <w:color w:val="auto"/>
              </w:rPr>
            </w:pPr>
          </w:p>
        </w:tc>
        <w:tc>
          <w:tcPr>
            <w:tcW w:w="740" w:type="dxa"/>
            <w:vAlign w:val="bottom"/>
            <w:shd w:val="clear" w:color="auto" w:fill="852166"/>
          </w:tcPr>
          <w:p>
            <w:pPr>
              <w:spacing w:after="0"/>
              <w:rPr>
                <w:sz w:val="12"/>
                <w:szCs w:val="12"/>
                <w:color w:val="auto"/>
              </w:rPr>
            </w:pPr>
          </w:p>
        </w:tc>
        <w:tc>
          <w:tcPr>
            <w:tcW w:w="820" w:type="dxa"/>
            <w:vAlign w:val="bottom"/>
            <w:shd w:val="clear" w:color="auto" w:fill="852166"/>
          </w:tcPr>
          <w:p>
            <w:pPr>
              <w:spacing w:after="0"/>
              <w:rPr>
                <w:sz w:val="12"/>
                <w:szCs w:val="12"/>
                <w:color w:val="auto"/>
              </w:rPr>
            </w:pPr>
          </w:p>
        </w:tc>
        <w:tc>
          <w:tcPr>
            <w:tcW w:w="102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Shares or</w:t>
            </w:r>
          </w:p>
        </w:tc>
        <w:tc>
          <w:tcPr>
            <w:tcW w:w="240" w:type="dxa"/>
            <w:vAlign w:val="bottom"/>
            <w:shd w:val="clear" w:color="auto" w:fill="852166"/>
          </w:tcPr>
          <w:p>
            <w:pPr>
              <w:spacing w:after="0"/>
              <w:rPr>
                <w:sz w:val="12"/>
                <w:szCs w:val="12"/>
                <w:color w:val="auto"/>
              </w:rPr>
            </w:pPr>
          </w:p>
        </w:tc>
        <w:tc>
          <w:tcPr>
            <w:tcW w:w="1200" w:type="dxa"/>
            <w:vAlign w:val="bottom"/>
            <w:shd w:val="clear" w:color="auto" w:fill="852166"/>
          </w:tcPr>
          <w:p>
            <w:pPr>
              <w:jc w:val="right"/>
              <w:ind w:right="77"/>
              <w:spacing w:after="0"/>
              <w:rPr>
                <w:sz w:val="20"/>
                <w:szCs w:val="20"/>
                <w:color w:val="auto"/>
              </w:rPr>
            </w:pPr>
            <w:r>
              <w:rPr>
                <w:rFonts w:ascii="Arial" w:cs="Arial" w:eastAsia="Arial" w:hAnsi="Arial"/>
                <w:sz w:val="13"/>
                <w:szCs w:val="13"/>
                <w:b w:val="1"/>
                <w:bCs w:val="1"/>
                <w:color w:val="FFFFFF"/>
              </w:rPr>
              <w:t>Shares or Units</w:t>
            </w:r>
          </w:p>
        </w:tc>
        <w:tc>
          <w:tcPr>
            <w:tcW w:w="124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Unearned Shares,</w:t>
            </w:r>
          </w:p>
        </w:tc>
        <w:tc>
          <w:tcPr>
            <w:tcW w:w="260" w:type="dxa"/>
            <w:vAlign w:val="bottom"/>
            <w:shd w:val="clear" w:color="auto" w:fill="852166"/>
          </w:tcPr>
          <w:p>
            <w:pPr>
              <w:spacing w:after="0"/>
              <w:rPr>
                <w:sz w:val="12"/>
                <w:szCs w:val="12"/>
                <w:color w:val="auto"/>
              </w:rPr>
            </w:pPr>
          </w:p>
        </w:tc>
        <w:tc>
          <w:tcPr>
            <w:tcW w:w="1520" w:type="dxa"/>
            <w:vAlign w:val="bottom"/>
            <w:shd w:val="clear" w:color="auto" w:fill="852166"/>
          </w:tcPr>
          <w:p>
            <w:pPr>
              <w:jc w:val="right"/>
              <w:ind w:right="57"/>
              <w:spacing w:after="0"/>
              <w:rPr>
                <w:sz w:val="20"/>
                <w:szCs w:val="20"/>
                <w:color w:val="auto"/>
              </w:rPr>
            </w:pPr>
            <w:r>
              <w:rPr>
                <w:rFonts w:ascii="Arial" w:cs="Arial" w:eastAsia="Arial" w:hAnsi="Arial"/>
                <w:sz w:val="13"/>
                <w:szCs w:val="13"/>
                <w:b w:val="1"/>
                <w:bCs w:val="1"/>
                <w:color w:val="FFFFFF"/>
              </w:rPr>
              <w:t>or Payout Value of</w:t>
            </w:r>
          </w:p>
        </w:tc>
      </w:tr>
      <w:tr>
        <w:trPr>
          <w:trHeight w:val="148"/>
        </w:trPr>
        <w:tc>
          <w:tcPr>
            <w:tcW w:w="1380" w:type="dxa"/>
            <w:vAlign w:val="bottom"/>
            <w:shd w:val="clear" w:color="auto" w:fill="852166"/>
          </w:tcPr>
          <w:p>
            <w:pPr>
              <w:spacing w:after="0"/>
              <w:rPr>
                <w:sz w:val="12"/>
                <w:szCs w:val="12"/>
                <w:color w:val="auto"/>
              </w:rPr>
            </w:pPr>
          </w:p>
        </w:tc>
        <w:tc>
          <w:tcPr>
            <w:tcW w:w="102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Underlying</w:t>
            </w:r>
          </w:p>
        </w:tc>
        <w:tc>
          <w:tcPr>
            <w:tcW w:w="140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Underlying</w:t>
            </w:r>
          </w:p>
        </w:tc>
        <w:tc>
          <w:tcPr>
            <w:tcW w:w="400" w:type="dxa"/>
            <w:vAlign w:val="bottom"/>
            <w:shd w:val="clear" w:color="auto" w:fill="852166"/>
          </w:tcPr>
          <w:p>
            <w:pPr>
              <w:spacing w:after="0"/>
              <w:rPr>
                <w:sz w:val="12"/>
                <w:szCs w:val="12"/>
                <w:color w:val="auto"/>
              </w:rPr>
            </w:pPr>
          </w:p>
        </w:tc>
        <w:tc>
          <w:tcPr>
            <w:tcW w:w="740" w:type="dxa"/>
            <w:vAlign w:val="bottom"/>
            <w:shd w:val="clear" w:color="auto" w:fill="852166"/>
          </w:tcPr>
          <w:p>
            <w:pPr>
              <w:jc w:val="right"/>
              <w:ind w:right="17"/>
              <w:spacing w:after="0"/>
              <w:rPr>
                <w:sz w:val="20"/>
                <w:szCs w:val="20"/>
                <w:color w:val="auto"/>
              </w:rPr>
            </w:pPr>
            <w:r>
              <w:rPr>
                <w:rFonts w:ascii="Arial" w:cs="Arial" w:eastAsia="Arial" w:hAnsi="Arial"/>
                <w:sz w:val="13"/>
                <w:szCs w:val="13"/>
                <w:b w:val="1"/>
                <w:bCs w:val="1"/>
                <w:color w:val="FFFFFF"/>
              </w:rPr>
              <w:t>Option</w:t>
            </w:r>
          </w:p>
        </w:tc>
        <w:tc>
          <w:tcPr>
            <w:tcW w:w="820" w:type="dxa"/>
            <w:vAlign w:val="bottom"/>
            <w:shd w:val="clear" w:color="auto" w:fill="852166"/>
          </w:tcPr>
          <w:p>
            <w:pPr>
              <w:spacing w:after="0"/>
              <w:rPr>
                <w:sz w:val="12"/>
                <w:szCs w:val="12"/>
                <w:color w:val="auto"/>
              </w:rPr>
            </w:pPr>
          </w:p>
        </w:tc>
        <w:tc>
          <w:tcPr>
            <w:tcW w:w="102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Units of Stock</w:t>
            </w:r>
          </w:p>
        </w:tc>
        <w:tc>
          <w:tcPr>
            <w:tcW w:w="240" w:type="dxa"/>
            <w:vAlign w:val="bottom"/>
            <w:shd w:val="clear" w:color="auto" w:fill="852166"/>
          </w:tcPr>
          <w:p>
            <w:pPr>
              <w:spacing w:after="0"/>
              <w:rPr>
                <w:sz w:val="12"/>
                <w:szCs w:val="12"/>
                <w:color w:val="auto"/>
              </w:rPr>
            </w:pPr>
          </w:p>
        </w:tc>
        <w:tc>
          <w:tcPr>
            <w:tcW w:w="1200" w:type="dxa"/>
            <w:vAlign w:val="bottom"/>
            <w:shd w:val="clear" w:color="auto" w:fill="852166"/>
          </w:tcPr>
          <w:p>
            <w:pPr>
              <w:jc w:val="right"/>
              <w:ind w:right="77"/>
              <w:spacing w:after="0"/>
              <w:rPr>
                <w:sz w:val="20"/>
                <w:szCs w:val="20"/>
                <w:color w:val="auto"/>
              </w:rPr>
            </w:pPr>
            <w:r>
              <w:rPr>
                <w:rFonts w:ascii="Arial" w:cs="Arial" w:eastAsia="Arial" w:hAnsi="Arial"/>
                <w:sz w:val="13"/>
                <w:szCs w:val="13"/>
                <w:b w:val="1"/>
                <w:bCs w:val="1"/>
                <w:color w:val="FFFFFF"/>
              </w:rPr>
              <w:t>of Stock That</w:t>
            </w:r>
          </w:p>
        </w:tc>
        <w:tc>
          <w:tcPr>
            <w:tcW w:w="124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Units or Other</w:t>
            </w:r>
          </w:p>
        </w:tc>
        <w:tc>
          <w:tcPr>
            <w:tcW w:w="260" w:type="dxa"/>
            <w:vAlign w:val="bottom"/>
            <w:shd w:val="clear" w:color="auto" w:fill="852166"/>
          </w:tcPr>
          <w:p>
            <w:pPr>
              <w:spacing w:after="0"/>
              <w:rPr>
                <w:sz w:val="12"/>
                <w:szCs w:val="12"/>
                <w:color w:val="auto"/>
              </w:rPr>
            </w:pPr>
          </w:p>
        </w:tc>
        <w:tc>
          <w:tcPr>
            <w:tcW w:w="1520" w:type="dxa"/>
            <w:vAlign w:val="bottom"/>
            <w:shd w:val="clear" w:color="auto" w:fill="852166"/>
          </w:tcPr>
          <w:p>
            <w:pPr>
              <w:jc w:val="right"/>
              <w:ind w:right="57"/>
              <w:spacing w:after="0"/>
              <w:rPr>
                <w:sz w:val="20"/>
                <w:szCs w:val="20"/>
                <w:color w:val="auto"/>
              </w:rPr>
            </w:pPr>
            <w:r>
              <w:rPr>
                <w:rFonts w:ascii="Arial" w:cs="Arial" w:eastAsia="Arial" w:hAnsi="Arial"/>
                <w:sz w:val="13"/>
                <w:szCs w:val="13"/>
                <w:b w:val="1"/>
                <w:bCs w:val="1"/>
                <w:color w:val="FFFFFF"/>
              </w:rPr>
              <w:t>Unearned Shares,</w:t>
            </w:r>
          </w:p>
        </w:tc>
      </w:tr>
      <w:tr>
        <w:trPr>
          <w:trHeight w:val="148"/>
        </w:trPr>
        <w:tc>
          <w:tcPr>
            <w:tcW w:w="1380" w:type="dxa"/>
            <w:vAlign w:val="bottom"/>
            <w:shd w:val="clear" w:color="auto" w:fill="852166"/>
          </w:tcPr>
          <w:p>
            <w:pPr>
              <w:spacing w:after="0"/>
              <w:rPr>
                <w:sz w:val="12"/>
                <w:szCs w:val="12"/>
                <w:color w:val="auto"/>
              </w:rPr>
            </w:pPr>
          </w:p>
        </w:tc>
        <w:tc>
          <w:tcPr>
            <w:tcW w:w="102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Unexercised</w:t>
            </w:r>
          </w:p>
        </w:tc>
        <w:tc>
          <w:tcPr>
            <w:tcW w:w="140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Unexercised</w:t>
            </w:r>
          </w:p>
        </w:tc>
        <w:tc>
          <w:tcPr>
            <w:tcW w:w="400" w:type="dxa"/>
            <w:vAlign w:val="bottom"/>
            <w:shd w:val="clear" w:color="auto" w:fill="852166"/>
          </w:tcPr>
          <w:p>
            <w:pPr>
              <w:spacing w:after="0"/>
              <w:rPr>
                <w:sz w:val="12"/>
                <w:szCs w:val="12"/>
                <w:color w:val="auto"/>
              </w:rPr>
            </w:pPr>
          </w:p>
        </w:tc>
        <w:tc>
          <w:tcPr>
            <w:tcW w:w="740" w:type="dxa"/>
            <w:vAlign w:val="bottom"/>
            <w:shd w:val="clear" w:color="auto" w:fill="852166"/>
          </w:tcPr>
          <w:p>
            <w:pPr>
              <w:jc w:val="right"/>
              <w:ind w:right="17"/>
              <w:spacing w:after="0"/>
              <w:rPr>
                <w:sz w:val="20"/>
                <w:szCs w:val="20"/>
                <w:color w:val="auto"/>
              </w:rPr>
            </w:pPr>
            <w:r>
              <w:rPr>
                <w:rFonts w:ascii="Arial" w:cs="Arial" w:eastAsia="Arial" w:hAnsi="Arial"/>
                <w:sz w:val="13"/>
                <w:szCs w:val="13"/>
                <w:b w:val="1"/>
                <w:bCs w:val="1"/>
                <w:color w:val="FFFFFF"/>
              </w:rPr>
              <w:t>Exercise</w:t>
            </w:r>
          </w:p>
        </w:tc>
        <w:tc>
          <w:tcPr>
            <w:tcW w:w="820" w:type="dxa"/>
            <w:vAlign w:val="bottom"/>
            <w:shd w:val="clear" w:color="auto" w:fill="852166"/>
          </w:tcPr>
          <w:p>
            <w:pPr>
              <w:jc w:val="center"/>
              <w:ind w:right="37"/>
              <w:spacing w:after="0"/>
              <w:rPr>
                <w:sz w:val="20"/>
                <w:szCs w:val="20"/>
                <w:color w:val="auto"/>
              </w:rPr>
            </w:pPr>
            <w:r>
              <w:rPr>
                <w:rFonts w:ascii="Arial" w:cs="Arial" w:eastAsia="Arial" w:hAnsi="Arial"/>
                <w:sz w:val="13"/>
                <w:szCs w:val="13"/>
                <w:b w:val="1"/>
                <w:bCs w:val="1"/>
                <w:color w:val="FFFFFF"/>
                <w:w w:val="95"/>
              </w:rPr>
              <w:t>Option</w:t>
            </w:r>
          </w:p>
        </w:tc>
        <w:tc>
          <w:tcPr>
            <w:tcW w:w="102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That Have Not</w:t>
            </w:r>
          </w:p>
        </w:tc>
        <w:tc>
          <w:tcPr>
            <w:tcW w:w="240" w:type="dxa"/>
            <w:vAlign w:val="bottom"/>
            <w:shd w:val="clear" w:color="auto" w:fill="852166"/>
          </w:tcPr>
          <w:p>
            <w:pPr>
              <w:spacing w:after="0"/>
              <w:rPr>
                <w:sz w:val="12"/>
                <w:szCs w:val="12"/>
                <w:color w:val="auto"/>
              </w:rPr>
            </w:pPr>
          </w:p>
        </w:tc>
        <w:tc>
          <w:tcPr>
            <w:tcW w:w="1200" w:type="dxa"/>
            <w:vAlign w:val="bottom"/>
            <w:shd w:val="clear" w:color="auto" w:fill="852166"/>
          </w:tcPr>
          <w:p>
            <w:pPr>
              <w:jc w:val="right"/>
              <w:ind w:right="77"/>
              <w:spacing w:after="0"/>
              <w:rPr>
                <w:sz w:val="20"/>
                <w:szCs w:val="20"/>
                <w:color w:val="auto"/>
              </w:rPr>
            </w:pPr>
            <w:r>
              <w:rPr>
                <w:rFonts w:ascii="Arial" w:cs="Arial" w:eastAsia="Arial" w:hAnsi="Arial"/>
                <w:sz w:val="13"/>
                <w:szCs w:val="13"/>
                <w:b w:val="1"/>
                <w:bCs w:val="1"/>
                <w:color w:val="FFFFFF"/>
              </w:rPr>
              <w:t>Have Not</w:t>
            </w:r>
          </w:p>
        </w:tc>
        <w:tc>
          <w:tcPr>
            <w:tcW w:w="124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Rights That Have</w:t>
            </w:r>
          </w:p>
        </w:tc>
        <w:tc>
          <w:tcPr>
            <w:tcW w:w="260" w:type="dxa"/>
            <w:vAlign w:val="bottom"/>
            <w:shd w:val="clear" w:color="auto" w:fill="852166"/>
          </w:tcPr>
          <w:p>
            <w:pPr>
              <w:spacing w:after="0"/>
              <w:rPr>
                <w:sz w:val="12"/>
                <w:szCs w:val="12"/>
                <w:color w:val="auto"/>
              </w:rPr>
            </w:pPr>
          </w:p>
        </w:tc>
        <w:tc>
          <w:tcPr>
            <w:tcW w:w="1520" w:type="dxa"/>
            <w:vAlign w:val="bottom"/>
            <w:shd w:val="clear" w:color="auto" w:fill="852166"/>
          </w:tcPr>
          <w:p>
            <w:pPr>
              <w:jc w:val="right"/>
              <w:ind w:right="57"/>
              <w:spacing w:after="0"/>
              <w:rPr>
                <w:sz w:val="20"/>
                <w:szCs w:val="20"/>
                <w:color w:val="auto"/>
              </w:rPr>
            </w:pPr>
            <w:r>
              <w:rPr>
                <w:rFonts w:ascii="Arial" w:cs="Arial" w:eastAsia="Arial" w:hAnsi="Arial"/>
                <w:sz w:val="13"/>
                <w:szCs w:val="13"/>
                <w:b w:val="1"/>
                <w:bCs w:val="1"/>
                <w:color w:val="FFFFFF"/>
              </w:rPr>
              <w:t>Units or Other Rights</w:t>
            </w:r>
          </w:p>
        </w:tc>
      </w:tr>
      <w:tr>
        <w:trPr>
          <w:trHeight w:val="152"/>
        </w:trPr>
        <w:tc>
          <w:tcPr>
            <w:tcW w:w="1380" w:type="dxa"/>
            <w:vAlign w:val="bottom"/>
            <w:shd w:val="clear" w:color="auto" w:fill="852166"/>
          </w:tcPr>
          <w:p>
            <w:pPr>
              <w:spacing w:after="0"/>
              <w:rPr>
                <w:sz w:val="13"/>
                <w:szCs w:val="13"/>
                <w:color w:val="auto"/>
              </w:rPr>
            </w:pPr>
          </w:p>
        </w:tc>
        <w:tc>
          <w:tcPr>
            <w:tcW w:w="102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Options</w:t>
            </w:r>
          </w:p>
        </w:tc>
        <w:tc>
          <w:tcPr>
            <w:tcW w:w="140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Options</w:t>
            </w:r>
          </w:p>
        </w:tc>
        <w:tc>
          <w:tcPr>
            <w:tcW w:w="400" w:type="dxa"/>
            <w:vAlign w:val="bottom"/>
            <w:shd w:val="clear" w:color="auto" w:fill="852166"/>
          </w:tcPr>
          <w:p>
            <w:pPr>
              <w:spacing w:after="0"/>
              <w:rPr>
                <w:sz w:val="13"/>
                <w:szCs w:val="13"/>
                <w:color w:val="auto"/>
              </w:rPr>
            </w:pPr>
          </w:p>
        </w:tc>
        <w:tc>
          <w:tcPr>
            <w:tcW w:w="740" w:type="dxa"/>
            <w:vAlign w:val="bottom"/>
            <w:shd w:val="clear" w:color="auto" w:fill="852166"/>
          </w:tcPr>
          <w:p>
            <w:pPr>
              <w:jc w:val="right"/>
              <w:ind w:right="57"/>
              <w:spacing w:after="0"/>
              <w:rPr>
                <w:sz w:val="20"/>
                <w:szCs w:val="20"/>
                <w:color w:val="auto"/>
              </w:rPr>
            </w:pPr>
            <w:r>
              <w:rPr>
                <w:rFonts w:ascii="Arial" w:cs="Arial" w:eastAsia="Arial" w:hAnsi="Arial"/>
                <w:sz w:val="13"/>
                <w:szCs w:val="13"/>
                <w:b w:val="1"/>
                <w:bCs w:val="1"/>
                <w:color w:val="FFFFFF"/>
              </w:rPr>
              <w:t>Price</w:t>
            </w:r>
          </w:p>
        </w:tc>
        <w:tc>
          <w:tcPr>
            <w:tcW w:w="820" w:type="dxa"/>
            <w:vAlign w:val="bottom"/>
            <w:shd w:val="clear" w:color="auto" w:fill="852166"/>
          </w:tcPr>
          <w:p>
            <w:pPr>
              <w:jc w:val="center"/>
              <w:ind w:right="17"/>
              <w:spacing w:after="0"/>
              <w:rPr>
                <w:sz w:val="20"/>
                <w:szCs w:val="20"/>
                <w:color w:val="auto"/>
              </w:rPr>
            </w:pPr>
            <w:r>
              <w:rPr>
                <w:rFonts w:ascii="Arial" w:cs="Arial" w:eastAsia="Arial" w:hAnsi="Arial"/>
                <w:sz w:val="13"/>
                <w:szCs w:val="13"/>
                <w:b w:val="1"/>
                <w:bCs w:val="1"/>
                <w:color w:val="FFFFFF"/>
                <w:w w:val="97"/>
              </w:rPr>
              <w:t>Expiration</w:t>
            </w:r>
          </w:p>
        </w:tc>
        <w:tc>
          <w:tcPr>
            <w:tcW w:w="102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Vested</w:t>
            </w:r>
          </w:p>
        </w:tc>
        <w:tc>
          <w:tcPr>
            <w:tcW w:w="240" w:type="dxa"/>
            <w:vAlign w:val="bottom"/>
            <w:shd w:val="clear" w:color="auto" w:fill="852166"/>
          </w:tcPr>
          <w:p>
            <w:pPr>
              <w:spacing w:after="0"/>
              <w:rPr>
                <w:sz w:val="13"/>
                <w:szCs w:val="13"/>
                <w:color w:val="auto"/>
              </w:rPr>
            </w:pPr>
          </w:p>
        </w:tc>
        <w:tc>
          <w:tcPr>
            <w:tcW w:w="1200" w:type="dxa"/>
            <w:vAlign w:val="bottom"/>
            <w:shd w:val="clear" w:color="auto" w:fill="852166"/>
          </w:tcPr>
          <w:p>
            <w:pPr>
              <w:jc w:val="right"/>
              <w:ind w:right="77"/>
              <w:spacing w:after="0"/>
              <w:rPr>
                <w:sz w:val="20"/>
                <w:szCs w:val="20"/>
                <w:color w:val="auto"/>
              </w:rPr>
            </w:pPr>
            <w:r>
              <w:rPr>
                <w:rFonts w:ascii="Arial" w:cs="Arial" w:eastAsia="Arial" w:hAnsi="Arial"/>
                <w:sz w:val="13"/>
                <w:szCs w:val="13"/>
                <w:b w:val="1"/>
                <w:bCs w:val="1"/>
                <w:color w:val="FFFFFF"/>
              </w:rPr>
              <w:t>Vested</w:t>
            </w:r>
          </w:p>
        </w:tc>
        <w:tc>
          <w:tcPr>
            <w:tcW w:w="124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Not Vested</w:t>
            </w:r>
          </w:p>
        </w:tc>
        <w:tc>
          <w:tcPr>
            <w:tcW w:w="260" w:type="dxa"/>
            <w:vAlign w:val="bottom"/>
            <w:shd w:val="clear" w:color="auto" w:fill="852166"/>
          </w:tcPr>
          <w:p>
            <w:pPr>
              <w:spacing w:after="0"/>
              <w:rPr>
                <w:sz w:val="13"/>
                <w:szCs w:val="13"/>
                <w:color w:val="auto"/>
              </w:rPr>
            </w:pPr>
          </w:p>
        </w:tc>
        <w:tc>
          <w:tcPr>
            <w:tcW w:w="1520" w:type="dxa"/>
            <w:vAlign w:val="bottom"/>
            <w:shd w:val="clear" w:color="auto" w:fill="852166"/>
          </w:tcPr>
          <w:p>
            <w:pPr>
              <w:jc w:val="right"/>
              <w:ind w:right="57"/>
              <w:spacing w:after="0"/>
              <w:rPr>
                <w:sz w:val="20"/>
                <w:szCs w:val="20"/>
                <w:color w:val="auto"/>
              </w:rPr>
            </w:pPr>
            <w:r>
              <w:rPr>
                <w:rFonts w:ascii="Arial" w:cs="Arial" w:eastAsia="Arial" w:hAnsi="Arial"/>
                <w:sz w:val="13"/>
                <w:szCs w:val="13"/>
                <w:b w:val="1"/>
                <w:bCs w:val="1"/>
                <w:color w:val="FFFFFF"/>
              </w:rPr>
              <w:t>That Have Not Vested</w:t>
            </w:r>
          </w:p>
        </w:tc>
      </w:tr>
      <w:tr>
        <w:trPr>
          <w:trHeight w:val="238"/>
        </w:trPr>
        <w:tc>
          <w:tcPr>
            <w:tcW w:w="1380" w:type="dxa"/>
            <w:vAlign w:val="bottom"/>
            <w:tcBorders>
              <w:bottom w:val="single" w:sz="8" w:color="852166"/>
            </w:tcBorders>
            <w:shd w:val="clear" w:color="auto" w:fill="852166"/>
          </w:tcPr>
          <w:p>
            <w:pPr>
              <w:ind w:left="100"/>
              <w:spacing w:after="0"/>
              <w:rPr>
                <w:sz w:val="20"/>
                <w:szCs w:val="20"/>
                <w:color w:val="auto"/>
              </w:rPr>
            </w:pPr>
            <w:r>
              <w:rPr>
                <w:rFonts w:ascii="Arial" w:cs="Arial" w:eastAsia="Arial" w:hAnsi="Arial"/>
                <w:sz w:val="13"/>
                <w:szCs w:val="13"/>
                <w:b w:val="1"/>
                <w:bCs w:val="1"/>
                <w:color w:val="FFFFFF"/>
              </w:rPr>
              <w:t>Name</w:t>
            </w:r>
          </w:p>
        </w:tc>
        <w:tc>
          <w:tcPr>
            <w:tcW w:w="1020" w:type="dxa"/>
            <w:vAlign w:val="bottom"/>
            <w:tcBorders>
              <w:bottom w:val="single" w:sz="8" w:color="852166"/>
            </w:tcBorders>
            <w:shd w:val="clear" w:color="auto" w:fill="852166"/>
          </w:tcPr>
          <w:p>
            <w:pPr>
              <w:jc w:val="right"/>
              <w:spacing w:after="0"/>
              <w:rPr>
                <w:sz w:val="20"/>
                <w:szCs w:val="20"/>
                <w:color w:val="auto"/>
              </w:rPr>
            </w:pPr>
            <w:r>
              <w:rPr>
                <w:rFonts w:ascii="Arial" w:cs="Arial" w:eastAsia="Arial" w:hAnsi="Arial"/>
                <w:sz w:val="13"/>
                <w:szCs w:val="13"/>
                <w:b w:val="1"/>
                <w:bCs w:val="1"/>
                <w:color w:val="FFFFFF"/>
              </w:rPr>
              <w:t>(#) Exercisable</w:t>
            </w:r>
          </w:p>
        </w:tc>
        <w:tc>
          <w:tcPr>
            <w:tcW w:w="1400" w:type="dxa"/>
            <w:vAlign w:val="bottom"/>
            <w:tcBorders>
              <w:bottom w:val="single" w:sz="8" w:color="852166"/>
            </w:tcBorders>
            <w:shd w:val="clear" w:color="auto" w:fill="852166"/>
          </w:tcPr>
          <w:p>
            <w:pPr>
              <w:jc w:val="right"/>
              <w:spacing w:after="0"/>
              <w:rPr>
                <w:sz w:val="20"/>
                <w:szCs w:val="20"/>
                <w:color w:val="auto"/>
              </w:rPr>
            </w:pPr>
            <w:r>
              <w:rPr>
                <w:rFonts w:ascii="Arial" w:cs="Arial" w:eastAsia="Arial" w:hAnsi="Arial"/>
                <w:sz w:val="13"/>
                <w:szCs w:val="13"/>
                <w:b w:val="1"/>
                <w:bCs w:val="1"/>
                <w:color w:val="FFFFFF"/>
              </w:rPr>
              <w:t>(#) Unexercisable</w:t>
            </w:r>
          </w:p>
        </w:tc>
        <w:tc>
          <w:tcPr>
            <w:tcW w:w="400" w:type="dxa"/>
            <w:vAlign w:val="bottom"/>
            <w:tcBorders>
              <w:bottom w:val="single" w:sz="8" w:color="852166"/>
            </w:tcBorders>
            <w:shd w:val="clear" w:color="auto" w:fill="852166"/>
          </w:tcPr>
          <w:p>
            <w:pPr>
              <w:spacing w:after="0"/>
              <w:rPr>
                <w:sz w:val="20"/>
                <w:szCs w:val="20"/>
                <w:color w:val="auto"/>
              </w:rPr>
            </w:pPr>
          </w:p>
        </w:tc>
        <w:tc>
          <w:tcPr>
            <w:tcW w:w="740" w:type="dxa"/>
            <w:vAlign w:val="bottom"/>
            <w:tcBorders>
              <w:bottom w:val="single" w:sz="8" w:color="852166"/>
            </w:tcBorders>
            <w:shd w:val="clear" w:color="auto" w:fill="852166"/>
          </w:tcPr>
          <w:p>
            <w:pPr>
              <w:jc w:val="right"/>
              <w:ind w:right="17"/>
              <w:spacing w:after="0"/>
              <w:rPr>
                <w:sz w:val="20"/>
                <w:szCs w:val="20"/>
                <w:color w:val="auto"/>
              </w:rPr>
            </w:pPr>
            <w:r>
              <w:rPr>
                <w:rFonts w:ascii="Arial" w:cs="Arial" w:eastAsia="Arial" w:hAnsi="Arial"/>
                <w:sz w:val="13"/>
                <w:szCs w:val="13"/>
                <w:b w:val="1"/>
                <w:bCs w:val="1"/>
                <w:color w:val="FFFFFF"/>
              </w:rPr>
              <w:t>($)</w:t>
            </w:r>
          </w:p>
        </w:tc>
        <w:tc>
          <w:tcPr>
            <w:tcW w:w="820" w:type="dxa"/>
            <w:vAlign w:val="bottom"/>
            <w:tcBorders>
              <w:bottom w:val="single" w:sz="8" w:color="852166"/>
            </w:tcBorders>
            <w:shd w:val="clear" w:color="auto" w:fill="852166"/>
          </w:tcPr>
          <w:p>
            <w:pPr>
              <w:jc w:val="center"/>
              <w:ind w:right="17"/>
              <w:spacing w:after="0"/>
              <w:rPr>
                <w:sz w:val="20"/>
                <w:szCs w:val="20"/>
                <w:color w:val="auto"/>
              </w:rPr>
            </w:pPr>
            <w:r>
              <w:rPr>
                <w:rFonts w:ascii="Arial" w:cs="Arial" w:eastAsia="Arial" w:hAnsi="Arial"/>
                <w:sz w:val="13"/>
                <w:szCs w:val="13"/>
                <w:b w:val="1"/>
                <w:bCs w:val="1"/>
                <w:color w:val="FFFFFF"/>
                <w:w w:val="92"/>
              </w:rPr>
              <w:t>Date</w:t>
            </w:r>
            <w:r>
              <w:rPr>
                <w:rFonts w:ascii="Arial" w:cs="Arial" w:eastAsia="Arial" w:hAnsi="Arial"/>
                <w:sz w:val="16"/>
                <w:szCs w:val="16"/>
                <w:b w:val="1"/>
                <w:bCs w:val="1"/>
                <w:color w:val="FFFFFF"/>
                <w:w w:val="92"/>
                <w:vertAlign w:val="superscript"/>
              </w:rPr>
              <w:t>(2)</w:t>
            </w:r>
          </w:p>
        </w:tc>
        <w:tc>
          <w:tcPr>
            <w:tcW w:w="1020" w:type="dxa"/>
            <w:vAlign w:val="bottom"/>
            <w:tcBorders>
              <w:bottom w:val="single" w:sz="8" w:color="852166"/>
            </w:tcBorders>
            <w:shd w:val="clear" w:color="auto" w:fill="852166"/>
          </w:tcPr>
          <w:p>
            <w:pPr>
              <w:jc w:val="right"/>
              <w:spacing w:after="0"/>
              <w:rPr>
                <w:sz w:val="20"/>
                <w:szCs w:val="20"/>
                <w:color w:val="auto"/>
              </w:rPr>
            </w:pPr>
            <w:r>
              <w:rPr>
                <w:rFonts w:ascii="Arial" w:cs="Arial" w:eastAsia="Arial" w:hAnsi="Arial"/>
                <w:sz w:val="13"/>
                <w:szCs w:val="13"/>
                <w:b w:val="1"/>
                <w:bCs w:val="1"/>
                <w:color w:val="FFFFFF"/>
              </w:rPr>
              <w:t>(#)</w:t>
            </w:r>
          </w:p>
        </w:tc>
        <w:tc>
          <w:tcPr>
            <w:tcW w:w="240" w:type="dxa"/>
            <w:vAlign w:val="bottom"/>
            <w:tcBorders>
              <w:bottom w:val="single" w:sz="8" w:color="852166"/>
            </w:tcBorders>
            <w:shd w:val="clear" w:color="auto" w:fill="852166"/>
          </w:tcPr>
          <w:p>
            <w:pPr>
              <w:spacing w:after="0"/>
              <w:rPr>
                <w:sz w:val="20"/>
                <w:szCs w:val="20"/>
                <w:color w:val="auto"/>
              </w:rPr>
            </w:pPr>
          </w:p>
        </w:tc>
        <w:tc>
          <w:tcPr>
            <w:tcW w:w="1200" w:type="dxa"/>
            <w:vAlign w:val="bottom"/>
            <w:tcBorders>
              <w:bottom w:val="single" w:sz="8" w:color="852166"/>
            </w:tcBorders>
            <w:shd w:val="clear" w:color="auto" w:fill="852166"/>
          </w:tcPr>
          <w:p>
            <w:pPr>
              <w:jc w:val="right"/>
              <w:ind w:right="77"/>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(3)</w:t>
            </w:r>
          </w:p>
        </w:tc>
        <w:tc>
          <w:tcPr>
            <w:tcW w:w="1240" w:type="dxa"/>
            <w:vAlign w:val="bottom"/>
            <w:tcBorders>
              <w:bottom w:val="single" w:sz="8" w:color="852166"/>
            </w:tcBorders>
            <w:shd w:val="clear" w:color="auto" w:fill="852166"/>
          </w:tcPr>
          <w:p>
            <w:pPr>
              <w:jc w:val="right"/>
              <w:spacing w:after="0"/>
              <w:rPr>
                <w:sz w:val="20"/>
                <w:szCs w:val="20"/>
                <w:color w:val="auto"/>
              </w:rPr>
            </w:pPr>
            <w:r>
              <w:rPr>
                <w:rFonts w:ascii="Arial" w:cs="Arial" w:eastAsia="Arial" w:hAnsi="Arial"/>
                <w:sz w:val="13"/>
                <w:szCs w:val="13"/>
                <w:b w:val="1"/>
                <w:bCs w:val="1"/>
                <w:color w:val="FFFFFF"/>
              </w:rPr>
              <w:t>(#)</w:t>
            </w:r>
          </w:p>
        </w:tc>
        <w:tc>
          <w:tcPr>
            <w:tcW w:w="260" w:type="dxa"/>
            <w:vAlign w:val="bottom"/>
            <w:tcBorders>
              <w:bottom w:val="single" w:sz="8" w:color="852166"/>
            </w:tcBorders>
            <w:shd w:val="clear" w:color="auto" w:fill="852166"/>
          </w:tcPr>
          <w:p>
            <w:pPr>
              <w:spacing w:after="0"/>
              <w:rPr>
                <w:sz w:val="20"/>
                <w:szCs w:val="20"/>
                <w:color w:val="auto"/>
              </w:rPr>
            </w:pPr>
          </w:p>
        </w:tc>
        <w:tc>
          <w:tcPr>
            <w:tcW w:w="1520" w:type="dxa"/>
            <w:vAlign w:val="bottom"/>
            <w:tcBorders>
              <w:bottom w:val="single" w:sz="8" w:color="852166"/>
            </w:tcBorders>
            <w:shd w:val="clear" w:color="auto" w:fill="852166"/>
          </w:tcPr>
          <w:p>
            <w:pPr>
              <w:jc w:val="right"/>
              <w:ind w:right="57"/>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(4)</w:t>
            </w:r>
          </w:p>
        </w:tc>
      </w:tr>
      <w:tr>
        <w:trPr>
          <w:trHeight w:val="202"/>
        </w:trPr>
        <w:tc>
          <w:tcPr>
            <w:tcW w:w="1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124,583</w:t>
            </w:r>
          </w:p>
        </w:tc>
        <w:tc>
          <w:tcPr>
            <w:tcW w:w="1400" w:type="dxa"/>
            <w:vAlign w:val="bottom"/>
          </w:tcPr>
          <w:p>
            <w:pPr>
              <w:jc w:val="right"/>
              <w:spacing w:after="0"/>
              <w:rPr>
                <w:sz w:val="20"/>
                <w:szCs w:val="20"/>
                <w:color w:val="auto"/>
              </w:rPr>
            </w:pPr>
            <w:r>
              <w:rPr>
                <w:rFonts w:ascii="Arial" w:cs="Arial" w:eastAsia="Arial" w:hAnsi="Arial"/>
                <w:sz w:val="13"/>
                <w:szCs w:val="13"/>
                <w:color w:val="auto"/>
              </w:rPr>
              <w:t>5,417</w:t>
            </w:r>
          </w:p>
        </w:tc>
        <w:tc>
          <w:tcPr>
            <w:tcW w:w="400" w:type="dxa"/>
            <w:vAlign w:val="bottom"/>
          </w:tcPr>
          <w:p>
            <w:pPr>
              <w:jc w:val="right"/>
              <w:ind w:right="239"/>
              <w:spacing w:after="0"/>
              <w:rPr>
                <w:sz w:val="20"/>
                <w:szCs w:val="20"/>
                <w:color w:val="auto"/>
              </w:rPr>
            </w:pPr>
            <w:r>
              <w:rPr>
                <w:rFonts w:ascii="Arial" w:cs="Arial" w:eastAsia="Arial" w:hAnsi="Arial"/>
                <w:sz w:val="8"/>
                <w:szCs w:val="8"/>
                <w:color w:val="auto"/>
              </w:rPr>
              <w:t>(6)</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113.10</w:t>
            </w:r>
          </w:p>
        </w:tc>
        <w:tc>
          <w:tcPr>
            <w:tcW w:w="820" w:type="dxa"/>
            <w:vAlign w:val="bottom"/>
          </w:tcPr>
          <w:p>
            <w:pPr>
              <w:jc w:val="center"/>
              <w:ind w:right="37"/>
              <w:spacing w:after="0"/>
              <w:rPr>
                <w:sz w:val="20"/>
                <w:szCs w:val="20"/>
                <w:color w:val="auto"/>
              </w:rPr>
            </w:pPr>
            <w:r>
              <w:rPr>
                <w:rFonts w:ascii="Arial" w:cs="Arial" w:eastAsia="Arial" w:hAnsi="Arial"/>
                <w:sz w:val="13"/>
                <w:szCs w:val="13"/>
                <w:color w:val="auto"/>
                <w:w w:val="96"/>
              </w:rPr>
              <w:t>2/26/2030</w:t>
            </w:r>
          </w:p>
        </w:tc>
        <w:tc>
          <w:tcPr>
            <w:tcW w:w="1020" w:type="dxa"/>
            <w:vAlign w:val="bottom"/>
          </w:tcPr>
          <w:p>
            <w:pPr>
              <w:jc w:val="right"/>
              <w:spacing w:after="0"/>
              <w:rPr>
                <w:sz w:val="20"/>
                <w:szCs w:val="20"/>
                <w:color w:val="auto"/>
              </w:rPr>
            </w:pPr>
            <w:r>
              <w:rPr>
                <w:rFonts w:ascii="Arial" w:cs="Arial" w:eastAsia="Arial" w:hAnsi="Arial"/>
                <w:sz w:val="13"/>
                <w:szCs w:val="13"/>
                <w:color w:val="auto"/>
              </w:rPr>
              <w:t>42,388</w:t>
            </w:r>
          </w:p>
        </w:tc>
        <w:tc>
          <w:tcPr>
            <w:tcW w:w="240" w:type="dxa"/>
            <w:vAlign w:val="bottom"/>
          </w:tcPr>
          <w:p>
            <w:pPr>
              <w:jc w:val="right"/>
              <w:ind w:right="99"/>
              <w:spacing w:after="0"/>
              <w:rPr>
                <w:sz w:val="20"/>
                <w:szCs w:val="20"/>
                <w:color w:val="auto"/>
              </w:rPr>
            </w:pPr>
            <w:r>
              <w:rPr>
                <w:rFonts w:ascii="Arial" w:cs="Arial" w:eastAsia="Arial" w:hAnsi="Arial"/>
                <w:sz w:val="8"/>
                <w:szCs w:val="8"/>
                <w:color w:val="auto"/>
                <w:w w:val="81"/>
              </w:rPr>
              <w:t>(7)</w:t>
            </w:r>
          </w:p>
        </w:tc>
        <w:tc>
          <w:tcPr>
            <w:tcW w:w="1200" w:type="dxa"/>
            <w:vAlign w:val="bottom"/>
          </w:tcPr>
          <w:p>
            <w:pPr>
              <w:jc w:val="right"/>
              <w:ind w:right="77"/>
              <w:spacing w:after="0"/>
              <w:rPr>
                <w:sz w:val="20"/>
                <w:szCs w:val="20"/>
                <w:color w:val="auto"/>
              </w:rPr>
            </w:pPr>
            <w:r>
              <w:rPr>
                <w:rFonts w:ascii="Arial" w:cs="Arial" w:eastAsia="Arial" w:hAnsi="Arial"/>
                <w:sz w:val="13"/>
                <w:szCs w:val="13"/>
                <w:color w:val="auto"/>
              </w:rPr>
              <w:t>5,213,724</w:t>
            </w:r>
          </w:p>
        </w:tc>
        <w:tc>
          <w:tcPr>
            <w:tcW w:w="1240" w:type="dxa"/>
            <w:vAlign w:val="bottom"/>
          </w:tcPr>
          <w:p>
            <w:pPr>
              <w:jc w:val="right"/>
              <w:spacing w:after="0"/>
              <w:rPr>
                <w:sz w:val="20"/>
                <w:szCs w:val="20"/>
                <w:color w:val="auto"/>
              </w:rPr>
            </w:pPr>
            <w:r>
              <w:rPr>
                <w:rFonts w:ascii="Arial" w:cs="Arial" w:eastAsia="Arial" w:hAnsi="Arial"/>
                <w:sz w:val="13"/>
                <w:szCs w:val="13"/>
                <w:color w:val="auto"/>
              </w:rPr>
              <w:t>42,388</w:t>
            </w:r>
          </w:p>
        </w:tc>
        <w:tc>
          <w:tcPr>
            <w:tcW w:w="260" w:type="dxa"/>
            <w:vAlign w:val="bottom"/>
          </w:tcPr>
          <w:p>
            <w:pPr>
              <w:jc w:val="right"/>
              <w:ind w:right="59"/>
              <w:spacing w:after="0"/>
              <w:rPr>
                <w:sz w:val="20"/>
                <w:szCs w:val="20"/>
                <w:color w:val="auto"/>
              </w:rPr>
            </w:pPr>
            <w:r>
              <w:rPr>
                <w:rFonts w:ascii="Arial" w:cs="Arial" w:eastAsia="Arial" w:hAnsi="Arial"/>
                <w:sz w:val="8"/>
                <w:szCs w:val="8"/>
                <w:color w:val="auto"/>
                <w:w w:val="98"/>
              </w:rPr>
              <w:t>(12)</w:t>
            </w:r>
          </w:p>
        </w:tc>
        <w:tc>
          <w:tcPr>
            <w:tcW w:w="1520" w:type="dxa"/>
            <w:vAlign w:val="bottom"/>
          </w:tcPr>
          <w:p>
            <w:pPr>
              <w:jc w:val="right"/>
              <w:ind w:right="57"/>
              <w:spacing w:after="0"/>
              <w:rPr>
                <w:sz w:val="20"/>
                <w:szCs w:val="20"/>
                <w:color w:val="auto"/>
              </w:rPr>
            </w:pPr>
            <w:r>
              <w:rPr>
                <w:rFonts w:ascii="Arial" w:cs="Arial" w:eastAsia="Arial" w:hAnsi="Arial"/>
                <w:sz w:val="13"/>
                <w:szCs w:val="13"/>
                <w:color w:val="auto"/>
              </w:rPr>
              <w:t>5,213,724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34925</wp:posOffset>
            </wp:positionV>
            <wp:extent cx="62579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25792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-1087755</wp:posOffset>
            </wp:positionV>
            <wp:extent cx="61976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1517015" cy="9772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517015"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Renée Galá</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Patricia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1517015" cy="8147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51701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0" w:right="60"/>
        <w:spacing w:after="0" w:line="340" w:lineRule="auto"/>
        <w:rPr>
          <w:sz w:val="20"/>
          <w:szCs w:val="20"/>
          <w:color w:val="auto"/>
        </w:rPr>
      </w:pPr>
      <w:r>
        <w:rPr>
          <w:rFonts w:ascii="Arial" w:cs="Arial" w:eastAsia="Arial" w:hAnsi="Arial"/>
          <w:sz w:val="12"/>
          <w:szCs w:val="12"/>
          <w:b w:val="1"/>
          <w:bCs w:val="1"/>
          <w:color w:val="auto"/>
        </w:rPr>
        <w:t>Robert Iannone, M.D.,M.S.C.E.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020" w:type="dxa"/>
            <w:vAlign w:val="bottom"/>
          </w:tcPr>
          <w:p>
            <w:pPr>
              <w:jc w:val="right"/>
              <w:spacing w:after="0"/>
              <w:rPr>
                <w:sz w:val="20"/>
                <w:szCs w:val="20"/>
                <w:color w:val="auto"/>
              </w:rPr>
            </w:pPr>
            <w:r>
              <w:rPr>
                <w:rFonts w:ascii="Arial" w:cs="Arial" w:eastAsia="Arial" w:hAnsi="Arial"/>
                <w:sz w:val="13"/>
                <w:szCs w:val="13"/>
                <w:color w:val="auto"/>
              </w:rPr>
              <w:t>125,000</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140.03</w:t>
            </w:r>
          </w:p>
        </w:tc>
        <w:tc>
          <w:tcPr>
            <w:tcW w:w="1100" w:type="dxa"/>
            <w:vAlign w:val="bottom"/>
          </w:tcPr>
          <w:p>
            <w:pPr>
              <w:jc w:val="center"/>
              <w:ind w:right="197"/>
              <w:spacing w:after="0"/>
              <w:rPr>
                <w:sz w:val="20"/>
                <w:szCs w:val="20"/>
                <w:color w:val="auto"/>
              </w:rPr>
            </w:pPr>
            <w:r>
              <w:rPr>
                <w:rFonts w:ascii="Arial" w:cs="Arial" w:eastAsia="Arial" w:hAnsi="Arial"/>
                <w:sz w:val="13"/>
                <w:szCs w:val="13"/>
                <w:color w:val="auto"/>
                <w:w w:val="96"/>
              </w:rPr>
              <w:t>2/27/2029</w:t>
            </w:r>
          </w:p>
        </w:tc>
        <w:tc>
          <w:tcPr>
            <w:tcW w:w="800" w:type="dxa"/>
            <w:vAlign w:val="bottom"/>
          </w:tcPr>
          <w:p>
            <w:pPr>
              <w:jc w:val="right"/>
              <w:spacing w:after="0"/>
              <w:rPr>
                <w:sz w:val="20"/>
                <w:szCs w:val="20"/>
                <w:color w:val="auto"/>
              </w:rPr>
            </w:pPr>
            <w:r>
              <w:rPr>
                <w:rFonts w:ascii="Arial" w:cs="Arial" w:eastAsia="Arial" w:hAnsi="Arial"/>
                <w:sz w:val="13"/>
                <w:szCs w:val="13"/>
                <w:color w:val="auto"/>
              </w:rPr>
              <w:t>33,591</w:t>
            </w:r>
          </w:p>
        </w:tc>
        <w:tc>
          <w:tcPr>
            <w:tcW w:w="440" w:type="dxa"/>
            <w:vAlign w:val="bottom"/>
          </w:tcPr>
          <w:p>
            <w:pPr>
              <w:spacing w:after="0"/>
              <w:rPr>
                <w:sz w:val="20"/>
                <w:szCs w:val="20"/>
                <w:color w:val="auto"/>
              </w:rPr>
            </w:pPr>
            <w:r>
              <w:rPr>
                <w:rFonts w:ascii="Arial" w:cs="Arial" w:eastAsia="Arial" w:hAnsi="Arial"/>
                <w:sz w:val="8"/>
                <w:szCs w:val="8"/>
                <w:color w:val="auto"/>
              </w:rPr>
              <w:t>(8)</w:t>
            </w:r>
          </w:p>
        </w:tc>
        <w:tc>
          <w:tcPr>
            <w:tcW w:w="1340" w:type="dxa"/>
            <w:vAlign w:val="bottom"/>
          </w:tcPr>
          <w:p>
            <w:pPr>
              <w:jc w:val="right"/>
              <w:ind w:right="417"/>
              <w:spacing w:after="0"/>
              <w:rPr>
                <w:sz w:val="20"/>
                <w:szCs w:val="20"/>
                <w:color w:val="auto"/>
              </w:rPr>
            </w:pPr>
            <w:r>
              <w:rPr>
                <w:rFonts w:ascii="Arial" w:cs="Arial" w:eastAsia="Arial" w:hAnsi="Arial"/>
                <w:sz w:val="13"/>
                <w:szCs w:val="13"/>
                <w:color w:val="auto"/>
              </w:rPr>
              <w:t>4,131,693</w:t>
            </w:r>
          </w:p>
        </w:tc>
        <w:tc>
          <w:tcPr>
            <w:tcW w:w="900" w:type="dxa"/>
            <w:vAlign w:val="bottom"/>
          </w:tcPr>
          <w:p>
            <w:pPr>
              <w:jc w:val="right"/>
              <w:spacing w:after="0"/>
              <w:rPr>
                <w:sz w:val="20"/>
                <w:szCs w:val="20"/>
                <w:color w:val="auto"/>
              </w:rPr>
            </w:pPr>
            <w:r>
              <w:rPr>
                <w:rFonts w:ascii="Arial" w:cs="Arial" w:eastAsia="Arial" w:hAnsi="Arial"/>
                <w:sz w:val="13"/>
                <w:szCs w:val="13"/>
                <w:color w:val="auto"/>
              </w:rPr>
              <w:t>44,788</w:t>
            </w:r>
          </w:p>
        </w:tc>
        <w:tc>
          <w:tcPr>
            <w:tcW w:w="640" w:type="dxa"/>
            <w:vAlign w:val="bottom"/>
          </w:tcPr>
          <w:p>
            <w:pPr>
              <w:jc w:val="right"/>
              <w:ind w:right="439"/>
              <w:spacing w:after="0"/>
              <w:rPr>
                <w:sz w:val="20"/>
                <w:szCs w:val="20"/>
                <w:color w:val="auto"/>
              </w:rPr>
            </w:pPr>
            <w:r>
              <w:rPr>
                <w:rFonts w:ascii="Arial" w:cs="Arial" w:eastAsia="Arial" w:hAnsi="Arial"/>
                <w:sz w:val="8"/>
                <w:szCs w:val="8"/>
                <w:color w:val="auto"/>
                <w:w w:val="98"/>
              </w:rPr>
              <w:t>(13)</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5,508,924</w:t>
            </w:r>
          </w:p>
        </w:tc>
      </w:tr>
      <w:tr>
        <w:trPr>
          <w:trHeight w:val="55"/>
        </w:trPr>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182"/>
        </w:trPr>
        <w:tc>
          <w:tcPr>
            <w:tcW w:w="1020" w:type="dxa"/>
            <w:vAlign w:val="bottom"/>
          </w:tcPr>
          <w:p>
            <w:pPr>
              <w:jc w:val="right"/>
              <w:spacing w:after="0"/>
              <w:rPr>
                <w:sz w:val="20"/>
                <w:szCs w:val="20"/>
                <w:color w:val="auto"/>
              </w:rPr>
            </w:pPr>
            <w:r>
              <w:rPr>
                <w:rFonts w:ascii="Arial" w:cs="Arial" w:eastAsia="Arial" w:hAnsi="Arial"/>
                <w:sz w:val="13"/>
                <w:szCs w:val="13"/>
                <w:color w:val="auto"/>
              </w:rPr>
              <w:t>92,500</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140.67</w:t>
            </w:r>
          </w:p>
        </w:tc>
        <w:tc>
          <w:tcPr>
            <w:tcW w:w="1100" w:type="dxa"/>
            <w:vAlign w:val="bottom"/>
          </w:tcPr>
          <w:p>
            <w:pPr>
              <w:jc w:val="center"/>
              <w:ind w:right="197"/>
              <w:spacing w:after="0"/>
              <w:rPr>
                <w:sz w:val="20"/>
                <w:szCs w:val="20"/>
                <w:color w:val="auto"/>
              </w:rPr>
            </w:pPr>
            <w:r>
              <w:rPr>
                <w:rFonts w:ascii="Arial" w:cs="Arial" w:eastAsia="Arial" w:hAnsi="Arial"/>
                <w:sz w:val="13"/>
                <w:szCs w:val="13"/>
                <w:color w:val="auto"/>
                <w:w w:val="96"/>
              </w:rPr>
              <w:t>2/29/2028</w:t>
            </w:r>
          </w:p>
        </w:tc>
        <w:tc>
          <w:tcPr>
            <w:tcW w:w="800" w:type="dxa"/>
            <w:vAlign w:val="bottom"/>
          </w:tcPr>
          <w:p>
            <w:pPr>
              <w:jc w:val="right"/>
              <w:spacing w:after="0"/>
              <w:rPr>
                <w:sz w:val="20"/>
                <w:szCs w:val="20"/>
                <w:color w:val="auto"/>
              </w:rPr>
            </w:pPr>
            <w:r>
              <w:rPr>
                <w:rFonts w:ascii="Arial" w:cs="Arial" w:eastAsia="Arial" w:hAnsi="Arial"/>
                <w:sz w:val="13"/>
                <w:szCs w:val="13"/>
                <w:color w:val="auto"/>
              </w:rPr>
              <w:t>26,545</w:t>
            </w:r>
          </w:p>
        </w:tc>
        <w:tc>
          <w:tcPr>
            <w:tcW w:w="440" w:type="dxa"/>
            <w:vAlign w:val="bottom"/>
          </w:tcPr>
          <w:p>
            <w:pPr>
              <w:spacing w:after="0"/>
              <w:rPr>
                <w:sz w:val="20"/>
                <w:szCs w:val="20"/>
                <w:color w:val="auto"/>
              </w:rPr>
            </w:pPr>
            <w:r>
              <w:rPr>
                <w:rFonts w:ascii="Arial" w:cs="Arial" w:eastAsia="Arial" w:hAnsi="Arial"/>
                <w:sz w:val="8"/>
                <w:szCs w:val="8"/>
                <w:color w:val="auto"/>
              </w:rPr>
              <w:t>(9)</w:t>
            </w:r>
          </w:p>
        </w:tc>
        <w:tc>
          <w:tcPr>
            <w:tcW w:w="1340" w:type="dxa"/>
            <w:vAlign w:val="bottom"/>
          </w:tcPr>
          <w:p>
            <w:pPr>
              <w:jc w:val="right"/>
              <w:ind w:right="417"/>
              <w:spacing w:after="0"/>
              <w:rPr>
                <w:sz w:val="20"/>
                <w:szCs w:val="20"/>
                <w:color w:val="auto"/>
              </w:rPr>
            </w:pPr>
            <w:r>
              <w:rPr>
                <w:rFonts w:ascii="Arial" w:cs="Arial" w:eastAsia="Arial" w:hAnsi="Arial"/>
                <w:sz w:val="13"/>
                <w:szCs w:val="13"/>
                <w:color w:val="auto"/>
              </w:rPr>
              <w:t>3,265,035</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55"/>
        </w:trPr>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182"/>
        </w:trPr>
        <w:tc>
          <w:tcPr>
            <w:tcW w:w="1020" w:type="dxa"/>
            <w:vAlign w:val="bottom"/>
          </w:tcPr>
          <w:p>
            <w:pPr>
              <w:jc w:val="right"/>
              <w:spacing w:after="0"/>
              <w:rPr>
                <w:sz w:val="20"/>
                <w:szCs w:val="20"/>
                <w:color w:val="auto"/>
              </w:rPr>
            </w:pPr>
            <w:r>
              <w:rPr>
                <w:rFonts w:ascii="Arial" w:cs="Arial" w:eastAsia="Arial" w:hAnsi="Arial"/>
                <w:sz w:val="13"/>
                <w:szCs w:val="13"/>
                <w:color w:val="auto"/>
              </w:rPr>
              <w:t>86,500</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136.18</w:t>
            </w:r>
          </w:p>
        </w:tc>
        <w:tc>
          <w:tcPr>
            <w:tcW w:w="1100" w:type="dxa"/>
            <w:vAlign w:val="bottom"/>
          </w:tcPr>
          <w:p>
            <w:pPr>
              <w:jc w:val="center"/>
              <w:ind w:right="177"/>
              <w:spacing w:after="0"/>
              <w:rPr>
                <w:sz w:val="20"/>
                <w:szCs w:val="20"/>
                <w:color w:val="auto"/>
              </w:rPr>
            </w:pPr>
            <w:r>
              <w:rPr>
                <w:rFonts w:ascii="Arial" w:cs="Arial" w:eastAsia="Arial" w:hAnsi="Arial"/>
                <w:sz w:val="13"/>
                <w:szCs w:val="13"/>
                <w:color w:val="auto"/>
                <w:w w:val="98"/>
              </w:rPr>
              <w:t>3/1/2027</w:t>
            </w:r>
          </w:p>
        </w:tc>
        <w:tc>
          <w:tcPr>
            <w:tcW w:w="800" w:type="dxa"/>
            <w:vAlign w:val="bottom"/>
          </w:tcPr>
          <w:p>
            <w:pPr>
              <w:jc w:val="right"/>
              <w:spacing w:after="0"/>
              <w:rPr>
                <w:sz w:val="20"/>
                <w:szCs w:val="20"/>
                <w:color w:val="auto"/>
              </w:rPr>
            </w:pPr>
            <w:r>
              <w:rPr>
                <w:rFonts w:ascii="Arial" w:cs="Arial" w:eastAsia="Arial" w:hAnsi="Arial"/>
                <w:sz w:val="13"/>
                <w:szCs w:val="13"/>
                <w:color w:val="auto"/>
              </w:rPr>
              <w:t>18,962</w:t>
            </w:r>
          </w:p>
        </w:tc>
        <w:tc>
          <w:tcPr>
            <w:tcW w:w="440" w:type="dxa"/>
            <w:vAlign w:val="bottom"/>
          </w:tcPr>
          <w:p>
            <w:pPr>
              <w:spacing w:after="0"/>
              <w:rPr>
                <w:sz w:val="20"/>
                <w:szCs w:val="20"/>
                <w:color w:val="auto"/>
              </w:rPr>
            </w:pPr>
            <w:r>
              <w:rPr>
                <w:rFonts w:ascii="Arial" w:cs="Arial" w:eastAsia="Arial" w:hAnsi="Arial"/>
                <w:sz w:val="8"/>
                <w:szCs w:val="8"/>
                <w:color w:val="auto"/>
              </w:rPr>
              <w:t>(10)</w:t>
            </w:r>
          </w:p>
        </w:tc>
        <w:tc>
          <w:tcPr>
            <w:tcW w:w="1340" w:type="dxa"/>
            <w:vAlign w:val="bottom"/>
          </w:tcPr>
          <w:p>
            <w:pPr>
              <w:jc w:val="right"/>
              <w:ind w:right="417"/>
              <w:spacing w:after="0"/>
              <w:rPr>
                <w:sz w:val="20"/>
                <w:szCs w:val="20"/>
                <w:color w:val="auto"/>
              </w:rPr>
            </w:pPr>
            <w:r>
              <w:rPr>
                <w:rFonts w:ascii="Arial" w:cs="Arial" w:eastAsia="Arial" w:hAnsi="Arial"/>
                <w:sz w:val="13"/>
                <w:szCs w:val="13"/>
                <w:color w:val="auto"/>
              </w:rPr>
              <w:t>2,332,326</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54"/>
        </w:trPr>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182"/>
        </w:trPr>
        <w:tc>
          <w:tcPr>
            <w:tcW w:w="1020" w:type="dxa"/>
            <w:vAlign w:val="bottom"/>
          </w:tcPr>
          <w:p>
            <w:pPr>
              <w:jc w:val="right"/>
              <w:spacing w:after="0"/>
              <w:rPr>
                <w:sz w:val="20"/>
                <w:szCs w:val="20"/>
                <w:color w:val="auto"/>
              </w:rPr>
            </w:pPr>
            <w:r>
              <w:rPr>
                <w:rFonts w:ascii="Arial" w:cs="Arial" w:eastAsia="Arial" w:hAnsi="Arial"/>
                <w:sz w:val="13"/>
                <w:szCs w:val="13"/>
                <w:color w:val="auto"/>
              </w:rPr>
              <w:t>77,500</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123.36</w:t>
            </w:r>
          </w:p>
        </w:tc>
        <w:tc>
          <w:tcPr>
            <w:tcW w:w="1100" w:type="dxa"/>
            <w:vAlign w:val="bottom"/>
          </w:tcPr>
          <w:p>
            <w:pPr>
              <w:jc w:val="center"/>
              <w:ind w:right="197"/>
              <w:spacing w:after="0"/>
              <w:rPr>
                <w:sz w:val="20"/>
                <w:szCs w:val="20"/>
                <w:color w:val="auto"/>
              </w:rPr>
            </w:pPr>
            <w:r>
              <w:rPr>
                <w:rFonts w:ascii="Arial" w:cs="Arial" w:eastAsia="Arial" w:hAnsi="Arial"/>
                <w:sz w:val="13"/>
                <w:szCs w:val="13"/>
                <w:color w:val="auto"/>
                <w:w w:val="96"/>
              </w:rPr>
              <w:t>2/24/2026</w:t>
            </w:r>
          </w:p>
        </w:tc>
        <w:tc>
          <w:tcPr>
            <w:tcW w:w="800" w:type="dxa"/>
            <w:vAlign w:val="bottom"/>
          </w:tcPr>
          <w:p>
            <w:pPr>
              <w:jc w:val="right"/>
              <w:spacing w:after="0"/>
              <w:rPr>
                <w:sz w:val="20"/>
                <w:szCs w:val="20"/>
                <w:color w:val="auto"/>
              </w:rPr>
            </w:pPr>
            <w:r>
              <w:rPr>
                <w:rFonts w:ascii="Arial" w:cs="Arial" w:eastAsia="Arial" w:hAnsi="Arial"/>
                <w:sz w:val="13"/>
                <w:szCs w:val="13"/>
                <w:color w:val="auto"/>
              </w:rPr>
              <w:t>13,000</w:t>
            </w:r>
          </w:p>
        </w:tc>
        <w:tc>
          <w:tcPr>
            <w:tcW w:w="440" w:type="dxa"/>
            <w:vAlign w:val="bottom"/>
          </w:tcPr>
          <w:p>
            <w:pPr>
              <w:spacing w:after="0"/>
              <w:rPr>
                <w:sz w:val="20"/>
                <w:szCs w:val="20"/>
                <w:color w:val="auto"/>
              </w:rPr>
            </w:pPr>
            <w:r>
              <w:rPr>
                <w:rFonts w:ascii="Arial" w:cs="Arial" w:eastAsia="Arial" w:hAnsi="Arial"/>
                <w:sz w:val="8"/>
                <w:szCs w:val="8"/>
                <w:color w:val="auto"/>
              </w:rPr>
              <w:t>(11)</w:t>
            </w:r>
          </w:p>
        </w:tc>
        <w:tc>
          <w:tcPr>
            <w:tcW w:w="1340" w:type="dxa"/>
            <w:vAlign w:val="bottom"/>
          </w:tcPr>
          <w:p>
            <w:pPr>
              <w:jc w:val="right"/>
              <w:ind w:right="417"/>
              <w:spacing w:after="0"/>
              <w:rPr>
                <w:sz w:val="20"/>
                <w:szCs w:val="20"/>
                <w:color w:val="auto"/>
              </w:rPr>
            </w:pPr>
            <w:r>
              <w:rPr>
                <w:rFonts w:ascii="Arial" w:cs="Arial" w:eastAsia="Arial" w:hAnsi="Arial"/>
                <w:sz w:val="13"/>
                <w:szCs w:val="13"/>
                <w:color w:val="auto"/>
              </w:rPr>
              <w:t>1,599,000</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55"/>
        </w:trPr>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182"/>
        </w:trPr>
        <w:tc>
          <w:tcPr>
            <w:tcW w:w="1020" w:type="dxa"/>
            <w:vAlign w:val="bottom"/>
          </w:tcPr>
          <w:p>
            <w:pPr>
              <w:jc w:val="right"/>
              <w:spacing w:after="0"/>
              <w:rPr>
                <w:sz w:val="20"/>
                <w:szCs w:val="20"/>
                <w:color w:val="auto"/>
              </w:rPr>
            </w:pPr>
            <w:r>
              <w:rPr>
                <w:rFonts w:ascii="Arial" w:cs="Arial" w:eastAsia="Arial" w:hAnsi="Arial"/>
                <w:sz w:val="13"/>
                <w:szCs w:val="13"/>
                <w:color w:val="auto"/>
              </w:rPr>
              <w:t>72,500</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175.19</w:t>
            </w:r>
          </w:p>
        </w:tc>
        <w:tc>
          <w:tcPr>
            <w:tcW w:w="1100" w:type="dxa"/>
            <w:vAlign w:val="bottom"/>
          </w:tcPr>
          <w:p>
            <w:pPr>
              <w:jc w:val="center"/>
              <w:ind w:right="197"/>
              <w:spacing w:after="0"/>
              <w:rPr>
                <w:sz w:val="20"/>
                <w:szCs w:val="20"/>
                <w:color w:val="auto"/>
              </w:rPr>
            </w:pPr>
            <w:r>
              <w:rPr>
                <w:rFonts w:ascii="Arial" w:cs="Arial" w:eastAsia="Arial" w:hAnsi="Arial"/>
                <w:sz w:val="13"/>
                <w:szCs w:val="13"/>
                <w:color w:val="auto"/>
                <w:w w:val="96"/>
              </w:rPr>
              <w:t>2/25/2025</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134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54"/>
        </w:trPr>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182"/>
        </w:trPr>
        <w:tc>
          <w:tcPr>
            <w:tcW w:w="1020" w:type="dxa"/>
            <w:vAlign w:val="bottom"/>
          </w:tcPr>
          <w:p>
            <w:pPr>
              <w:jc w:val="right"/>
              <w:spacing w:after="0"/>
              <w:rPr>
                <w:sz w:val="20"/>
                <w:szCs w:val="20"/>
                <w:color w:val="auto"/>
              </w:rPr>
            </w:pPr>
            <w:r>
              <w:rPr>
                <w:rFonts w:ascii="Arial" w:cs="Arial" w:eastAsia="Arial" w:hAnsi="Arial"/>
                <w:sz w:val="13"/>
                <w:szCs w:val="13"/>
                <w:color w:val="auto"/>
              </w:rPr>
              <w:t>48,784</w:t>
            </w:r>
          </w:p>
        </w:tc>
        <w:tc>
          <w:tcPr>
            <w:tcW w:w="260" w:type="dxa"/>
            <w:vAlign w:val="bottom"/>
          </w:tcPr>
          <w:p>
            <w:pPr>
              <w:jc w:val="right"/>
              <w:ind w:right="99"/>
              <w:spacing w:after="0"/>
              <w:rPr>
                <w:sz w:val="20"/>
                <w:szCs w:val="20"/>
                <w:color w:val="auto"/>
              </w:rPr>
            </w:pPr>
            <w:r>
              <w:rPr>
                <w:rFonts w:ascii="Arial" w:cs="Arial" w:eastAsia="Arial" w:hAnsi="Arial"/>
                <w:sz w:val="8"/>
                <w:szCs w:val="8"/>
                <w:color w:val="auto"/>
              </w:rPr>
              <w:t>(5)</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166.62</w:t>
            </w:r>
          </w:p>
        </w:tc>
        <w:tc>
          <w:tcPr>
            <w:tcW w:w="1100" w:type="dxa"/>
            <w:vAlign w:val="bottom"/>
          </w:tcPr>
          <w:p>
            <w:pPr>
              <w:jc w:val="center"/>
              <w:ind w:right="197"/>
              <w:spacing w:after="0"/>
              <w:rPr>
                <w:sz w:val="20"/>
                <w:szCs w:val="20"/>
                <w:color w:val="auto"/>
              </w:rPr>
            </w:pPr>
            <w:r>
              <w:rPr>
                <w:rFonts w:ascii="Arial" w:cs="Arial" w:eastAsia="Arial" w:hAnsi="Arial"/>
                <w:sz w:val="13"/>
                <w:szCs w:val="13"/>
                <w:color w:val="auto"/>
                <w:w w:val="96"/>
              </w:rPr>
              <w:t>2/26/2024</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134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55"/>
        </w:trPr>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2"/>
        </w:trPr>
        <w:tc>
          <w:tcPr>
            <w:tcW w:w="10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38,906</w:t>
            </w:r>
          </w:p>
        </w:tc>
        <w:tc>
          <w:tcPr>
            <w:tcW w:w="260" w:type="dxa"/>
            <w:vAlign w:val="bottom"/>
            <w:tcBorders>
              <w:bottom w:val="single" w:sz="8" w:color="EAEAEA"/>
            </w:tcBorders>
            <w:shd w:val="clear" w:color="auto" w:fill="EAEAEA"/>
          </w:tcPr>
          <w:p>
            <w:pPr>
              <w:spacing w:after="0"/>
              <w:rPr>
                <w:sz w:val="22"/>
                <w:szCs w:val="22"/>
                <w:color w:val="auto"/>
              </w:rPr>
            </w:pPr>
          </w:p>
        </w:tc>
        <w:tc>
          <w:tcPr>
            <w:tcW w:w="11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2,594</w:t>
            </w:r>
          </w:p>
        </w:tc>
        <w:tc>
          <w:tcPr>
            <w:tcW w:w="32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8"/>
                <w:szCs w:val="8"/>
                <w:color w:val="auto"/>
              </w:rPr>
              <w:t>(14)</w:t>
            </w:r>
          </w:p>
        </w:tc>
        <w:tc>
          <w:tcPr>
            <w:tcW w:w="7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109.45</w:t>
            </w:r>
          </w:p>
        </w:tc>
        <w:tc>
          <w:tcPr>
            <w:tcW w:w="1100" w:type="dxa"/>
            <w:vAlign w:val="bottom"/>
            <w:tcBorders>
              <w:bottom w:val="single" w:sz="8" w:color="EAEAEA"/>
            </w:tcBorders>
            <w:shd w:val="clear" w:color="auto" w:fill="EAEAEA"/>
          </w:tcPr>
          <w:p>
            <w:pPr>
              <w:jc w:val="center"/>
              <w:ind w:right="177"/>
              <w:spacing w:after="0"/>
              <w:rPr>
                <w:sz w:val="20"/>
                <w:szCs w:val="20"/>
                <w:color w:val="auto"/>
              </w:rPr>
            </w:pPr>
            <w:r>
              <w:rPr>
                <w:rFonts w:ascii="Arial" w:cs="Arial" w:eastAsia="Arial" w:hAnsi="Arial"/>
                <w:sz w:val="13"/>
                <w:szCs w:val="13"/>
                <w:color w:val="auto"/>
                <w:w w:val="98"/>
              </w:rPr>
              <w:t>5/6/2030</w:t>
            </w:r>
          </w:p>
        </w:tc>
        <w:tc>
          <w:tcPr>
            <w:tcW w:w="8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772</w:t>
            </w:r>
          </w:p>
        </w:tc>
        <w:tc>
          <w:tcPr>
            <w:tcW w:w="440" w:type="dxa"/>
            <w:vAlign w:val="bottom"/>
            <w:tcBorders>
              <w:bottom w:val="single" w:sz="8" w:color="EAEAEA"/>
            </w:tcBorders>
            <w:shd w:val="clear" w:color="auto" w:fill="EAEAEA"/>
          </w:tcPr>
          <w:p>
            <w:pPr>
              <w:spacing w:after="0"/>
              <w:rPr>
                <w:sz w:val="20"/>
                <w:szCs w:val="20"/>
                <w:color w:val="auto"/>
              </w:rPr>
            </w:pPr>
            <w:r>
              <w:rPr>
                <w:rFonts w:ascii="Arial" w:cs="Arial" w:eastAsia="Arial" w:hAnsi="Arial"/>
                <w:sz w:val="8"/>
                <w:szCs w:val="8"/>
                <w:color w:val="auto"/>
              </w:rPr>
              <w:t>(15)</w:t>
            </w:r>
          </w:p>
        </w:tc>
        <w:tc>
          <w:tcPr>
            <w:tcW w:w="1340" w:type="dxa"/>
            <w:vAlign w:val="bottom"/>
            <w:tcBorders>
              <w:bottom w:val="single" w:sz="8" w:color="EAEAEA"/>
            </w:tcBorders>
            <w:shd w:val="clear" w:color="auto" w:fill="EAEAEA"/>
          </w:tcPr>
          <w:p>
            <w:pPr>
              <w:jc w:val="right"/>
              <w:ind w:right="417"/>
              <w:spacing w:after="0"/>
              <w:rPr>
                <w:sz w:val="20"/>
                <w:szCs w:val="20"/>
                <w:color w:val="auto"/>
              </w:rPr>
            </w:pPr>
            <w:r>
              <w:rPr>
                <w:rFonts w:ascii="Arial" w:cs="Arial" w:eastAsia="Arial" w:hAnsi="Arial"/>
                <w:sz w:val="13"/>
                <w:szCs w:val="13"/>
                <w:color w:val="auto"/>
              </w:rPr>
              <w:t>94,956</w:t>
            </w:r>
          </w:p>
        </w:tc>
        <w:tc>
          <w:tcPr>
            <w:tcW w:w="9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13,556</w:t>
            </w:r>
          </w:p>
        </w:tc>
        <w:tc>
          <w:tcPr>
            <w:tcW w:w="640" w:type="dxa"/>
            <w:vAlign w:val="bottom"/>
            <w:tcBorders>
              <w:bottom w:val="single" w:sz="8" w:color="EAEAEA"/>
            </w:tcBorders>
            <w:shd w:val="clear" w:color="auto" w:fill="EAEAEA"/>
          </w:tcPr>
          <w:p>
            <w:pPr>
              <w:jc w:val="right"/>
              <w:ind w:right="439"/>
              <w:spacing w:after="0"/>
              <w:rPr>
                <w:sz w:val="20"/>
                <w:szCs w:val="20"/>
                <w:color w:val="auto"/>
              </w:rPr>
            </w:pPr>
            <w:r>
              <w:rPr>
                <w:rFonts w:ascii="Arial" w:cs="Arial" w:eastAsia="Arial" w:hAnsi="Arial"/>
                <w:sz w:val="8"/>
                <w:szCs w:val="8"/>
                <w:color w:val="auto"/>
                <w:w w:val="98"/>
              </w:rPr>
              <w:t>(12)</w:t>
            </w:r>
          </w:p>
        </w:tc>
        <w:tc>
          <w:tcPr>
            <w:tcW w:w="1140" w:type="dxa"/>
            <w:vAlign w:val="bottom"/>
            <w:tcBorders>
              <w:bottom w:val="single" w:sz="8" w:color="EAEAEA"/>
            </w:tcBorders>
            <w:shd w:val="clear" w:color="auto" w:fill="EAEAEA"/>
          </w:tcPr>
          <w:p>
            <w:pPr>
              <w:jc w:val="right"/>
              <w:ind w:right="57"/>
              <w:spacing w:after="0"/>
              <w:rPr>
                <w:sz w:val="20"/>
                <w:szCs w:val="20"/>
                <w:color w:val="auto"/>
              </w:rPr>
            </w:pPr>
            <w:r>
              <w:rPr>
                <w:rFonts w:ascii="Arial" w:cs="Arial" w:eastAsia="Arial" w:hAnsi="Arial"/>
                <w:sz w:val="13"/>
                <w:szCs w:val="13"/>
                <w:color w:val="auto"/>
              </w:rPr>
              <w:t>1,667,388</w:t>
            </w:r>
          </w:p>
        </w:tc>
      </w:tr>
      <w:tr>
        <w:trPr>
          <w:trHeight w:val="236"/>
        </w:trPr>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bottom w:val="single" w:sz="8" w:color="EAEAEA"/>
            </w:tcBorders>
            <w:shd w:val="clear" w:color="auto" w:fill="EAEAEA"/>
          </w:tcPr>
          <w:p>
            <w:pPr>
              <w:spacing w:after="0"/>
              <w:rPr>
                <w:sz w:val="20"/>
                <w:szCs w:val="20"/>
                <w:color w:val="auto"/>
              </w:rPr>
            </w:pPr>
          </w:p>
        </w:tc>
        <w:tc>
          <w:tcPr>
            <w:tcW w:w="11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EAEAEA"/>
            </w:tcBorders>
            <w:shd w:val="clear" w:color="auto" w:fill="EAEAEA"/>
          </w:tcPr>
          <w:p>
            <w:pPr>
              <w:spacing w:after="0"/>
              <w:rPr>
                <w:sz w:val="20"/>
                <w:szCs w:val="20"/>
                <w:color w:val="auto"/>
              </w:rPr>
            </w:pPr>
          </w:p>
        </w:tc>
        <w:tc>
          <w:tcPr>
            <w:tcW w:w="7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EAEAEA"/>
            </w:tcBorders>
            <w:shd w:val="clear" w:color="auto" w:fill="EAEAEA"/>
          </w:tcPr>
          <w:p>
            <w:pPr>
              <w:jc w:val="center"/>
              <w:ind w:right="197"/>
              <w:spacing w:after="0"/>
              <w:rPr>
                <w:sz w:val="20"/>
                <w:szCs w:val="20"/>
                <w:color w:val="auto"/>
              </w:rPr>
            </w:pPr>
            <w:r>
              <w:rPr>
                <w:rFonts w:ascii="Arial" w:cs="Arial" w:eastAsia="Arial" w:hAnsi="Arial"/>
                <w:sz w:val="13"/>
                <w:szCs w:val="13"/>
                <w:color w:val="auto"/>
                <w:w w:val="91"/>
              </w:rPr>
              <w:t>—</w:t>
            </w:r>
          </w:p>
        </w:tc>
        <w:tc>
          <w:tcPr>
            <w:tcW w:w="8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12,784</w:t>
            </w:r>
          </w:p>
        </w:tc>
        <w:tc>
          <w:tcPr>
            <w:tcW w:w="440" w:type="dxa"/>
            <w:vAlign w:val="bottom"/>
            <w:tcBorders>
              <w:top w:val="single" w:sz="8" w:color="auto"/>
              <w:bottom w:val="single" w:sz="8" w:color="EAEAEA"/>
            </w:tcBorders>
            <w:shd w:val="clear" w:color="auto" w:fill="EAEAEA"/>
          </w:tcPr>
          <w:p>
            <w:pPr>
              <w:spacing w:after="0"/>
              <w:rPr>
                <w:sz w:val="20"/>
                <w:szCs w:val="20"/>
                <w:color w:val="auto"/>
              </w:rPr>
            </w:pPr>
            <w:r>
              <w:rPr>
                <w:rFonts w:ascii="Arial" w:cs="Arial" w:eastAsia="Arial" w:hAnsi="Arial"/>
                <w:sz w:val="8"/>
                <w:szCs w:val="8"/>
                <w:color w:val="auto"/>
              </w:rPr>
              <w:t>(7)</w:t>
            </w:r>
          </w:p>
        </w:tc>
        <w:tc>
          <w:tcPr>
            <w:tcW w:w="1340" w:type="dxa"/>
            <w:vAlign w:val="bottom"/>
            <w:tcBorders>
              <w:top w:val="single" w:sz="8" w:color="auto"/>
              <w:bottom w:val="single" w:sz="8" w:color="EAEAEA"/>
            </w:tcBorders>
            <w:shd w:val="clear" w:color="auto" w:fill="EAEAEA"/>
          </w:tcPr>
          <w:p>
            <w:pPr>
              <w:jc w:val="right"/>
              <w:ind w:right="417"/>
              <w:spacing w:after="0"/>
              <w:rPr>
                <w:sz w:val="20"/>
                <w:szCs w:val="20"/>
                <w:color w:val="auto"/>
              </w:rPr>
            </w:pPr>
            <w:r>
              <w:rPr>
                <w:rFonts w:ascii="Arial" w:cs="Arial" w:eastAsia="Arial" w:hAnsi="Arial"/>
                <w:sz w:val="13"/>
                <w:szCs w:val="13"/>
                <w:color w:val="auto"/>
              </w:rPr>
              <w:t>1,572,432</w:t>
            </w:r>
          </w:p>
        </w:tc>
        <w:tc>
          <w:tcPr>
            <w:tcW w:w="9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11,730</w:t>
            </w:r>
          </w:p>
        </w:tc>
        <w:tc>
          <w:tcPr>
            <w:tcW w:w="640" w:type="dxa"/>
            <w:vAlign w:val="bottom"/>
            <w:tcBorders>
              <w:top w:val="single" w:sz="8" w:color="auto"/>
              <w:bottom w:val="single" w:sz="8" w:color="EAEAEA"/>
            </w:tcBorders>
            <w:shd w:val="clear" w:color="auto" w:fill="EAEAEA"/>
          </w:tcPr>
          <w:p>
            <w:pPr>
              <w:jc w:val="right"/>
              <w:ind w:right="439"/>
              <w:spacing w:after="0"/>
              <w:rPr>
                <w:sz w:val="20"/>
                <w:szCs w:val="20"/>
                <w:color w:val="auto"/>
              </w:rPr>
            </w:pPr>
            <w:r>
              <w:rPr>
                <w:rFonts w:ascii="Arial" w:cs="Arial" w:eastAsia="Arial" w:hAnsi="Arial"/>
                <w:sz w:val="8"/>
                <w:szCs w:val="8"/>
                <w:color w:val="auto"/>
                <w:w w:val="98"/>
              </w:rPr>
              <w:t>(13)</w:t>
            </w:r>
          </w:p>
        </w:tc>
        <w:tc>
          <w:tcPr>
            <w:tcW w:w="1140" w:type="dxa"/>
            <w:vAlign w:val="bottom"/>
            <w:tcBorders>
              <w:top w:val="single" w:sz="8" w:color="auto"/>
              <w:bottom w:val="single" w:sz="8" w:color="EAEAEA"/>
            </w:tcBorders>
            <w:shd w:val="clear" w:color="auto" w:fill="EAEAEA"/>
          </w:tcPr>
          <w:p>
            <w:pPr>
              <w:jc w:val="right"/>
              <w:ind w:right="57"/>
              <w:spacing w:after="0"/>
              <w:rPr>
                <w:sz w:val="20"/>
                <w:szCs w:val="20"/>
                <w:color w:val="auto"/>
              </w:rPr>
            </w:pPr>
            <w:r>
              <w:rPr>
                <w:rFonts w:ascii="Arial" w:cs="Arial" w:eastAsia="Arial" w:hAnsi="Arial"/>
                <w:sz w:val="13"/>
                <w:szCs w:val="13"/>
                <w:color w:val="auto"/>
              </w:rPr>
              <w:t>1,442,790</w:t>
            </w:r>
          </w:p>
        </w:tc>
      </w:tr>
      <w:tr>
        <w:trPr>
          <w:trHeight w:val="237"/>
        </w:trPr>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bottom w:val="single" w:sz="8" w:color="EAEAEA"/>
            </w:tcBorders>
            <w:shd w:val="clear" w:color="auto" w:fill="EAEAEA"/>
          </w:tcPr>
          <w:p>
            <w:pPr>
              <w:spacing w:after="0"/>
              <w:rPr>
                <w:sz w:val="20"/>
                <w:szCs w:val="20"/>
                <w:color w:val="auto"/>
              </w:rPr>
            </w:pPr>
          </w:p>
        </w:tc>
        <w:tc>
          <w:tcPr>
            <w:tcW w:w="11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EAEAEA"/>
            </w:tcBorders>
            <w:shd w:val="clear" w:color="auto" w:fill="EAEAEA"/>
          </w:tcPr>
          <w:p>
            <w:pPr>
              <w:spacing w:after="0"/>
              <w:rPr>
                <w:sz w:val="20"/>
                <w:szCs w:val="20"/>
                <w:color w:val="auto"/>
              </w:rPr>
            </w:pPr>
          </w:p>
        </w:tc>
        <w:tc>
          <w:tcPr>
            <w:tcW w:w="7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EAEAEA"/>
            </w:tcBorders>
            <w:shd w:val="clear" w:color="auto" w:fill="EAEAEA"/>
          </w:tcPr>
          <w:p>
            <w:pPr>
              <w:jc w:val="center"/>
              <w:ind w:right="197"/>
              <w:spacing w:after="0"/>
              <w:rPr>
                <w:sz w:val="20"/>
                <w:szCs w:val="20"/>
                <w:color w:val="auto"/>
              </w:rPr>
            </w:pPr>
            <w:r>
              <w:rPr>
                <w:rFonts w:ascii="Arial" w:cs="Arial" w:eastAsia="Arial" w:hAnsi="Arial"/>
                <w:sz w:val="13"/>
                <w:szCs w:val="13"/>
                <w:color w:val="auto"/>
                <w:w w:val="91"/>
              </w:rPr>
              <w:t>—</w:t>
            </w:r>
          </w:p>
        </w:tc>
        <w:tc>
          <w:tcPr>
            <w:tcW w:w="8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8,797</w:t>
            </w:r>
          </w:p>
        </w:tc>
        <w:tc>
          <w:tcPr>
            <w:tcW w:w="440" w:type="dxa"/>
            <w:vAlign w:val="bottom"/>
            <w:tcBorders>
              <w:top w:val="single" w:sz="8" w:color="auto"/>
              <w:bottom w:val="single" w:sz="8" w:color="EAEAEA"/>
            </w:tcBorders>
            <w:shd w:val="clear" w:color="auto" w:fill="EAEAEA"/>
          </w:tcPr>
          <w:p>
            <w:pPr>
              <w:spacing w:after="0"/>
              <w:rPr>
                <w:sz w:val="20"/>
                <w:szCs w:val="20"/>
                <w:color w:val="auto"/>
              </w:rPr>
            </w:pPr>
            <w:r>
              <w:rPr>
                <w:rFonts w:ascii="Arial" w:cs="Arial" w:eastAsia="Arial" w:hAnsi="Arial"/>
                <w:sz w:val="8"/>
                <w:szCs w:val="8"/>
                <w:color w:val="auto"/>
              </w:rPr>
              <w:t>(8)</w:t>
            </w:r>
          </w:p>
        </w:tc>
        <w:tc>
          <w:tcPr>
            <w:tcW w:w="1340" w:type="dxa"/>
            <w:vAlign w:val="bottom"/>
            <w:tcBorders>
              <w:top w:val="single" w:sz="8" w:color="auto"/>
              <w:bottom w:val="single" w:sz="8" w:color="EAEAEA"/>
            </w:tcBorders>
            <w:shd w:val="clear" w:color="auto" w:fill="EAEAEA"/>
          </w:tcPr>
          <w:p>
            <w:pPr>
              <w:jc w:val="right"/>
              <w:ind w:right="417"/>
              <w:spacing w:after="0"/>
              <w:rPr>
                <w:sz w:val="20"/>
                <w:szCs w:val="20"/>
                <w:color w:val="auto"/>
              </w:rPr>
            </w:pPr>
            <w:r>
              <w:rPr>
                <w:rFonts w:ascii="Arial" w:cs="Arial" w:eastAsia="Arial" w:hAnsi="Arial"/>
                <w:sz w:val="13"/>
                <w:szCs w:val="13"/>
                <w:color w:val="auto"/>
              </w:rPr>
              <w:t>1,082,031</w:t>
            </w:r>
          </w:p>
        </w:tc>
        <w:tc>
          <w:tcPr>
            <w:tcW w:w="9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EAEAEA"/>
            </w:tcBorders>
            <w:shd w:val="clear" w:color="auto" w:fill="EAEAEA"/>
          </w:tcPr>
          <w:p>
            <w:pPr>
              <w:spacing w:after="0"/>
              <w:rPr>
                <w:sz w:val="20"/>
                <w:szCs w:val="20"/>
                <w:color w:val="auto"/>
              </w:rPr>
            </w:pPr>
          </w:p>
        </w:tc>
        <w:tc>
          <w:tcPr>
            <w:tcW w:w="1140" w:type="dxa"/>
            <w:vAlign w:val="bottom"/>
            <w:tcBorders>
              <w:top w:val="single" w:sz="8" w:color="auto"/>
              <w:bottom w:val="single" w:sz="8" w:color="EAEAEA"/>
            </w:tcBorders>
            <w:shd w:val="clear" w:color="auto" w:fill="EAEAEA"/>
          </w:tcPr>
          <w:p>
            <w:pPr>
              <w:jc w:val="right"/>
              <w:ind w:right="57"/>
              <w:spacing w:after="0"/>
              <w:rPr>
                <w:sz w:val="20"/>
                <w:szCs w:val="20"/>
                <w:color w:val="auto"/>
              </w:rPr>
            </w:pPr>
            <w:r>
              <w:rPr>
                <w:rFonts w:ascii="Arial" w:cs="Arial" w:eastAsia="Arial" w:hAnsi="Arial"/>
                <w:sz w:val="13"/>
                <w:szCs w:val="13"/>
                <w:color w:val="auto"/>
              </w:rPr>
              <w:t>—</w:t>
            </w:r>
          </w:p>
        </w:tc>
      </w:tr>
      <w:tr>
        <w:trPr>
          <w:trHeight w:val="236"/>
        </w:trPr>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bottom w:val="single" w:sz="8" w:color="EAEAEA"/>
            </w:tcBorders>
            <w:shd w:val="clear" w:color="auto" w:fill="EAEAEA"/>
          </w:tcPr>
          <w:p>
            <w:pPr>
              <w:spacing w:after="0"/>
              <w:rPr>
                <w:sz w:val="20"/>
                <w:szCs w:val="20"/>
                <w:color w:val="auto"/>
              </w:rPr>
            </w:pPr>
          </w:p>
        </w:tc>
        <w:tc>
          <w:tcPr>
            <w:tcW w:w="11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EAEAEA"/>
            </w:tcBorders>
            <w:shd w:val="clear" w:color="auto" w:fill="EAEAEA"/>
          </w:tcPr>
          <w:p>
            <w:pPr>
              <w:spacing w:after="0"/>
              <w:rPr>
                <w:sz w:val="20"/>
                <w:szCs w:val="20"/>
                <w:color w:val="auto"/>
              </w:rPr>
            </w:pPr>
          </w:p>
        </w:tc>
        <w:tc>
          <w:tcPr>
            <w:tcW w:w="7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EAEAEA"/>
            </w:tcBorders>
            <w:shd w:val="clear" w:color="auto" w:fill="EAEAEA"/>
          </w:tcPr>
          <w:p>
            <w:pPr>
              <w:jc w:val="center"/>
              <w:ind w:right="197"/>
              <w:spacing w:after="0"/>
              <w:rPr>
                <w:sz w:val="20"/>
                <w:szCs w:val="20"/>
                <w:color w:val="auto"/>
              </w:rPr>
            </w:pPr>
            <w:r>
              <w:rPr>
                <w:rFonts w:ascii="Arial" w:cs="Arial" w:eastAsia="Arial" w:hAnsi="Arial"/>
                <w:sz w:val="13"/>
                <w:szCs w:val="13"/>
                <w:color w:val="auto"/>
                <w:w w:val="91"/>
              </w:rPr>
              <w:t>—</w:t>
            </w:r>
          </w:p>
        </w:tc>
        <w:tc>
          <w:tcPr>
            <w:tcW w:w="8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7,079</w:t>
            </w:r>
          </w:p>
        </w:tc>
        <w:tc>
          <w:tcPr>
            <w:tcW w:w="440" w:type="dxa"/>
            <w:vAlign w:val="bottom"/>
            <w:tcBorders>
              <w:top w:val="single" w:sz="8" w:color="auto"/>
              <w:bottom w:val="single" w:sz="8" w:color="EAEAEA"/>
            </w:tcBorders>
            <w:shd w:val="clear" w:color="auto" w:fill="EAEAEA"/>
          </w:tcPr>
          <w:p>
            <w:pPr>
              <w:spacing w:after="0"/>
              <w:rPr>
                <w:sz w:val="20"/>
                <w:szCs w:val="20"/>
                <w:color w:val="auto"/>
              </w:rPr>
            </w:pPr>
            <w:r>
              <w:rPr>
                <w:rFonts w:ascii="Arial" w:cs="Arial" w:eastAsia="Arial" w:hAnsi="Arial"/>
                <w:sz w:val="8"/>
                <w:szCs w:val="8"/>
                <w:color w:val="auto"/>
              </w:rPr>
              <w:t>(9)</w:t>
            </w:r>
          </w:p>
        </w:tc>
        <w:tc>
          <w:tcPr>
            <w:tcW w:w="1340" w:type="dxa"/>
            <w:vAlign w:val="bottom"/>
            <w:tcBorders>
              <w:top w:val="single" w:sz="8" w:color="auto"/>
              <w:bottom w:val="single" w:sz="8" w:color="EAEAEA"/>
            </w:tcBorders>
            <w:shd w:val="clear" w:color="auto" w:fill="EAEAEA"/>
          </w:tcPr>
          <w:p>
            <w:pPr>
              <w:jc w:val="right"/>
              <w:ind w:right="417"/>
              <w:spacing w:after="0"/>
              <w:rPr>
                <w:sz w:val="20"/>
                <w:szCs w:val="20"/>
                <w:color w:val="auto"/>
              </w:rPr>
            </w:pPr>
            <w:r>
              <w:rPr>
                <w:rFonts w:ascii="Arial" w:cs="Arial" w:eastAsia="Arial" w:hAnsi="Arial"/>
                <w:sz w:val="13"/>
                <w:szCs w:val="13"/>
                <w:color w:val="auto"/>
              </w:rPr>
              <w:t>870,717</w:t>
            </w:r>
          </w:p>
        </w:tc>
        <w:tc>
          <w:tcPr>
            <w:tcW w:w="9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EAEAEA"/>
            </w:tcBorders>
            <w:shd w:val="clear" w:color="auto" w:fill="EAEAEA"/>
          </w:tcPr>
          <w:p>
            <w:pPr>
              <w:spacing w:after="0"/>
              <w:rPr>
                <w:sz w:val="20"/>
                <w:szCs w:val="20"/>
                <w:color w:val="auto"/>
              </w:rPr>
            </w:pPr>
          </w:p>
        </w:tc>
        <w:tc>
          <w:tcPr>
            <w:tcW w:w="1140" w:type="dxa"/>
            <w:vAlign w:val="bottom"/>
            <w:tcBorders>
              <w:top w:val="single" w:sz="8" w:color="auto"/>
              <w:bottom w:val="single" w:sz="8" w:color="EAEAEA"/>
            </w:tcBorders>
            <w:shd w:val="clear" w:color="auto" w:fill="EAEAEA"/>
          </w:tcPr>
          <w:p>
            <w:pPr>
              <w:jc w:val="right"/>
              <w:ind w:right="57"/>
              <w:spacing w:after="0"/>
              <w:rPr>
                <w:sz w:val="20"/>
                <w:szCs w:val="20"/>
                <w:color w:val="auto"/>
              </w:rPr>
            </w:pPr>
            <w:r>
              <w:rPr>
                <w:rFonts w:ascii="Arial" w:cs="Arial" w:eastAsia="Arial" w:hAnsi="Arial"/>
                <w:sz w:val="13"/>
                <w:szCs w:val="13"/>
                <w:color w:val="auto"/>
              </w:rPr>
              <w:t>—</w:t>
            </w:r>
          </w:p>
        </w:tc>
      </w:tr>
      <w:tr>
        <w:trPr>
          <w:trHeight w:val="237"/>
        </w:trPr>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bottom w:val="single" w:sz="8" w:color="EAEAEA"/>
            </w:tcBorders>
            <w:shd w:val="clear" w:color="auto" w:fill="EAEAEA"/>
          </w:tcPr>
          <w:p>
            <w:pPr>
              <w:spacing w:after="0"/>
              <w:rPr>
                <w:sz w:val="20"/>
                <w:szCs w:val="20"/>
                <w:color w:val="auto"/>
              </w:rPr>
            </w:pPr>
          </w:p>
        </w:tc>
        <w:tc>
          <w:tcPr>
            <w:tcW w:w="11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EAEAEA"/>
            </w:tcBorders>
            <w:shd w:val="clear" w:color="auto" w:fill="EAEAEA"/>
          </w:tcPr>
          <w:p>
            <w:pPr>
              <w:spacing w:after="0"/>
              <w:rPr>
                <w:sz w:val="20"/>
                <w:szCs w:val="20"/>
                <w:color w:val="auto"/>
              </w:rPr>
            </w:pPr>
          </w:p>
        </w:tc>
        <w:tc>
          <w:tcPr>
            <w:tcW w:w="7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EAEAEA"/>
            </w:tcBorders>
            <w:shd w:val="clear" w:color="auto" w:fill="EAEAEA"/>
          </w:tcPr>
          <w:p>
            <w:pPr>
              <w:jc w:val="center"/>
              <w:ind w:right="197"/>
              <w:spacing w:after="0"/>
              <w:rPr>
                <w:sz w:val="20"/>
                <w:szCs w:val="20"/>
                <w:color w:val="auto"/>
              </w:rPr>
            </w:pPr>
            <w:r>
              <w:rPr>
                <w:rFonts w:ascii="Arial" w:cs="Arial" w:eastAsia="Arial" w:hAnsi="Arial"/>
                <w:sz w:val="13"/>
                <w:szCs w:val="13"/>
                <w:color w:val="auto"/>
                <w:w w:val="91"/>
              </w:rPr>
              <w:t>—</w:t>
            </w:r>
          </w:p>
        </w:tc>
        <w:tc>
          <w:tcPr>
            <w:tcW w:w="8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5,057</w:t>
            </w:r>
          </w:p>
        </w:tc>
        <w:tc>
          <w:tcPr>
            <w:tcW w:w="440" w:type="dxa"/>
            <w:vAlign w:val="bottom"/>
            <w:tcBorders>
              <w:top w:val="single" w:sz="8" w:color="auto"/>
              <w:bottom w:val="single" w:sz="8" w:color="EAEAEA"/>
            </w:tcBorders>
            <w:shd w:val="clear" w:color="auto" w:fill="EAEAEA"/>
          </w:tcPr>
          <w:p>
            <w:pPr>
              <w:spacing w:after="0"/>
              <w:rPr>
                <w:sz w:val="20"/>
                <w:szCs w:val="20"/>
                <w:color w:val="auto"/>
              </w:rPr>
            </w:pPr>
            <w:r>
              <w:rPr>
                <w:rFonts w:ascii="Arial" w:cs="Arial" w:eastAsia="Arial" w:hAnsi="Arial"/>
                <w:sz w:val="8"/>
                <w:szCs w:val="8"/>
                <w:color w:val="auto"/>
              </w:rPr>
              <w:t>(10)</w:t>
            </w:r>
          </w:p>
        </w:tc>
        <w:tc>
          <w:tcPr>
            <w:tcW w:w="1340" w:type="dxa"/>
            <w:vAlign w:val="bottom"/>
            <w:tcBorders>
              <w:top w:val="single" w:sz="8" w:color="auto"/>
              <w:bottom w:val="single" w:sz="8" w:color="EAEAEA"/>
            </w:tcBorders>
            <w:shd w:val="clear" w:color="auto" w:fill="EAEAEA"/>
          </w:tcPr>
          <w:p>
            <w:pPr>
              <w:jc w:val="right"/>
              <w:ind w:right="417"/>
              <w:spacing w:after="0"/>
              <w:rPr>
                <w:sz w:val="20"/>
                <w:szCs w:val="20"/>
                <w:color w:val="auto"/>
              </w:rPr>
            </w:pPr>
            <w:r>
              <w:rPr>
                <w:rFonts w:ascii="Arial" w:cs="Arial" w:eastAsia="Arial" w:hAnsi="Arial"/>
                <w:sz w:val="13"/>
                <w:szCs w:val="13"/>
                <w:color w:val="auto"/>
              </w:rPr>
              <w:t>622,011</w:t>
            </w:r>
          </w:p>
        </w:tc>
        <w:tc>
          <w:tcPr>
            <w:tcW w:w="9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EAEAEA"/>
            </w:tcBorders>
            <w:shd w:val="clear" w:color="auto" w:fill="EAEAEA"/>
          </w:tcPr>
          <w:p>
            <w:pPr>
              <w:spacing w:after="0"/>
              <w:rPr>
                <w:sz w:val="20"/>
                <w:szCs w:val="20"/>
                <w:color w:val="auto"/>
              </w:rPr>
            </w:pPr>
          </w:p>
        </w:tc>
        <w:tc>
          <w:tcPr>
            <w:tcW w:w="1140" w:type="dxa"/>
            <w:vAlign w:val="bottom"/>
            <w:tcBorders>
              <w:top w:val="single" w:sz="8" w:color="auto"/>
              <w:bottom w:val="single" w:sz="8" w:color="EAEAEA"/>
            </w:tcBorders>
            <w:shd w:val="clear" w:color="auto" w:fill="EAEAEA"/>
          </w:tcPr>
          <w:p>
            <w:pPr>
              <w:jc w:val="right"/>
              <w:ind w:right="57"/>
              <w:spacing w:after="0"/>
              <w:rPr>
                <w:sz w:val="20"/>
                <w:szCs w:val="20"/>
                <w:color w:val="auto"/>
              </w:rPr>
            </w:pPr>
            <w:r>
              <w:rPr>
                <w:rFonts w:ascii="Arial" w:cs="Arial" w:eastAsia="Arial" w:hAnsi="Arial"/>
                <w:sz w:val="13"/>
                <w:szCs w:val="13"/>
                <w:color w:val="auto"/>
              </w:rPr>
              <w:t>—</w:t>
            </w:r>
          </w:p>
        </w:tc>
      </w:tr>
      <w:tr>
        <w:trPr>
          <w:trHeight w:val="216"/>
        </w:trPr>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bottom w:val="single" w:sz="8" w:color="EAEAEA"/>
            </w:tcBorders>
            <w:shd w:val="clear" w:color="auto" w:fill="EAEAEA"/>
          </w:tcPr>
          <w:p>
            <w:pPr>
              <w:spacing w:after="0"/>
              <w:rPr>
                <w:sz w:val="18"/>
                <w:szCs w:val="18"/>
                <w:color w:val="auto"/>
              </w:rPr>
            </w:pPr>
          </w:p>
        </w:tc>
        <w:tc>
          <w:tcPr>
            <w:tcW w:w="11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EAEAEA"/>
            </w:tcBorders>
            <w:shd w:val="clear" w:color="auto" w:fill="EAEAEA"/>
          </w:tcPr>
          <w:p>
            <w:pPr>
              <w:spacing w:after="0"/>
              <w:rPr>
                <w:sz w:val="18"/>
                <w:szCs w:val="18"/>
                <w:color w:val="auto"/>
              </w:rPr>
            </w:pPr>
          </w:p>
        </w:tc>
        <w:tc>
          <w:tcPr>
            <w:tcW w:w="7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EAEAEA"/>
            </w:tcBorders>
            <w:shd w:val="clear" w:color="auto" w:fill="EAEAEA"/>
          </w:tcPr>
          <w:p>
            <w:pPr>
              <w:jc w:val="center"/>
              <w:ind w:right="197"/>
              <w:spacing w:after="0"/>
              <w:rPr>
                <w:sz w:val="20"/>
                <w:szCs w:val="20"/>
                <w:color w:val="auto"/>
              </w:rPr>
            </w:pPr>
            <w:r>
              <w:rPr>
                <w:rFonts w:ascii="Arial" w:cs="Arial" w:eastAsia="Arial" w:hAnsi="Arial"/>
                <w:sz w:val="13"/>
                <w:szCs w:val="13"/>
                <w:color w:val="auto"/>
                <w:w w:val="91"/>
              </w:rPr>
              <w:t>—</w:t>
            </w:r>
          </w:p>
        </w:tc>
        <w:tc>
          <w:tcPr>
            <w:tcW w:w="8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4,150</w:t>
            </w:r>
          </w:p>
        </w:tc>
        <w:tc>
          <w:tcPr>
            <w:tcW w:w="440" w:type="dxa"/>
            <w:vAlign w:val="bottom"/>
            <w:tcBorders>
              <w:top w:val="single" w:sz="8" w:color="auto"/>
              <w:bottom w:val="single" w:sz="8" w:color="EAEAEA"/>
            </w:tcBorders>
            <w:shd w:val="clear" w:color="auto" w:fill="EAEAEA"/>
          </w:tcPr>
          <w:p>
            <w:pPr>
              <w:spacing w:after="0"/>
              <w:rPr>
                <w:sz w:val="20"/>
                <w:szCs w:val="20"/>
                <w:color w:val="auto"/>
              </w:rPr>
            </w:pPr>
            <w:r>
              <w:rPr>
                <w:rFonts w:ascii="Arial" w:cs="Arial" w:eastAsia="Arial" w:hAnsi="Arial"/>
                <w:sz w:val="8"/>
                <w:szCs w:val="8"/>
                <w:color w:val="auto"/>
              </w:rPr>
              <w:t>(16)</w:t>
            </w:r>
          </w:p>
        </w:tc>
        <w:tc>
          <w:tcPr>
            <w:tcW w:w="1340" w:type="dxa"/>
            <w:vAlign w:val="bottom"/>
            <w:tcBorders>
              <w:top w:val="single" w:sz="8" w:color="auto"/>
              <w:bottom w:val="single" w:sz="8" w:color="EAEAEA"/>
            </w:tcBorders>
            <w:shd w:val="clear" w:color="auto" w:fill="EAEAEA"/>
          </w:tcPr>
          <w:p>
            <w:pPr>
              <w:jc w:val="right"/>
              <w:ind w:right="417"/>
              <w:spacing w:after="0"/>
              <w:rPr>
                <w:sz w:val="20"/>
                <w:szCs w:val="20"/>
                <w:color w:val="auto"/>
              </w:rPr>
            </w:pPr>
            <w:r>
              <w:rPr>
                <w:rFonts w:ascii="Arial" w:cs="Arial" w:eastAsia="Arial" w:hAnsi="Arial"/>
                <w:sz w:val="13"/>
                <w:szCs w:val="13"/>
                <w:color w:val="auto"/>
              </w:rPr>
              <w:t>510,450</w:t>
            </w:r>
          </w:p>
        </w:tc>
        <w:tc>
          <w:tcPr>
            <w:tcW w:w="9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EAEAEA"/>
            </w:tcBorders>
            <w:shd w:val="clear" w:color="auto" w:fill="EAEAEA"/>
          </w:tcPr>
          <w:p>
            <w:pPr>
              <w:spacing w:after="0"/>
              <w:rPr>
                <w:sz w:val="18"/>
                <w:szCs w:val="18"/>
                <w:color w:val="auto"/>
              </w:rPr>
            </w:pPr>
          </w:p>
        </w:tc>
        <w:tc>
          <w:tcPr>
            <w:tcW w:w="1140" w:type="dxa"/>
            <w:vAlign w:val="bottom"/>
            <w:tcBorders>
              <w:top w:val="single" w:sz="8" w:color="auto"/>
              <w:bottom w:val="single" w:sz="8" w:color="EAEAEA"/>
            </w:tcBorders>
            <w:shd w:val="clear" w:color="auto" w:fill="EAEAEA"/>
          </w:tcPr>
          <w:p>
            <w:pPr>
              <w:jc w:val="right"/>
              <w:ind w:right="57"/>
              <w:spacing w:after="0"/>
              <w:rPr>
                <w:sz w:val="20"/>
                <w:szCs w:val="20"/>
                <w:color w:val="auto"/>
              </w:rPr>
            </w:pPr>
            <w:r>
              <w:rPr>
                <w:rFonts w:ascii="Arial" w:cs="Arial" w:eastAsia="Arial" w:hAnsi="Arial"/>
                <w:sz w:val="13"/>
                <w:szCs w:val="13"/>
                <w:color w:val="auto"/>
              </w:rPr>
              <w:t>—</w:t>
            </w:r>
          </w:p>
        </w:tc>
      </w:tr>
      <w:tr>
        <w:trPr>
          <w:trHeight w:val="202"/>
        </w:trPr>
        <w:tc>
          <w:tcPr>
            <w:tcW w:w="1020" w:type="dxa"/>
            <w:vAlign w:val="bottom"/>
          </w:tcPr>
          <w:p>
            <w:pPr>
              <w:jc w:val="right"/>
              <w:spacing w:after="0"/>
              <w:rPr>
                <w:sz w:val="20"/>
                <w:szCs w:val="20"/>
                <w:color w:val="auto"/>
              </w:rPr>
            </w:pPr>
            <w:r>
              <w:rPr>
                <w:rFonts w:ascii="Arial" w:cs="Arial" w:eastAsia="Arial" w:hAnsi="Arial"/>
                <w:sz w:val="13"/>
                <w:szCs w:val="13"/>
                <w:color w:val="auto"/>
              </w:rPr>
              <w:t>4,229</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271</w:t>
            </w:r>
          </w:p>
        </w:tc>
        <w:tc>
          <w:tcPr>
            <w:tcW w:w="320" w:type="dxa"/>
            <w:vAlign w:val="bottom"/>
          </w:tcPr>
          <w:p>
            <w:pPr>
              <w:ind w:left="20"/>
              <w:spacing w:after="0"/>
              <w:rPr>
                <w:sz w:val="20"/>
                <w:szCs w:val="20"/>
                <w:color w:val="auto"/>
              </w:rPr>
            </w:pPr>
            <w:r>
              <w:rPr>
                <w:rFonts w:ascii="Arial" w:cs="Arial" w:eastAsia="Arial" w:hAnsi="Arial"/>
                <w:sz w:val="8"/>
                <w:szCs w:val="8"/>
                <w:color w:val="auto"/>
              </w:rPr>
              <w:t>(6)</w:t>
            </w:r>
          </w:p>
        </w:tc>
        <w:tc>
          <w:tcPr>
            <w:tcW w:w="760" w:type="dxa"/>
            <w:vAlign w:val="bottom"/>
          </w:tcPr>
          <w:p>
            <w:pPr>
              <w:jc w:val="right"/>
              <w:spacing w:after="0"/>
              <w:rPr>
                <w:sz w:val="20"/>
                <w:szCs w:val="20"/>
                <w:color w:val="auto"/>
              </w:rPr>
            </w:pPr>
            <w:r>
              <w:rPr>
                <w:rFonts w:ascii="Arial" w:cs="Arial" w:eastAsia="Arial" w:hAnsi="Arial"/>
                <w:sz w:val="13"/>
                <w:szCs w:val="13"/>
                <w:color w:val="auto"/>
              </w:rPr>
              <w:t>113.10</w:t>
            </w:r>
          </w:p>
        </w:tc>
        <w:tc>
          <w:tcPr>
            <w:tcW w:w="1100" w:type="dxa"/>
            <w:vAlign w:val="bottom"/>
          </w:tcPr>
          <w:p>
            <w:pPr>
              <w:jc w:val="center"/>
              <w:ind w:right="197"/>
              <w:spacing w:after="0"/>
              <w:rPr>
                <w:sz w:val="20"/>
                <w:szCs w:val="20"/>
                <w:color w:val="auto"/>
              </w:rPr>
            </w:pPr>
            <w:r>
              <w:rPr>
                <w:rFonts w:ascii="Arial" w:cs="Arial" w:eastAsia="Arial" w:hAnsi="Arial"/>
                <w:sz w:val="13"/>
                <w:szCs w:val="13"/>
                <w:color w:val="auto"/>
                <w:w w:val="96"/>
              </w:rPr>
              <w:t>2/26/2030</w:t>
            </w:r>
          </w:p>
        </w:tc>
        <w:tc>
          <w:tcPr>
            <w:tcW w:w="800" w:type="dxa"/>
            <w:vAlign w:val="bottom"/>
          </w:tcPr>
          <w:p>
            <w:pPr>
              <w:jc w:val="right"/>
              <w:spacing w:after="0"/>
              <w:rPr>
                <w:sz w:val="20"/>
                <w:szCs w:val="20"/>
                <w:color w:val="auto"/>
              </w:rPr>
            </w:pPr>
            <w:r>
              <w:rPr>
                <w:rFonts w:ascii="Arial" w:cs="Arial" w:eastAsia="Arial" w:hAnsi="Arial"/>
                <w:sz w:val="13"/>
                <w:szCs w:val="13"/>
                <w:color w:val="auto"/>
              </w:rPr>
              <w:t>2,523</w:t>
            </w:r>
          </w:p>
        </w:tc>
        <w:tc>
          <w:tcPr>
            <w:tcW w:w="440" w:type="dxa"/>
            <w:vAlign w:val="bottom"/>
          </w:tcPr>
          <w:p>
            <w:pPr>
              <w:spacing w:after="0"/>
              <w:rPr>
                <w:sz w:val="20"/>
                <w:szCs w:val="20"/>
                <w:color w:val="auto"/>
              </w:rPr>
            </w:pPr>
            <w:r>
              <w:rPr>
                <w:rFonts w:ascii="Arial" w:cs="Arial" w:eastAsia="Arial" w:hAnsi="Arial"/>
                <w:sz w:val="8"/>
                <w:szCs w:val="8"/>
                <w:color w:val="auto"/>
              </w:rPr>
              <w:t>(7)</w:t>
            </w:r>
          </w:p>
        </w:tc>
        <w:tc>
          <w:tcPr>
            <w:tcW w:w="1340" w:type="dxa"/>
            <w:vAlign w:val="bottom"/>
          </w:tcPr>
          <w:p>
            <w:pPr>
              <w:jc w:val="right"/>
              <w:ind w:right="417"/>
              <w:spacing w:after="0"/>
              <w:rPr>
                <w:sz w:val="20"/>
                <w:szCs w:val="20"/>
                <w:color w:val="auto"/>
              </w:rPr>
            </w:pPr>
            <w:r>
              <w:rPr>
                <w:rFonts w:ascii="Arial" w:cs="Arial" w:eastAsia="Arial" w:hAnsi="Arial"/>
                <w:sz w:val="13"/>
                <w:szCs w:val="13"/>
                <w:color w:val="auto"/>
              </w:rPr>
              <w:t>310,329</w:t>
            </w:r>
          </w:p>
        </w:tc>
        <w:tc>
          <w:tcPr>
            <w:tcW w:w="900" w:type="dxa"/>
            <w:vAlign w:val="bottom"/>
          </w:tcPr>
          <w:p>
            <w:pPr>
              <w:jc w:val="right"/>
              <w:spacing w:after="0"/>
              <w:rPr>
                <w:sz w:val="20"/>
                <w:szCs w:val="20"/>
                <w:color w:val="auto"/>
              </w:rPr>
            </w:pPr>
            <w:r>
              <w:rPr>
                <w:rFonts w:ascii="Arial" w:cs="Arial" w:eastAsia="Arial" w:hAnsi="Arial"/>
                <w:sz w:val="13"/>
                <w:szCs w:val="13"/>
                <w:color w:val="auto"/>
              </w:rPr>
              <w:t>2,523</w:t>
            </w:r>
          </w:p>
        </w:tc>
        <w:tc>
          <w:tcPr>
            <w:tcW w:w="640" w:type="dxa"/>
            <w:vAlign w:val="bottom"/>
          </w:tcPr>
          <w:p>
            <w:pPr>
              <w:jc w:val="right"/>
              <w:ind w:right="439"/>
              <w:spacing w:after="0"/>
              <w:rPr>
                <w:sz w:val="20"/>
                <w:szCs w:val="20"/>
                <w:color w:val="auto"/>
              </w:rPr>
            </w:pPr>
            <w:r>
              <w:rPr>
                <w:rFonts w:ascii="Arial" w:cs="Arial" w:eastAsia="Arial" w:hAnsi="Arial"/>
                <w:sz w:val="8"/>
                <w:szCs w:val="8"/>
                <w:color w:val="auto"/>
                <w:w w:val="98"/>
              </w:rPr>
              <w:t>(12)</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310,329</w:t>
            </w:r>
          </w:p>
        </w:tc>
      </w:tr>
      <w:tr>
        <w:trPr>
          <w:trHeight w:val="55"/>
        </w:trPr>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182"/>
        </w:trPr>
        <w:tc>
          <w:tcPr>
            <w:tcW w:w="1020" w:type="dxa"/>
            <w:vAlign w:val="bottom"/>
          </w:tcPr>
          <w:p>
            <w:pPr>
              <w:jc w:val="right"/>
              <w:spacing w:after="0"/>
              <w:rPr>
                <w:sz w:val="20"/>
                <w:szCs w:val="20"/>
                <w:color w:val="auto"/>
              </w:rPr>
            </w:pPr>
            <w:r>
              <w:rPr>
                <w:rFonts w:ascii="Arial" w:cs="Arial" w:eastAsia="Arial" w:hAnsi="Arial"/>
                <w:sz w:val="13"/>
                <w:szCs w:val="13"/>
                <w:color w:val="auto"/>
              </w:rPr>
              <w:t>4,250</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140.03</w:t>
            </w:r>
          </w:p>
        </w:tc>
        <w:tc>
          <w:tcPr>
            <w:tcW w:w="1100" w:type="dxa"/>
            <w:vAlign w:val="bottom"/>
          </w:tcPr>
          <w:p>
            <w:pPr>
              <w:jc w:val="center"/>
              <w:ind w:right="197"/>
              <w:spacing w:after="0"/>
              <w:rPr>
                <w:sz w:val="20"/>
                <w:szCs w:val="20"/>
                <w:color w:val="auto"/>
              </w:rPr>
            </w:pPr>
            <w:r>
              <w:rPr>
                <w:rFonts w:ascii="Arial" w:cs="Arial" w:eastAsia="Arial" w:hAnsi="Arial"/>
                <w:sz w:val="13"/>
                <w:szCs w:val="13"/>
                <w:color w:val="auto"/>
                <w:w w:val="96"/>
              </w:rPr>
              <w:t>2/27/2029</w:t>
            </w:r>
          </w:p>
        </w:tc>
        <w:tc>
          <w:tcPr>
            <w:tcW w:w="800" w:type="dxa"/>
            <w:vAlign w:val="bottom"/>
          </w:tcPr>
          <w:p>
            <w:pPr>
              <w:jc w:val="right"/>
              <w:spacing w:after="0"/>
              <w:rPr>
                <w:sz w:val="20"/>
                <w:szCs w:val="20"/>
                <w:color w:val="auto"/>
              </w:rPr>
            </w:pPr>
            <w:r>
              <w:rPr>
                <w:rFonts w:ascii="Arial" w:cs="Arial" w:eastAsia="Arial" w:hAnsi="Arial"/>
                <w:sz w:val="13"/>
                <w:szCs w:val="13"/>
                <w:color w:val="auto"/>
              </w:rPr>
              <w:t>1,866</w:t>
            </w:r>
          </w:p>
        </w:tc>
        <w:tc>
          <w:tcPr>
            <w:tcW w:w="440" w:type="dxa"/>
            <w:vAlign w:val="bottom"/>
          </w:tcPr>
          <w:p>
            <w:pPr>
              <w:spacing w:after="0"/>
              <w:rPr>
                <w:sz w:val="20"/>
                <w:szCs w:val="20"/>
                <w:color w:val="auto"/>
              </w:rPr>
            </w:pPr>
            <w:r>
              <w:rPr>
                <w:rFonts w:ascii="Arial" w:cs="Arial" w:eastAsia="Arial" w:hAnsi="Arial"/>
                <w:sz w:val="8"/>
                <w:szCs w:val="8"/>
                <w:color w:val="auto"/>
              </w:rPr>
              <w:t>(8)</w:t>
            </w:r>
          </w:p>
        </w:tc>
        <w:tc>
          <w:tcPr>
            <w:tcW w:w="1340" w:type="dxa"/>
            <w:vAlign w:val="bottom"/>
          </w:tcPr>
          <w:p>
            <w:pPr>
              <w:jc w:val="right"/>
              <w:ind w:right="417"/>
              <w:spacing w:after="0"/>
              <w:rPr>
                <w:sz w:val="20"/>
                <w:szCs w:val="20"/>
                <w:color w:val="auto"/>
              </w:rPr>
            </w:pPr>
            <w:r>
              <w:rPr>
                <w:rFonts w:ascii="Arial" w:cs="Arial" w:eastAsia="Arial" w:hAnsi="Arial"/>
                <w:sz w:val="13"/>
                <w:szCs w:val="13"/>
                <w:color w:val="auto"/>
              </w:rPr>
              <w:t>229,518</w:t>
            </w:r>
          </w:p>
        </w:tc>
        <w:tc>
          <w:tcPr>
            <w:tcW w:w="900" w:type="dxa"/>
            <w:vAlign w:val="bottom"/>
          </w:tcPr>
          <w:p>
            <w:pPr>
              <w:jc w:val="right"/>
              <w:spacing w:after="0"/>
              <w:rPr>
                <w:sz w:val="20"/>
                <w:szCs w:val="20"/>
                <w:color w:val="auto"/>
              </w:rPr>
            </w:pPr>
            <w:r>
              <w:rPr>
                <w:rFonts w:ascii="Arial" w:cs="Arial" w:eastAsia="Arial" w:hAnsi="Arial"/>
                <w:sz w:val="13"/>
                <w:szCs w:val="13"/>
                <w:color w:val="auto"/>
              </w:rPr>
              <w:t>2,488</w:t>
            </w:r>
          </w:p>
        </w:tc>
        <w:tc>
          <w:tcPr>
            <w:tcW w:w="640" w:type="dxa"/>
            <w:vAlign w:val="bottom"/>
          </w:tcPr>
          <w:p>
            <w:pPr>
              <w:jc w:val="right"/>
              <w:ind w:right="439"/>
              <w:spacing w:after="0"/>
              <w:rPr>
                <w:sz w:val="20"/>
                <w:szCs w:val="20"/>
                <w:color w:val="auto"/>
              </w:rPr>
            </w:pPr>
            <w:r>
              <w:rPr>
                <w:rFonts w:ascii="Arial" w:cs="Arial" w:eastAsia="Arial" w:hAnsi="Arial"/>
                <w:sz w:val="8"/>
                <w:szCs w:val="8"/>
                <w:color w:val="auto"/>
                <w:w w:val="98"/>
              </w:rPr>
              <w:t>(13)</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306,024</w:t>
            </w:r>
          </w:p>
        </w:tc>
      </w:tr>
      <w:tr>
        <w:trPr>
          <w:trHeight w:val="54"/>
        </w:trPr>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182"/>
        </w:trPr>
        <w:tc>
          <w:tcPr>
            <w:tcW w:w="1020" w:type="dxa"/>
            <w:vAlign w:val="bottom"/>
          </w:tcPr>
          <w:p>
            <w:pPr>
              <w:jc w:val="right"/>
              <w:spacing w:after="0"/>
              <w:rPr>
                <w:sz w:val="20"/>
                <w:szCs w:val="20"/>
                <w:color w:val="auto"/>
              </w:rPr>
            </w:pPr>
            <w:r>
              <w:rPr>
                <w:rFonts w:ascii="Arial" w:cs="Arial" w:eastAsia="Arial" w:hAnsi="Arial"/>
                <w:sz w:val="13"/>
                <w:szCs w:val="13"/>
                <w:color w:val="auto"/>
              </w:rPr>
              <w:t>4,500</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140.67</w:t>
            </w:r>
          </w:p>
        </w:tc>
        <w:tc>
          <w:tcPr>
            <w:tcW w:w="1100" w:type="dxa"/>
            <w:vAlign w:val="bottom"/>
          </w:tcPr>
          <w:p>
            <w:pPr>
              <w:jc w:val="center"/>
              <w:ind w:right="197"/>
              <w:spacing w:after="0"/>
              <w:rPr>
                <w:sz w:val="20"/>
                <w:szCs w:val="20"/>
                <w:color w:val="auto"/>
              </w:rPr>
            </w:pPr>
            <w:r>
              <w:rPr>
                <w:rFonts w:ascii="Arial" w:cs="Arial" w:eastAsia="Arial" w:hAnsi="Arial"/>
                <w:sz w:val="13"/>
                <w:szCs w:val="13"/>
                <w:color w:val="auto"/>
                <w:w w:val="96"/>
              </w:rPr>
              <w:t>2/29/2028</w:t>
            </w:r>
          </w:p>
        </w:tc>
        <w:tc>
          <w:tcPr>
            <w:tcW w:w="800" w:type="dxa"/>
            <w:vAlign w:val="bottom"/>
          </w:tcPr>
          <w:p>
            <w:pPr>
              <w:jc w:val="right"/>
              <w:spacing w:after="0"/>
              <w:rPr>
                <w:sz w:val="20"/>
                <w:szCs w:val="20"/>
                <w:color w:val="auto"/>
              </w:rPr>
            </w:pPr>
            <w:r>
              <w:rPr>
                <w:rFonts w:ascii="Arial" w:cs="Arial" w:eastAsia="Arial" w:hAnsi="Arial"/>
                <w:sz w:val="13"/>
                <w:szCs w:val="13"/>
                <w:color w:val="auto"/>
              </w:rPr>
              <w:t>1,327</w:t>
            </w:r>
          </w:p>
        </w:tc>
        <w:tc>
          <w:tcPr>
            <w:tcW w:w="440" w:type="dxa"/>
            <w:vAlign w:val="bottom"/>
          </w:tcPr>
          <w:p>
            <w:pPr>
              <w:spacing w:after="0"/>
              <w:rPr>
                <w:sz w:val="20"/>
                <w:szCs w:val="20"/>
                <w:color w:val="auto"/>
              </w:rPr>
            </w:pPr>
            <w:r>
              <w:rPr>
                <w:rFonts w:ascii="Arial" w:cs="Arial" w:eastAsia="Arial" w:hAnsi="Arial"/>
                <w:sz w:val="8"/>
                <w:szCs w:val="8"/>
                <w:color w:val="auto"/>
              </w:rPr>
              <w:t>(9)</w:t>
            </w:r>
          </w:p>
        </w:tc>
        <w:tc>
          <w:tcPr>
            <w:tcW w:w="1340" w:type="dxa"/>
            <w:vAlign w:val="bottom"/>
          </w:tcPr>
          <w:p>
            <w:pPr>
              <w:jc w:val="right"/>
              <w:ind w:right="417"/>
              <w:spacing w:after="0"/>
              <w:rPr>
                <w:sz w:val="20"/>
                <w:szCs w:val="20"/>
                <w:color w:val="auto"/>
              </w:rPr>
            </w:pPr>
            <w:r>
              <w:rPr>
                <w:rFonts w:ascii="Arial" w:cs="Arial" w:eastAsia="Arial" w:hAnsi="Arial"/>
                <w:sz w:val="13"/>
                <w:szCs w:val="13"/>
                <w:color w:val="auto"/>
              </w:rPr>
              <w:t>163,221</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55"/>
        </w:trPr>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182"/>
        </w:trPr>
        <w:tc>
          <w:tcPr>
            <w:tcW w:w="1020" w:type="dxa"/>
            <w:vAlign w:val="bottom"/>
          </w:tcPr>
          <w:p>
            <w:pPr>
              <w:jc w:val="right"/>
              <w:spacing w:after="0"/>
              <w:rPr>
                <w:sz w:val="20"/>
                <w:szCs w:val="20"/>
                <w:color w:val="auto"/>
              </w:rPr>
            </w:pPr>
            <w:r>
              <w:rPr>
                <w:rFonts w:ascii="Arial" w:cs="Arial" w:eastAsia="Arial" w:hAnsi="Arial"/>
                <w:sz w:val="13"/>
                <w:szCs w:val="13"/>
                <w:color w:val="auto"/>
              </w:rPr>
              <w:t>5,250</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136.18</w:t>
            </w:r>
          </w:p>
        </w:tc>
        <w:tc>
          <w:tcPr>
            <w:tcW w:w="1100" w:type="dxa"/>
            <w:vAlign w:val="bottom"/>
          </w:tcPr>
          <w:p>
            <w:pPr>
              <w:jc w:val="center"/>
              <w:ind w:right="177"/>
              <w:spacing w:after="0"/>
              <w:rPr>
                <w:sz w:val="20"/>
                <w:szCs w:val="20"/>
                <w:color w:val="auto"/>
              </w:rPr>
            </w:pPr>
            <w:r>
              <w:rPr>
                <w:rFonts w:ascii="Arial" w:cs="Arial" w:eastAsia="Arial" w:hAnsi="Arial"/>
                <w:sz w:val="13"/>
                <w:szCs w:val="13"/>
                <w:color w:val="auto"/>
                <w:w w:val="98"/>
              </w:rPr>
              <w:t>3/1/2027</w:t>
            </w:r>
          </w:p>
        </w:tc>
        <w:tc>
          <w:tcPr>
            <w:tcW w:w="800" w:type="dxa"/>
            <w:vAlign w:val="bottom"/>
          </w:tcPr>
          <w:p>
            <w:pPr>
              <w:jc w:val="right"/>
              <w:spacing w:after="0"/>
              <w:rPr>
                <w:sz w:val="20"/>
                <w:szCs w:val="20"/>
                <w:color w:val="auto"/>
              </w:rPr>
            </w:pPr>
            <w:r>
              <w:rPr>
                <w:rFonts w:ascii="Arial" w:cs="Arial" w:eastAsia="Arial" w:hAnsi="Arial"/>
                <w:sz w:val="13"/>
                <w:szCs w:val="13"/>
                <w:color w:val="auto"/>
              </w:rPr>
              <w:t>947</w:t>
            </w:r>
          </w:p>
        </w:tc>
        <w:tc>
          <w:tcPr>
            <w:tcW w:w="440" w:type="dxa"/>
            <w:vAlign w:val="bottom"/>
          </w:tcPr>
          <w:p>
            <w:pPr>
              <w:spacing w:after="0"/>
              <w:rPr>
                <w:sz w:val="20"/>
                <w:szCs w:val="20"/>
                <w:color w:val="auto"/>
              </w:rPr>
            </w:pPr>
            <w:r>
              <w:rPr>
                <w:rFonts w:ascii="Arial" w:cs="Arial" w:eastAsia="Arial" w:hAnsi="Arial"/>
                <w:sz w:val="8"/>
                <w:szCs w:val="8"/>
                <w:color w:val="auto"/>
              </w:rPr>
              <w:t>(10)</w:t>
            </w:r>
          </w:p>
        </w:tc>
        <w:tc>
          <w:tcPr>
            <w:tcW w:w="1340" w:type="dxa"/>
            <w:vAlign w:val="bottom"/>
          </w:tcPr>
          <w:p>
            <w:pPr>
              <w:jc w:val="right"/>
              <w:ind w:right="417"/>
              <w:spacing w:after="0"/>
              <w:rPr>
                <w:sz w:val="20"/>
                <w:szCs w:val="20"/>
                <w:color w:val="auto"/>
              </w:rPr>
            </w:pPr>
            <w:r>
              <w:rPr>
                <w:rFonts w:ascii="Arial" w:cs="Arial" w:eastAsia="Arial" w:hAnsi="Arial"/>
                <w:sz w:val="13"/>
                <w:szCs w:val="13"/>
                <w:color w:val="auto"/>
              </w:rPr>
              <w:t>116,481</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55"/>
        </w:trPr>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182"/>
        </w:trPr>
        <w:tc>
          <w:tcPr>
            <w:tcW w:w="1020" w:type="dxa"/>
            <w:vAlign w:val="bottom"/>
          </w:tcPr>
          <w:p>
            <w:pPr>
              <w:jc w:val="right"/>
              <w:spacing w:after="0"/>
              <w:rPr>
                <w:sz w:val="20"/>
                <w:szCs w:val="20"/>
                <w:color w:val="auto"/>
              </w:rPr>
            </w:pPr>
            <w:r>
              <w:rPr>
                <w:rFonts w:ascii="Arial" w:cs="Arial" w:eastAsia="Arial" w:hAnsi="Arial"/>
                <w:sz w:val="13"/>
                <w:szCs w:val="13"/>
                <w:color w:val="auto"/>
              </w:rPr>
              <w:t>313</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123.36</w:t>
            </w:r>
          </w:p>
        </w:tc>
        <w:tc>
          <w:tcPr>
            <w:tcW w:w="1100" w:type="dxa"/>
            <w:vAlign w:val="bottom"/>
          </w:tcPr>
          <w:p>
            <w:pPr>
              <w:jc w:val="center"/>
              <w:ind w:right="197"/>
              <w:spacing w:after="0"/>
              <w:rPr>
                <w:sz w:val="20"/>
                <w:szCs w:val="20"/>
                <w:color w:val="auto"/>
              </w:rPr>
            </w:pPr>
            <w:r>
              <w:rPr>
                <w:rFonts w:ascii="Arial" w:cs="Arial" w:eastAsia="Arial" w:hAnsi="Arial"/>
                <w:sz w:val="13"/>
                <w:szCs w:val="13"/>
                <w:color w:val="auto"/>
                <w:w w:val="96"/>
              </w:rPr>
              <w:t>2/24/2026</w:t>
            </w:r>
          </w:p>
        </w:tc>
        <w:tc>
          <w:tcPr>
            <w:tcW w:w="800" w:type="dxa"/>
            <w:vAlign w:val="bottom"/>
          </w:tcPr>
          <w:p>
            <w:pPr>
              <w:jc w:val="right"/>
              <w:spacing w:after="0"/>
              <w:rPr>
                <w:sz w:val="20"/>
                <w:szCs w:val="20"/>
                <w:color w:val="auto"/>
              </w:rPr>
            </w:pPr>
            <w:r>
              <w:rPr>
                <w:rFonts w:ascii="Arial" w:cs="Arial" w:eastAsia="Arial" w:hAnsi="Arial"/>
                <w:sz w:val="13"/>
                <w:szCs w:val="13"/>
                <w:color w:val="auto"/>
              </w:rPr>
              <w:t>650</w:t>
            </w:r>
          </w:p>
        </w:tc>
        <w:tc>
          <w:tcPr>
            <w:tcW w:w="440" w:type="dxa"/>
            <w:vAlign w:val="bottom"/>
          </w:tcPr>
          <w:p>
            <w:pPr>
              <w:spacing w:after="0"/>
              <w:rPr>
                <w:sz w:val="20"/>
                <w:szCs w:val="20"/>
                <w:color w:val="auto"/>
              </w:rPr>
            </w:pPr>
            <w:r>
              <w:rPr>
                <w:rFonts w:ascii="Arial" w:cs="Arial" w:eastAsia="Arial" w:hAnsi="Arial"/>
                <w:sz w:val="8"/>
                <w:szCs w:val="8"/>
                <w:color w:val="auto"/>
              </w:rPr>
              <w:t>(11)</w:t>
            </w:r>
          </w:p>
        </w:tc>
        <w:tc>
          <w:tcPr>
            <w:tcW w:w="1340" w:type="dxa"/>
            <w:vAlign w:val="bottom"/>
          </w:tcPr>
          <w:p>
            <w:pPr>
              <w:jc w:val="right"/>
              <w:ind w:right="417"/>
              <w:spacing w:after="0"/>
              <w:rPr>
                <w:sz w:val="20"/>
                <w:szCs w:val="20"/>
                <w:color w:val="auto"/>
              </w:rPr>
            </w:pPr>
            <w:r>
              <w:rPr>
                <w:rFonts w:ascii="Arial" w:cs="Arial" w:eastAsia="Arial" w:hAnsi="Arial"/>
                <w:sz w:val="13"/>
                <w:szCs w:val="13"/>
                <w:color w:val="auto"/>
              </w:rPr>
              <w:t>79,950</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55"/>
        </w:trPr>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182"/>
        </w:trPr>
        <w:tc>
          <w:tcPr>
            <w:tcW w:w="1020" w:type="dxa"/>
            <w:vAlign w:val="bottom"/>
          </w:tcPr>
          <w:p>
            <w:pPr>
              <w:jc w:val="right"/>
              <w:spacing w:after="0"/>
              <w:rPr>
                <w:sz w:val="20"/>
                <w:szCs w:val="20"/>
                <w:color w:val="auto"/>
              </w:rPr>
            </w:pPr>
            <w:r>
              <w:rPr>
                <w:rFonts w:ascii="Arial" w:cs="Arial" w:eastAsia="Arial" w:hAnsi="Arial"/>
                <w:sz w:val="13"/>
                <w:szCs w:val="13"/>
                <w:color w:val="auto"/>
              </w:rPr>
              <w:t>4,500</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175.19</w:t>
            </w:r>
          </w:p>
        </w:tc>
        <w:tc>
          <w:tcPr>
            <w:tcW w:w="1100" w:type="dxa"/>
            <w:vAlign w:val="bottom"/>
          </w:tcPr>
          <w:p>
            <w:pPr>
              <w:jc w:val="center"/>
              <w:ind w:right="197"/>
              <w:spacing w:after="0"/>
              <w:rPr>
                <w:sz w:val="20"/>
                <w:szCs w:val="20"/>
                <w:color w:val="auto"/>
              </w:rPr>
            </w:pPr>
            <w:r>
              <w:rPr>
                <w:rFonts w:ascii="Arial" w:cs="Arial" w:eastAsia="Arial" w:hAnsi="Arial"/>
                <w:sz w:val="13"/>
                <w:szCs w:val="13"/>
                <w:color w:val="auto"/>
                <w:w w:val="96"/>
              </w:rPr>
              <w:t>2/25/2025</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134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55"/>
        </w:trPr>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182"/>
        </w:trPr>
        <w:tc>
          <w:tcPr>
            <w:tcW w:w="1020" w:type="dxa"/>
            <w:vAlign w:val="bottom"/>
          </w:tcPr>
          <w:p>
            <w:pPr>
              <w:jc w:val="right"/>
              <w:spacing w:after="0"/>
              <w:rPr>
                <w:sz w:val="20"/>
                <w:szCs w:val="20"/>
                <w:color w:val="auto"/>
              </w:rPr>
            </w:pPr>
            <w:r>
              <w:rPr>
                <w:rFonts w:ascii="Arial" w:cs="Arial" w:eastAsia="Arial" w:hAnsi="Arial"/>
                <w:sz w:val="13"/>
                <w:szCs w:val="13"/>
                <w:color w:val="auto"/>
              </w:rPr>
              <w:t>4,000</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166.62</w:t>
            </w:r>
          </w:p>
        </w:tc>
        <w:tc>
          <w:tcPr>
            <w:tcW w:w="1100" w:type="dxa"/>
            <w:vAlign w:val="bottom"/>
          </w:tcPr>
          <w:p>
            <w:pPr>
              <w:jc w:val="center"/>
              <w:ind w:right="197"/>
              <w:spacing w:after="0"/>
              <w:rPr>
                <w:sz w:val="20"/>
                <w:szCs w:val="20"/>
                <w:color w:val="auto"/>
              </w:rPr>
            </w:pPr>
            <w:r>
              <w:rPr>
                <w:rFonts w:ascii="Arial" w:cs="Arial" w:eastAsia="Arial" w:hAnsi="Arial"/>
                <w:sz w:val="13"/>
                <w:szCs w:val="13"/>
                <w:color w:val="auto"/>
                <w:w w:val="96"/>
              </w:rPr>
              <w:t>2/26/2024</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134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55"/>
        </w:trPr>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2"/>
        </w:trPr>
        <w:tc>
          <w:tcPr>
            <w:tcW w:w="10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25,875</w:t>
            </w:r>
          </w:p>
        </w:tc>
        <w:tc>
          <w:tcPr>
            <w:tcW w:w="260" w:type="dxa"/>
            <w:vAlign w:val="bottom"/>
            <w:tcBorders>
              <w:bottom w:val="single" w:sz="8" w:color="EAEAEA"/>
            </w:tcBorders>
            <w:shd w:val="clear" w:color="auto" w:fill="EAEAEA"/>
          </w:tcPr>
          <w:p>
            <w:pPr>
              <w:spacing w:after="0"/>
              <w:rPr>
                <w:sz w:val="22"/>
                <w:szCs w:val="22"/>
                <w:color w:val="auto"/>
              </w:rPr>
            </w:pPr>
          </w:p>
        </w:tc>
        <w:tc>
          <w:tcPr>
            <w:tcW w:w="11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1,125</w:t>
            </w:r>
          </w:p>
        </w:tc>
        <w:tc>
          <w:tcPr>
            <w:tcW w:w="32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8"/>
                <w:szCs w:val="8"/>
                <w:color w:val="auto"/>
              </w:rPr>
              <w:t>(6)</w:t>
            </w:r>
          </w:p>
        </w:tc>
        <w:tc>
          <w:tcPr>
            <w:tcW w:w="7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113.10</w:t>
            </w:r>
          </w:p>
        </w:tc>
        <w:tc>
          <w:tcPr>
            <w:tcW w:w="1100" w:type="dxa"/>
            <w:vAlign w:val="bottom"/>
            <w:tcBorders>
              <w:bottom w:val="single" w:sz="8" w:color="EAEAEA"/>
            </w:tcBorders>
            <w:shd w:val="clear" w:color="auto" w:fill="EAEAEA"/>
          </w:tcPr>
          <w:p>
            <w:pPr>
              <w:jc w:val="center"/>
              <w:ind w:right="197"/>
              <w:spacing w:after="0"/>
              <w:rPr>
                <w:sz w:val="20"/>
                <w:szCs w:val="20"/>
                <w:color w:val="auto"/>
              </w:rPr>
            </w:pPr>
            <w:r>
              <w:rPr>
                <w:rFonts w:ascii="Arial" w:cs="Arial" w:eastAsia="Arial" w:hAnsi="Arial"/>
                <w:sz w:val="13"/>
                <w:szCs w:val="13"/>
                <w:color w:val="auto"/>
                <w:w w:val="96"/>
              </w:rPr>
              <w:t>2/26/2030</w:t>
            </w:r>
          </w:p>
        </w:tc>
        <w:tc>
          <w:tcPr>
            <w:tcW w:w="8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12,447</w:t>
            </w:r>
          </w:p>
        </w:tc>
        <w:tc>
          <w:tcPr>
            <w:tcW w:w="440" w:type="dxa"/>
            <w:vAlign w:val="bottom"/>
            <w:tcBorders>
              <w:bottom w:val="single" w:sz="8" w:color="EAEAEA"/>
            </w:tcBorders>
            <w:shd w:val="clear" w:color="auto" w:fill="EAEAEA"/>
          </w:tcPr>
          <w:p>
            <w:pPr>
              <w:spacing w:after="0"/>
              <w:rPr>
                <w:sz w:val="20"/>
                <w:szCs w:val="20"/>
                <w:color w:val="auto"/>
              </w:rPr>
            </w:pPr>
            <w:r>
              <w:rPr>
                <w:rFonts w:ascii="Arial" w:cs="Arial" w:eastAsia="Arial" w:hAnsi="Arial"/>
                <w:sz w:val="8"/>
                <w:szCs w:val="8"/>
                <w:color w:val="auto"/>
              </w:rPr>
              <w:t>(7)</w:t>
            </w:r>
          </w:p>
        </w:tc>
        <w:tc>
          <w:tcPr>
            <w:tcW w:w="1340" w:type="dxa"/>
            <w:vAlign w:val="bottom"/>
            <w:tcBorders>
              <w:bottom w:val="single" w:sz="8" w:color="EAEAEA"/>
            </w:tcBorders>
            <w:shd w:val="clear" w:color="auto" w:fill="EAEAEA"/>
          </w:tcPr>
          <w:p>
            <w:pPr>
              <w:jc w:val="right"/>
              <w:ind w:right="417"/>
              <w:spacing w:after="0"/>
              <w:rPr>
                <w:sz w:val="20"/>
                <w:szCs w:val="20"/>
                <w:color w:val="auto"/>
              </w:rPr>
            </w:pPr>
            <w:r>
              <w:rPr>
                <w:rFonts w:ascii="Arial" w:cs="Arial" w:eastAsia="Arial" w:hAnsi="Arial"/>
                <w:sz w:val="13"/>
                <w:szCs w:val="13"/>
                <w:color w:val="auto"/>
              </w:rPr>
              <w:t>1,530,981</w:t>
            </w:r>
          </w:p>
        </w:tc>
        <w:tc>
          <w:tcPr>
            <w:tcW w:w="9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12,447</w:t>
            </w:r>
          </w:p>
        </w:tc>
        <w:tc>
          <w:tcPr>
            <w:tcW w:w="640" w:type="dxa"/>
            <w:vAlign w:val="bottom"/>
            <w:tcBorders>
              <w:bottom w:val="single" w:sz="8" w:color="EAEAEA"/>
            </w:tcBorders>
            <w:shd w:val="clear" w:color="auto" w:fill="EAEAEA"/>
          </w:tcPr>
          <w:p>
            <w:pPr>
              <w:jc w:val="right"/>
              <w:ind w:right="439"/>
              <w:spacing w:after="0"/>
              <w:rPr>
                <w:sz w:val="20"/>
                <w:szCs w:val="20"/>
                <w:color w:val="auto"/>
              </w:rPr>
            </w:pPr>
            <w:r>
              <w:rPr>
                <w:rFonts w:ascii="Arial" w:cs="Arial" w:eastAsia="Arial" w:hAnsi="Arial"/>
                <w:sz w:val="8"/>
                <w:szCs w:val="8"/>
                <w:color w:val="auto"/>
                <w:w w:val="98"/>
              </w:rPr>
              <w:t>(12)</w:t>
            </w:r>
          </w:p>
        </w:tc>
        <w:tc>
          <w:tcPr>
            <w:tcW w:w="1140" w:type="dxa"/>
            <w:vAlign w:val="bottom"/>
            <w:tcBorders>
              <w:bottom w:val="single" w:sz="8" w:color="EAEAEA"/>
            </w:tcBorders>
            <w:shd w:val="clear" w:color="auto" w:fill="EAEAEA"/>
          </w:tcPr>
          <w:p>
            <w:pPr>
              <w:jc w:val="right"/>
              <w:ind w:right="57"/>
              <w:spacing w:after="0"/>
              <w:rPr>
                <w:sz w:val="20"/>
                <w:szCs w:val="20"/>
                <w:color w:val="auto"/>
              </w:rPr>
            </w:pPr>
            <w:r>
              <w:rPr>
                <w:rFonts w:ascii="Arial" w:cs="Arial" w:eastAsia="Arial" w:hAnsi="Arial"/>
                <w:sz w:val="13"/>
                <w:szCs w:val="13"/>
                <w:color w:val="auto"/>
              </w:rPr>
              <w:t>1,530,981</w:t>
            </w:r>
          </w:p>
        </w:tc>
      </w:tr>
      <w:tr>
        <w:trPr>
          <w:trHeight w:val="236"/>
        </w:trPr>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30,500</w:t>
            </w:r>
          </w:p>
        </w:tc>
        <w:tc>
          <w:tcPr>
            <w:tcW w:w="260" w:type="dxa"/>
            <w:vAlign w:val="bottom"/>
            <w:tcBorders>
              <w:top w:val="single" w:sz="8" w:color="auto"/>
              <w:bottom w:val="single" w:sz="8" w:color="EAEAEA"/>
            </w:tcBorders>
            <w:shd w:val="clear" w:color="auto" w:fill="EAEAEA"/>
          </w:tcPr>
          <w:p>
            <w:pPr>
              <w:spacing w:after="0"/>
              <w:rPr>
                <w:sz w:val="20"/>
                <w:szCs w:val="20"/>
                <w:color w:val="auto"/>
              </w:rPr>
            </w:pPr>
          </w:p>
        </w:tc>
        <w:tc>
          <w:tcPr>
            <w:tcW w:w="11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EAEAEA"/>
            </w:tcBorders>
            <w:shd w:val="clear" w:color="auto" w:fill="EAEAEA"/>
          </w:tcPr>
          <w:p>
            <w:pPr>
              <w:spacing w:after="0"/>
              <w:rPr>
                <w:sz w:val="20"/>
                <w:szCs w:val="20"/>
                <w:color w:val="auto"/>
              </w:rPr>
            </w:pPr>
          </w:p>
        </w:tc>
        <w:tc>
          <w:tcPr>
            <w:tcW w:w="7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137.12</w:t>
            </w:r>
          </w:p>
        </w:tc>
        <w:tc>
          <w:tcPr>
            <w:tcW w:w="1100" w:type="dxa"/>
            <w:vAlign w:val="bottom"/>
            <w:tcBorders>
              <w:top w:val="single" w:sz="8" w:color="auto"/>
              <w:bottom w:val="single" w:sz="8" w:color="EAEAEA"/>
            </w:tcBorders>
            <w:shd w:val="clear" w:color="auto" w:fill="EAEAEA"/>
          </w:tcPr>
          <w:p>
            <w:pPr>
              <w:jc w:val="center"/>
              <w:ind w:right="177"/>
              <w:spacing w:after="0"/>
              <w:rPr>
                <w:sz w:val="20"/>
                <w:szCs w:val="20"/>
                <w:color w:val="auto"/>
              </w:rPr>
            </w:pPr>
            <w:r>
              <w:rPr>
                <w:rFonts w:ascii="Arial" w:cs="Arial" w:eastAsia="Arial" w:hAnsi="Arial"/>
                <w:sz w:val="13"/>
                <w:szCs w:val="13"/>
                <w:color w:val="auto"/>
                <w:w w:val="98"/>
              </w:rPr>
              <w:t>8/7/2029</w:t>
            </w:r>
          </w:p>
        </w:tc>
        <w:tc>
          <w:tcPr>
            <w:tcW w:w="8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8,530</w:t>
            </w:r>
          </w:p>
        </w:tc>
        <w:tc>
          <w:tcPr>
            <w:tcW w:w="440" w:type="dxa"/>
            <w:vAlign w:val="bottom"/>
            <w:tcBorders>
              <w:top w:val="single" w:sz="8" w:color="auto"/>
              <w:bottom w:val="single" w:sz="8" w:color="EAEAEA"/>
            </w:tcBorders>
            <w:shd w:val="clear" w:color="auto" w:fill="EAEAEA"/>
          </w:tcPr>
          <w:p>
            <w:pPr>
              <w:spacing w:after="0"/>
              <w:rPr>
                <w:sz w:val="20"/>
                <w:szCs w:val="20"/>
                <w:color w:val="auto"/>
              </w:rPr>
            </w:pPr>
            <w:r>
              <w:rPr>
                <w:rFonts w:ascii="Arial" w:cs="Arial" w:eastAsia="Arial" w:hAnsi="Arial"/>
                <w:sz w:val="8"/>
                <w:szCs w:val="8"/>
                <w:color w:val="auto"/>
              </w:rPr>
              <w:t>(8)</w:t>
            </w:r>
          </w:p>
        </w:tc>
        <w:tc>
          <w:tcPr>
            <w:tcW w:w="1340" w:type="dxa"/>
            <w:vAlign w:val="bottom"/>
            <w:tcBorders>
              <w:top w:val="single" w:sz="8" w:color="auto"/>
              <w:bottom w:val="single" w:sz="8" w:color="EAEAEA"/>
            </w:tcBorders>
            <w:shd w:val="clear" w:color="auto" w:fill="EAEAEA"/>
          </w:tcPr>
          <w:p>
            <w:pPr>
              <w:jc w:val="right"/>
              <w:ind w:right="417"/>
              <w:spacing w:after="0"/>
              <w:rPr>
                <w:sz w:val="20"/>
                <w:szCs w:val="20"/>
                <w:color w:val="auto"/>
              </w:rPr>
            </w:pPr>
            <w:r>
              <w:rPr>
                <w:rFonts w:ascii="Arial" w:cs="Arial" w:eastAsia="Arial" w:hAnsi="Arial"/>
                <w:sz w:val="13"/>
                <w:szCs w:val="13"/>
                <w:color w:val="auto"/>
              </w:rPr>
              <w:t>1,049,190</w:t>
            </w:r>
          </w:p>
        </w:tc>
        <w:tc>
          <w:tcPr>
            <w:tcW w:w="9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11,374</w:t>
            </w:r>
          </w:p>
        </w:tc>
        <w:tc>
          <w:tcPr>
            <w:tcW w:w="640" w:type="dxa"/>
            <w:vAlign w:val="bottom"/>
            <w:tcBorders>
              <w:top w:val="single" w:sz="8" w:color="auto"/>
              <w:bottom w:val="single" w:sz="8" w:color="EAEAEA"/>
            </w:tcBorders>
            <w:shd w:val="clear" w:color="auto" w:fill="EAEAEA"/>
          </w:tcPr>
          <w:p>
            <w:pPr>
              <w:jc w:val="right"/>
              <w:ind w:right="439"/>
              <w:spacing w:after="0"/>
              <w:rPr>
                <w:sz w:val="20"/>
                <w:szCs w:val="20"/>
                <w:color w:val="auto"/>
              </w:rPr>
            </w:pPr>
            <w:r>
              <w:rPr>
                <w:rFonts w:ascii="Arial" w:cs="Arial" w:eastAsia="Arial" w:hAnsi="Arial"/>
                <w:sz w:val="8"/>
                <w:szCs w:val="8"/>
                <w:color w:val="auto"/>
                <w:w w:val="98"/>
              </w:rPr>
              <w:t>(13)</w:t>
            </w:r>
          </w:p>
        </w:tc>
        <w:tc>
          <w:tcPr>
            <w:tcW w:w="1140" w:type="dxa"/>
            <w:vAlign w:val="bottom"/>
            <w:tcBorders>
              <w:top w:val="single" w:sz="8" w:color="auto"/>
              <w:bottom w:val="single" w:sz="8" w:color="EAEAEA"/>
            </w:tcBorders>
            <w:shd w:val="clear" w:color="auto" w:fill="EAEAEA"/>
          </w:tcPr>
          <w:p>
            <w:pPr>
              <w:jc w:val="right"/>
              <w:ind w:right="57"/>
              <w:spacing w:after="0"/>
              <w:rPr>
                <w:sz w:val="20"/>
                <w:szCs w:val="20"/>
                <w:color w:val="auto"/>
              </w:rPr>
            </w:pPr>
            <w:r>
              <w:rPr>
                <w:rFonts w:ascii="Arial" w:cs="Arial" w:eastAsia="Arial" w:hAnsi="Arial"/>
                <w:sz w:val="13"/>
                <w:szCs w:val="13"/>
                <w:color w:val="auto"/>
              </w:rPr>
              <w:t>1,399,002</w:t>
            </w:r>
          </w:p>
        </w:tc>
      </w:tr>
      <w:tr>
        <w:trPr>
          <w:trHeight w:val="237"/>
        </w:trPr>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bottom w:val="single" w:sz="8" w:color="EAEAEA"/>
            </w:tcBorders>
            <w:shd w:val="clear" w:color="auto" w:fill="EAEAEA"/>
          </w:tcPr>
          <w:p>
            <w:pPr>
              <w:spacing w:after="0"/>
              <w:rPr>
                <w:sz w:val="20"/>
                <w:szCs w:val="20"/>
                <w:color w:val="auto"/>
              </w:rPr>
            </w:pPr>
          </w:p>
        </w:tc>
        <w:tc>
          <w:tcPr>
            <w:tcW w:w="11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EAEAEA"/>
            </w:tcBorders>
            <w:shd w:val="clear" w:color="auto" w:fill="EAEAEA"/>
          </w:tcPr>
          <w:p>
            <w:pPr>
              <w:spacing w:after="0"/>
              <w:rPr>
                <w:sz w:val="20"/>
                <w:szCs w:val="20"/>
                <w:color w:val="auto"/>
              </w:rPr>
            </w:pPr>
          </w:p>
        </w:tc>
        <w:tc>
          <w:tcPr>
            <w:tcW w:w="7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EAEAEA"/>
            </w:tcBorders>
            <w:shd w:val="clear" w:color="auto" w:fill="EAEAEA"/>
          </w:tcPr>
          <w:p>
            <w:pPr>
              <w:jc w:val="center"/>
              <w:ind w:right="197"/>
              <w:spacing w:after="0"/>
              <w:rPr>
                <w:sz w:val="20"/>
                <w:szCs w:val="20"/>
                <w:color w:val="auto"/>
              </w:rPr>
            </w:pPr>
            <w:r>
              <w:rPr>
                <w:rFonts w:ascii="Arial" w:cs="Arial" w:eastAsia="Arial" w:hAnsi="Arial"/>
                <w:sz w:val="13"/>
                <w:szCs w:val="13"/>
                <w:color w:val="auto"/>
                <w:w w:val="91"/>
              </w:rPr>
              <w:t>—</w:t>
            </w:r>
          </w:p>
        </w:tc>
        <w:tc>
          <w:tcPr>
            <w:tcW w:w="8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5,970</w:t>
            </w:r>
          </w:p>
        </w:tc>
        <w:tc>
          <w:tcPr>
            <w:tcW w:w="440" w:type="dxa"/>
            <w:vAlign w:val="bottom"/>
            <w:tcBorders>
              <w:top w:val="single" w:sz="8" w:color="auto"/>
              <w:bottom w:val="single" w:sz="8" w:color="EAEAEA"/>
            </w:tcBorders>
            <w:shd w:val="clear" w:color="auto" w:fill="EAEAEA"/>
          </w:tcPr>
          <w:p>
            <w:pPr>
              <w:spacing w:after="0"/>
              <w:rPr>
                <w:sz w:val="20"/>
                <w:szCs w:val="20"/>
                <w:color w:val="auto"/>
              </w:rPr>
            </w:pPr>
            <w:r>
              <w:rPr>
                <w:rFonts w:ascii="Arial" w:cs="Arial" w:eastAsia="Arial" w:hAnsi="Arial"/>
                <w:sz w:val="8"/>
                <w:szCs w:val="8"/>
                <w:color w:val="auto"/>
              </w:rPr>
              <w:t>(9)</w:t>
            </w:r>
          </w:p>
        </w:tc>
        <w:tc>
          <w:tcPr>
            <w:tcW w:w="1340" w:type="dxa"/>
            <w:vAlign w:val="bottom"/>
            <w:tcBorders>
              <w:top w:val="single" w:sz="8" w:color="auto"/>
              <w:bottom w:val="single" w:sz="8" w:color="EAEAEA"/>
            </w:tcBorders>
            <w:shd w:val="clear" w:color="auto" w:fill="EAEAEA"/>
          </w:tcPr>
          <w:p>
            <w:pPr>
              <w:jc w:val="right"/>
              <w:ind w:right="417"/>
              <w:spacing w:after="0"/>
              <w:rPr>
                <w:sz w:val="20"/>
                <w:szCs w:val="20"/>
                <w:color w:val="auto"/>
              </w:rPr>
            </w:pPr>
            <w:r>
              <w:rPr>
                <w:rFonts w:ascii="Arial" w:cs="Arial" w:eastAsia="Arial" w:hAnsi="Arial"/>
                <w:sz w:val="13"/>
                <w:szCs w:val="13"/>
                <w:color w:val="auto"/>
              </w:rPr>
              <w:t>734,310</w:t>
            </w:r>
          </w:p>
        </w:tc>
        <w:tc>
          <w:tcPr>
            <w:tcW w:w="9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EAEAEA"/>
            </w:tcBorders>
            <w:shd w:val="clear" w:color="auto" w:fill="EAEAEA"/>
          </w:tcPr>
          <w:p>
            <w:pPr>
              <w:spacing w:after="0"/>
              <w:rPr>
                <w:sz w:val="20"/>
                <w:szCs w:val="20"/>
                <w:color w:val="auto"/>
              </w:rPr>
            </w:pPr>
          </w:p>
        </w:tc>
        <w:tc>
          <w:tcPr>
            <w:tcW w:w="1140" w:type="dxa"/>
            <w:vAlign w:val="bottom"/>
            <w:tcBorders>
              <w:top w:val="single" w:sz="8" w:color="auto"/>
              <w:bottom w:val="single" w:sz="8" w:color="EAEAEA"/>
            </w:tcBorders>
            <w:shd w:val="clear" w:color="auto" w:fill="EAEAEA"/>
          </w:tcPr>
          <w:p>
            <w:pPr>
              <w:jc w:val="right"/>
              <w:ind w:right="57"/>
              <w:spacing w:after="0"/>
              <w:rPr>
                <w:sz w:val="20"/>
                <w:szCs w:val="20"/>
                <w:color w:val="auto"/>
              </w:rPr>
            </w:pPr>
            <w:r>
              <w:rPr>
                <w:rFonts w:ascii="Arial" w:cs="Arial" w:eastAsia="Arial" w:hAnsi="Arial"/>
                <w:sz w:val="13"/>
                <w:szCs w:val="13"/>
                <w:color w:val="auto"/>
              </w:rPr>
              <w:t>—</w:t>
            </w:r>
          </w:p>
        </w:tc>
      </w:tr>
      <w:tr>
        <w:trPr>
          <w:trHeight w:val="236"/>
        </w:trPr>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bottom w:val="single" w:sz="8" w:color="EAEAEA"/>
            </w:tcBorders>
            <w:shd w:val="clear" w:color="auto" w:fill="EAEAEA"/>
          </w:tcPr>
          <w:p>
            <w:pPr>
              <w:spacing w:after="0"/>
              <w:rPr>
                <w:sz w:val="20"/>
                <w:szCs w:val="20"/>
                <w:color w:val="auto"/>
              </w:rPr>
            </w:pPr>
          </w:p>
        </w:tc>
        <w:tc>
          <w:tcPr>
            <w:tcW w:w="11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EAEAEA"/>
            </w:tcBorders>
            <w:shd w:val="clear" w:color="auto" w:fill="EAEAEA"/>
          </w:tcPr>
          <w:p>
            <w:pPr>
              <w:spacing w:after="0"/>
              <w:rPr>
                <w:sz w:val="20"/>
                <w:szCs w:val="20"/>
                <w:color w:val="auto"/>
              </w:rPr>
            </w:pPr>
          </w:p>
        </w:tc>
        <w:tc>
          <w:tcPr>
            <w:tcW w:w="7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EAEAEA"/>
            </w:tcBorders>
            <w:shd w:val="clear" w:color="auto" w:fill="EAEAEA"/>
          </w:tcPr>
          <w:p>
            <w:pPr>
              <w:jc w:val="center"/>
              <w:ind w:right="197"/>
              <w:spacing w:after="0"/>
              <w:rPr>
                <w:sz w:val="20"/>
                <w:szCs w:val="20"/>
                <w:color w:val="auto"/>
              </w:rPr>
            </w:pPr>
            <w:r>
              <w:rPr>
                <w:rFonts w:ascii="Arial" w:cs="Arial" w:eastAsia="Arial" w:hAnsi="Arial"/>
                <w:sz w:val="13"/>
                <w:szCs w:val="13"/>
                <w:color w:val="auto"/>
                <w:w w:val="91"/>
              </w:rPr>
              <w:t>—</w:t>
            </w:r>
          </w:p>
        </w:tc>
        <w:tc>
          <w:tcPr>
            <w:tcW w:w="8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4,267</w:t>
            </w:r>
          </w:p>
        </w:tc>
        <w:tc>
          <w:tcPr>
            <w:tcW w:w="440" w:type="dxa"/>
            <w:vAlign w:val="bottom"/>
            <w:tcBorders>
              <w:top w:val="single" w:sz="8" w:color="auto"/>
              <w:bottom w:val="single" w:sz="8" w:color="EAEAEA"/>
            </w:tcBorders>
            <w:shd w:val="clear" w:color="auto" w:fill="EAEAEA"/>
          </w:tcPr>
          <w:p>
            <w:pPr>
              <w:spacing w:after="0"/>
              <w:rPr>
                <w:sz w:val="20"/>
                <w:szCs w:val="20"/>
                <w:color w:val="auto"/>
              </w:rPr>
            </w:pPr>
            <w:r>
              <w:rPr>
                <w:rFonts w:ascii="Arial" w:cs="Arial" w:eastAsia="Arial" w:hAnsi="Arial"/>
                <w:sz w:val="8"/>
                <w:szCs w:val="8"/>
                <w:color w:val="auto"/>
              </w:rPr>
              <w:t>(10)</w:t>
            </w:r>
          </w:p>
        </w:tc>
        <w:tc>
          <w:tcPr>
            <w:tcW w:w="1340" w:type="dxa"/>
            <w:vAlign w:val="bottom"/>
            <w:tcBorders>
              <w:top w:val="single" w:sz="8" w:color="auto"/>
              <w:bottom w:val="single" w:sz="8" w:color="EAEAEA"/>
            </w:tcBorders>
            <w:shd w:val="clear" w:color="auto" w:fill="EAEAEA"/>
          </w:tcPr>
          <w:p>
            <w:pPr>
              <w:jc w:val="right"/>
              <w:ind w:right="417"/>
              <w:spacing w:after="0"/>
              <w:rPr>
                <w:sz w:val="20"/>
                <w:szCs w:val="20"/>
                <w:color w:val="auto"/>
              </w:rPr>
            </w:pPr>
            <w:r>
              <w:rPr>
                <w:rFonts w:ascii="Arial" w:cs="Arial" w:eastAsia="Arial" w:hAnsi="Arial"/>
                <w:sz w:val="13"/>
                <w:szCs w:val="13"/>
                <w:color w:val="auto"/>
              </w:rPr>
              <w:t>524,841</w:t>
            </w:r>
          </w:p>
        </w:tc>
        <w:tc>
          <w:tcPr>
            <w:tcW w:w="9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EAEAEA"/>
            </w:tcBorders>
            <w:shd w:val="clear" w:color="auto" w:fill="EAEAEA"/>
          </w:tcPr>
          <w:p>
            <w:pPr>
              <w:spacing w:after="0"/>
              <w:rPr>
                <w:sz w:val="20"/>
                <w:szCs w:val="20"/>
                <w:color w:val="auto"/>
              </w:rPr>
            </w:pPr>
          </w:p>
        </w:tc>
        <w:tc>
          <w:tcPr>
            <w:tcW w:w="1140" w:type="dxa"/>
            <w:vAlign w:val="bottom"/>
            <w:tcBorders>
              <w:top w:val="single" w:sz="8" w:color="auto"/>
              <w:bottom w:val="single" w:sz="8" w:color="EAEAEA"/>
            </w:tcBorders>
            <w:shd w:val="clear" w:color="auto" w:fill="EAEAEA"/>
          </w:tcPr>
          <w:p>
            <w:pPr>
              <w:jc w:val="right"/>
              <w:ind w:right="57"/>
              <w:spacing w:after="0"/>
              <w:rPr>
                <w:sz w:val="20"/>
                <w:szCs w:val="20"/>
                <w:color w:val="auto"/>
              </w:rPr>
            </w:pPr>
            <w:r>
              <w:rPr>
                <w:rFonts w:ascii="Arial" w:cs="Arial" w:eastAsia="Arial" w:hAnsi="Arial"/>
                <w:sz w:val="13"/>
                <w:szCs w:val="13"/>
                <w:color w:val="auto"/>
              </w:rPr>
              <w:t>—</w:t>
            </w:r>
          </w:p>
        </w:tc>
      </w:tr>
      <w:tr>
        <w:trPr>
          <w:trHeight w:val="182"/>
        </w:trPr>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shd w:val="clear" w:color="auto" w:fill="EAEAEA"/>
          </w:tcPr>
          <w:p>
            <w:pPr>
              <w:spacing w:after="0"/>
              <w:rPr>
                <w:sz w:val="15"/>
                <w:szCs w:val="15"/>
                <w:color w:val="auto"/>
              </w:rPr>
            </w:pPr>
          </w:p>
        </w:tc>
        <w:tc>
          <w:tcPr>
            <w:tcW w:w="114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tcBorders>
            <w:shd w:val="clear" w:color="auto" w:fill="EAEAEA"/>
          </w:tcPr>
          <w:p>
            <w:pPr>
              <w:spacing w:after="0"/>
              <w:rPr>
                <w:sz w:val="15"/>
                <w:szCs w:val="15"/>
                <w:color w:val="auto"/>
              </w:rPr>
            </w:pPr>
          </w:p>
        </w:tc>
        <w:tc>
          <w:tcPr>
            <w:tcW w:w="76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tcBorders>
            <w:shd w:val="clear" w:color="auto" w:fill="EAEAEA"/>
          </w:tcPr>
          <w:p>
            <w:pPr>
              <w:jc w:val="center"/>
              <w:ind w:right="197"/>
              <w:spacing w:after="0"/>
              <w:rPr>
                <w:sz w:val="20"/>
                <w:szCs w:val="20"/>
                <w:color w:val="auto"/>
              </w:rPr>
            </w:pPr>
            <w:r>
              <w:rPr>
                <w:rFonts w:ascii="Arial" w:cs="Arial" w:eastAsia="Arial" w:hAnsi="Arial"/>
                <w:sz w:val="13"/>
                <w:szCs w:val="13"/>
                <w:color w:val="auto"/>
                <w:w w:val="91"/>
              </w:rPr>
              <w:t>—</w:t>
            </w:r>
          </w:p>
        </w:tc>
        <w:tc>
          <w:tcPr>
            <w:tcW w:w="80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3"/>
                <w:szCs w:val="13"/>
                <w:color w:val="auto"/>
              </w:rPr>
              <w:t>2,700</w:t>
            </w:r>
          </w:p>
        </w:tc>
        <w:tc>
          <w:tcPr>
            <w:tcW w:w="440" w:type="dxa"/>
            <w:vAlign w:val="bottom"/>
            <w:tcBorders>
              <w:top w:val="single" w:sz="8" w:color="auto"/>
            </w:tcBorders>
            <w:shd w:val="clear" w:color="auto" w:fill="EAEAEA"/>
          </w:tcPr>
          <w:p>
            <w:pPr>
              <w:spacing w:after="0"/>
              <w:rPr>
                <w:sz w:val="20"/>
                <w:szCs w:val="20"/>
                <w:color w:val="auto"/>
              </w:rPr>
            </w:pPr>
            <w:r>
              <w:rPr>
                <w:rFonts w:ascii="Arial" w:cs="Arial" w:eastAsia="Arial" w:hAnsi="Arial"/>
                <w:sz w:val="8"/>
                <w:szCs w:val="8"/>
                <w:color w:val="auto"/>
              </w:rPr>
              <w:t>(11)</w:t>
            </w:r>
          </w:p>
        </w:tc>
        <w:tc>
          <w:tcPr>
            <w:tcW w:w="1340" w:type="dxa"/>
            <w:vAlign w:val="bottom"/>
            <w:tcBorders>
              <w:top w:val="single" w:sz="8" w:color="auto"/>
            </w:tcBorders>
            <w:shd w:val="clear" w:color="auto" w:fill="EAEAEA"/>
          </w:tcPr>
          <w:p>
            <w:pPr>
              <w:jc w:val="right"/>
              <w:ind w:right="417"/>
              <w:spacing w:after="0"/>
              <w:rPr>
                <w:sz w:val="20"/>
                <w:szCs w:val="20"/>
                <w:color w:val="auto"/>
              </w:rPr>
            </w:pPr>
            <w:r>
              <w:rPr>
                <w:rFonts w:ascii="Arial" w:cs="Arial" w:eastAsia="Arial" w:hAnsi="Arial"/>
                <w:sz w:val="13"/>
                <w:szCs w:val="13"/>
                <w:color w:val="auto"/>
              </w:rPr>
              <w:t>332,100</w:t>
            </w:r>
          </w:p>
        </w:tc>
        <w:tc>
          <w:tcPr>
            <w:tcW w:w="90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EAEAEA"/>
          </w:tcPr>
          <w:p>
            <w:pPr>
              <w:spacing w:after="0"/>
              <w:rPr>
                <w:sz w:val="15"/>
                <w:szCs w:val="15"/>
                <w:color w:val="auto"/>
              </w:rPr>
            </w:pPr>
          </w:p>
        </w:tc>
        <w:tc>
          <w:tcPr>
            <w:tcW w:w="1140" w:type="dxa"/>
            <w:vAlign w:val="bottom"/>
            <w:tcBorders>
              <w:top w:val="single" w:sz="8" w:color="auto"/>
            </w:tcBorders>
            <w:shd w:val="clear" w:color="auto" w:fill="EAEAEA"/>
          </w:tcPr>
          <w:p>
            <w:pPr>
              <w:jc w:val="right"/>
              <w:ind w:right="57"/>
              <w:spacing w:after="0"/>
              <w:rPr>
                <w:sz w:val="20"/>
                <w:szCs w:val="20"/>
                <w:color w:val="auto"/>
              </w:rPr>
            </w:pPr>
            <w:r>
              <w:rPr>
                <w:rFonts w:ascii="Arial" w:cs="Arial" w:eastAsia="Arial" w:hAnsi="Arial"/>
                <w:sz w:val="13"/>
                <w:szCs w:val="13"/>
                <w:color w:val="auto"/>
              </w:rPr>
              <w:t>—</w:t>
            </w:r>
          </w:p>
        </w:tc>
      </w:tr>
      <w:tr>
        <w:trPr>
          <w:trHeight w:val="55"/>
        </w:trPr>
        <w:tc>
          <w:tcPr>
            <w:tcW w:w="1020" w:type="dxa"/>
            <w:vAlign w:val="bottom"/>
          </w:tcPr>
          <w:p>
            <w:pPr>
              <w:spacing w:after="0"/>
              <w:rPr>
                <w:sz w:val="4"/>
                <w:szCs w:val="4"/>
                <w:color w:val="auto"/>
              </w:rPr>
            </w:pPr>
          </w:p>
        </w:tc>
        <w:tc>
          <w:tcPr>
            <w:tcW w:w="260" w:type="dxa"/>
            <w:vAlign w:val="bottom"/>
            <w:shd w:val="clear" w:color="auto" w:fill="EAEAEA"/>
          </w:tcPr>
          <w:p>
            <w:pPr>
              <w:spacing w:after="0"/>
              <w:rPr>
                <w:sz w:val="4"/>
                <w:szCs w:val="4"/>
                <w:color w:val="auto"/>
              </w:rPr>
            </w:pPr>
          </w:p>
        </w:tc>
        <w:tc>
          <w:tcPr>
            <w:tcW w:w="1140" w:type="dxa"/>
            <w:vAlign w:val="bottom"/>
            <w:shd w:val="clear" w:color="auto" w:fill="EAEAEA"/>
          </w:tcPr>
          <w:p>
            <w:pPr>
              <w:spacing w:after="0"/>
              <w:rPr>
                <w:sz w:val="4"/>
                <w:szCs w:val="4"/>
                <w:color w:val="auto"/>
              </w:rPr>
            </w:pPr>
          </w:p>
        </w:tc>
        <w:tc>
          <w:tcPr>
            <w:tcW w:w="320" w:type="dxa"/>
            <w:vAlign w:val="bottom"/>
            <w:shd w:val="clear" w:color="auto" w:fill="EAEAEA"/>
          </w:tcPr>
          <w:p>
            <w:pPr>
              <w:spacing w:after="0"/>
              <w:rPr>
                <w:sz w:val="4"/>
                <w:szCs w:val="4"/>
                <w:color w:val="auto"/>
              </w:rPr>
            </w:pPr>
          </w:p>
        </w:tc>
        <w:tc>
          <w:tcPr>
            <w:tcW w:w="760" w:type="dxa"/>
            <w:vAlign w:val="bottom"/>
            <w:shd w:val="clear" w:color="auto" w:fill="EAEAEA"/>
          </w:tcPr>
          <w:p>
            <w:pPr>
              <w:spacing w:after="0"/>
              <w:rPr>
                <w:sz w:val="4"/>
                <w:szCs w:val="4"/>
                <w:color w:val="auto"/>
              </w:rPr>
            </w:pPr>
          </w:p>
        </w:tc>
        <w:tc>
          <w:tcPr>
            <w:tcW w:w="1100" w:type="dxa"/>
            <w:vAlign w:val="bottom"/>
            <w:shd w:val="clear" w:color="auto" w:fill="EAEAEA"/>
          </w:tcPr>
          <w:p>
            <w:pPr>
              <w:spacing w:after="0"/>
              <w:rPr>
                <w:sz w:val="4"/>
                <w:szCs w:val="4"/>
                <w:color w:val="auto"/>
              </w:rPr>
            </w:pPr>
          </w:p>
        </w:tc>
        <w:tc>
          <w:tcPr>
            <w:tcW w:w="800" w:type="dxa"/>
            <w:vAlign w:val="bottom"/>
            <w:shd w:val="clear" w:color="auto" w:fill="EAEAEA"/>
          </w:tcPr>
          <w:p>
            <w:pPr>
              <w:spacing w:after="0"/>
              <w:rPr>
                <w:sz w:val="4"/>
                <w:szCs w:val="4"/>
                <w:color w:val="auto"/>
              </w:rPr>
            </w:pPr>
          </w:p>
        </w:tc>
        <w:tc>
          <w:tcPr>
            <w:tcW w:w="440" w:type="dxa"/>
            <w:vAlign w:val="bottom"/>
            <w:shd w:val="clear" w:color="auto" w:fill="EAEAEA"/>
          </w:tcPr>
          <w:p>
            <w:pPr>
              <w:spacing w:after="0"/>
              <w:rPr>
                <w:sz w:val="4"/>
                <w:szCs w:val="4"/>
                <w:color w:val="auto"/>
              </w:rPr>
            </w:pPr>
          </w:p>
        </w:tc>
        <w:tc>
          <w:tcPr>
            <w:tcW w:w="1340" w:type="dxa"/>
            <w:vAlign w:val="bottom"/>
            <w:shd w:val="clear" w:color="auto" w:fill="EAEAEA"/>
          </w:tcPr>
          <w:p>
            <w:pPr>
              <w:spacing w:after="0"/>
              <w:rPr>
                <w:sz w:val="4"/>
                <w:szCs w:val="4"/>
                <w:color w:val="auto"/>
              </w:rPr>
            </w:pPr>
          </w:p>
        </w:tc>
        <w:tc>
          <w:tcPr>
            <w:tcW w:w="900" w:type="dxa"/>
            <w:vAlign w:val="bottom"/>
            <w:shd w:val="clear" w:color="auto" w:fill="EAEAEA"/>
          </w:tcPr>
          <w:p>
            <w:pPr>
              <w:spacing w:after="0"/>
              <w:rPr>
                <w:sz w:val="4"/>
                <w:szCs w:val="4"/>
                <w:color w:val="auto"/>
              </w:rPr>
            </w:pPr>
          </w:p>
        </w:tc>
        <w:tc>
          <w:tcPr>
            <w:tcW w:w="640" w:type="dxa"/>
            <w:vAlign w:val="bottom"/>
            <w:shd w:val="clear" w:color="auto" w:fill="EAEAEA"/>
          </w:tcPr>
          <w:p>
            <w:pPr>
              <w:spacing w:after="0"/>
              <w:rPr>
                <w:sz w:val="4"/>
                <w:szCs w:val="4"/>
                <w:color w:val="auto"/>
              </w:rPr>
            </w:pPr>
          </w:p>
        </w:tc>
        <w:tc>
          <w:tcPr>
            <w:tcW w:w="1140" w:type="dxa"/>
            <w:vAlign w:val="bottom"/>
            <w:shd w:val="clear" w:color="auto" w:fill="EAEAEA"/>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2">
            <w:col w:w="1120" w:space="260"/>
            <w:col w:w="9860"/>
          </w:cols>
          <w:pgMar w:left="320" w:top="1057" w:right="33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406"/>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90"/>
        </w:trPr>
        <w:tc>
          <w:tcPr>
            <w:tcW w:w="80" w:type="dxa"/>
            <w:vAlign w:val="bottom"/>
            <w:shd w:val="clear" w:color="auto" w:fill="852166"/>
          </w:tcPr>
          <w:p>
            <w:pPr>
              <w:spacing w:after="0"/>
              <w:rPr>
                <w:sz w:val="24"/>
                <w:szCs w:val="24"/>
                <w:color w:val="auto"/>
              </w:rPr>
            </w:pPr>
          </w:p>
        </w:tc>
        <w:tc>
          <w:tcPr>
            <w:tcW w:w="1280" w:type="dxa"/>
            <w:vAlign w:val="bottom"/>
            <w:shd w:val="clear" w:color="auto" w:fill="852166"/>
          </w:tcPr>
          <w:p>
            <w:pPr>
              <w:spacing w:after="0"/>
              <w:rPr>
                <w:sz w:val="24"/>
                <w:szCs w:val="24"/>
                <w:color w:val="auto"/>
              </w:rPr>
            </w:pPr>
          </w:p>
        </w:tc>
        <w:tc>
          <w:tcPr>
            <w:tcW w:w="1020" w:type="dxa"/>
            <w:vAlign w:val="bottom"/>
            <w:shd w:val="clear" w:color="auto" w:fill="852166"/>
          </w:tcPr>
          <w:p>
            <w:pPr>
              <w:spacing w:after="0"/>
              <w:rPr>
                <w:sz w:val="24"/>
                <w:szCs w:val="24"/>
                <w:color w:val="auto"/>
              </w:rPr>
            </w:pPr>
          </w:p>
        </w:tc>
        <w:tc>
          <w:tcPr>
            <w:tcW w:w="260" w:type="dxa"/>
            <w:vAlign w:val="bottom"/>
            <w:shd w:val="clear" w:color="auto" w:fill="852166"/>
          </w:tcPr>
          <w:p>
            <w:pPr>
              <w:spacing w:after="0"/>
              <w:rPr>
                <w:sz w:val="24"/>
                <w:szCs w:val="24"/>
                <w:color w:val="auto"/>
              </w:rPr>
            </w:pPr>
          </w:p>
        </w:tc>
        <w:tc>
          <w:tcPr>
            <w:tcW w:w="1560" w:type="dxa"/>
            <w:vAlign w:val="bottom"/>
            <w:gridSpan w:val="2"/>
            <w:shd w:val="clear" w:color="auto" w:fill="852166"/>
          </w:tcPr>
          <w:p>
            <w:pPr>
              <w:ind w:left="400"/>
              <w:spacing w:after="0"/>
              <w:rPr>
                <w:sz w:val="20"/>
                <w:szCs w:val="20"/>
                <w:color w:val="auto"/>
              </w:rPr>
            </w:pPr>
            <w:r>
              <w:rPr>
                <w:rFonts w:ascii="Arial" w:cs="Arial" w:eastAsia="Arial" w:hAnsi="Arial"/>
                <w:sz w:val="13"/>
                <w:szCs w:val="13"/>
                <w:b w:val="1"/>
                <w:bCs w:val="1"/>
                <w:color w:val="FFFFFF"/>
              </w:rPr>
              <w:t>Option Awards</w:t>
            </w:r>
            <w:r>
              <w:rPr>
                <w:rFonts w:ascii="Arial" w:cs="Arial" w:eastAsia="Arial" w:hAnsi="Arial"/>
                <w:sz w:val="16"/>
                <w:szCs w:val="16"/>
                <w:b w:val="1"/>
                <w:bCs w:val="1"/>
                <w:color w:val="FFFFFF"/>
                <w:vertAlign w:val="superscript"/>
              </w:rPr>
              <w:t>(1)</w:t>
            </w:r>
          </w:p>
        </w:tc>
        <w:tc>
          <w:tcPr>
            <w:tcW w:w="740" w:type="dxa"/>
            <w:vAlign w:val="bottom"/>
            <w:shd w:val="clear" w:color="auto" w:fill="852166"/>
          </w:tcPr>
          <w:p>
            <w:pPr>
              <w:spacing w:after="0"/>
              <w:rPr>
                <w:sz w:val="24"/>
                <w:szCs w:val="24"/>
                <w:color w:val="auto"/>
              </w:rPr>
            </w:pPr>
          </w:p>
        </w:tc>
        <w:tc>
          <w:tcPr>
            <w:tcW w:w="820" w:type="dxa"/>
            <w:vAlign w:val="bottom"/>
            <w:shd w:val="clear" w:color="auto" w:fill="852166"/>
          </w:tcPr>
          <w:p>
            <w:pPr>
              <w:spacing w:after="0"/>
              <w:rPr>
                <w:sz w:val="24"/>
                <w:szCs w:val="24"/>
                <w:color w:val="auto"/>
              </w:rPr>
            </w:pPr>
          </w:p>
        </w:tc>
        <w:tc>
          <w:tcPr>
            <w:tcW w:w="1020" w:type="dxa"/>
            <w:vAlign w:val="bottom"/>
            <w:shd w:val="clear" w:color="auto" w:fill="852166"/>
          </w:tcPr>
          <w:p>
            <w:pPr>
              <w:spacing w:after="0"/>
              <w:rPr>
                <w:sz w:val="24"/>
                <w:szCs w:val="24"/>
                <w:color w:val="auto"/>
              </w:rPr>
            </w:pPr>
          </w:p>
        </w:tc>
        <w:tc>
          <w:tcPr>
            <w:tcW w:w="260" w:type="dxa"/>
            <w:vAlign w:val="bottom"/>
            <w:shd w:val="clear" w:color="auto" w:fill="852166"/>
          </w:tcPr>
          <w:p>
            <w:pPr>
              <w:spacing w:after="0"/>
              <w:rPr>
                <w:sz w:val="24"/>
                <w:szCs w:val="24"/>
                <w:color w:val="auto"/>
              </w:rPr>
            </w:pPr>
          </w:p>
        </w:tc>
        <w:tc>
          <w:tcPr>
            <w:tcW w:w="2420" w:type="dxa"/>
            <w:vAlign w:val="bottom"/>
            <w:gridSpan w:val="2"/>
            <w:shd w:val="clear" w:color="auto" w:fill="852166"/>
          </w:tcPr>
          <w:p>
            <w:pPr>
              <w:jc w:val="right"/>
              <w:ind w:right="437"/>
              <w:spacing w:after="0"/>
              <w:rPr>
                <w:sz w:val="20"/>
                <w:szCs w:val="20"/>
                <w:color w:val="auto"/>
              </w:rPr>
            </w:pPr>
            <w:r>
              <w:rPr>
                <w:rFonts w:ascii="Arial" w:cs="Arial" w:eastAsia="Arial" w:hAnsi="Arial"/>
                <w:sz w:val="13"/>
                <w:szCs w:val="13"/>
                <w:b w:val="1"/>
                <w:bCs w:val="1"/>
                <w:color w:val="FFFFFF"/>
              </w:rPr>
              <w:t>Stock Awards</w:t>
            </w:r>
            <w:r>
              <w:rPr>
                <w:rFonts w:ascii="Arial" w:cs="Arial" w:eastAsia="Arial" w:hAnsi="Arial"/>
                <w:sz w:val="16"/>
                <w:szCs w:val="16"/>
                <w:b w:val="1"/>
                <w:bCs w:val="1"/>
                <w:color w:val="FFFFFF"/>
                <w:vertAlign w:val="superscript"/>
              </w:rPr>
              <w:t>(1)</w:t>
            </w:r>
          </w:p>
        </w:tc>
        <w:tc>
          <w:tcPr>
            <w:tcW w:w="260" w:type="dxa"/>
            <w:vAlign w:val="bottom"/>
            <w:shd w:val="clear" w:color="auto" w:fill="852166"/>
          </w:tcPr>
          <w:p>
            <w:pPr>
              <w:spacing w:after="0"/>
              <w:rPr>
                <w:sz w:val="24"/>
                <w:szCs w:val="24"/>
                <w:color w:val="auto"/>
              </w:rPr>
            </w:pPr>
          </w:p>
        </w:tc>
        <w:tc>
          <w:tcPr>
            <w:tcW w:w="1520" w:type="dxa"/>
            <w:vAlign w:val="bottom"/>
            <w:shd w:val="clear" w:color="auto" w:fill="852166"/>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0" w:type="dxa"/>
            <w:vAlign w:val="bottom"/>
            <w:shd w:val="clear" w:color="auto" w:fill="852166"/>
          </w:tcPr>
          <w:p>
            <w:pPr>
              <w:spacing w:after="0"/>
              <w:rPr>
                <w:sz w:val="24"/>
                <w:szCs w:val="24"/>
                <w:color w:val="auto"/>
              </w:rPr>
            </w:pPr>
          </w:p>
        </w:tc>
        <w:tc>
          <w:tcPr>
            <w:tcW w:w="1280" w:type="dxa"/>
            <w:vAlign w:val="bottom"/>
            <w:shd w:val="clear" w:color="auto" w:fill="852166"/>
          </w:tcPr>
          <w:p>
            <w:pPr>
              <w:spacing w:after="0"/>
              <w:rPr>
                <w:sz w:val="24"/>
                <w:szCs w:val="24"/>
                <w:color w:val="auto"/>
              </w:rPr>
            </w:pPr>
          </w:p>
        </w:tc>
        <w:tc>
          <w:tcPr>
            <w:tcW w:w="1020" w:type="dxa"/>
            <w:vAlign w:val="bottom"/>
            <w:shd w:val="clear" w:color="auto" w:fill="852166"/>
          </w:tcPr>
          <w:p>
            <w:pPr>
              <w:spacing w:after="0"/>
              <w:rPr>
                <w:sz w:val="24"/>
                <w:szCs w:val="24"/>
                <w:color w:val="auto"/>
              </w:rPr>
            </w:pPr>
          </w:p>
        </w:tc>
        <w:tc>
          <w:tcPr>
            <w:tcW w:w="260" w:type="dxa"/>
            <w:vAlign w:val="bottom"/>
            <w:shd w:val="clear" w:color="auto" w:fill="852166"/>
          </w:tcPr>
          <w:p>
            <w:pPr>
              <w:spacing w:after="0"/>
              <w:rPr>
                <w:sz w:val="24"/>
                <w:szCs w:val="24"/>
                <w:color w:val="auto"/>
              </w:rPr>
            </w:pPr>
          </w:p>
        </w:tc>
        <w:tc>
          <w:tcPr>
            <w:tcW w:w="1140" w:type="dxa"/>
            <w:vAlign w:val="bottom"/>
            <w:shd w:val="clear" w:color="auto" w:fill="852166"/>
          </w:tcPr>
          <w:p>
            <w:pPr>
              <w:spacing w:after="0"/>
              <w:rPr>
                <w:sz w:val="24"/>
                <w:szCs w:val="24"/>
                <w:color w:val="auto"/>
              </w:rPr>
            </w:pPr>
          </w:p>
        </w:tc>
        <w:tc>
          <w:tcPr>
            <w:tcW w:w="420" w:type="dxa"/>
            <w:vAlign w:val="bottom"/>
            <w:shd w:val="clear" w:color="auto" w:fill="852166"/>
          </w:tcPr>
          <w:p>
            <w:pPr>
              <w:spacing w:after="0"/>
              <w:rPr>
                <w:sz w:val="24"/>
                <w:szCs w:val="24"/>
                <w:color w:val="auto"/>
              </w:rPr>
            </w:pPr>
          </w:p>
        </w:tc>
        <w:tc>
          <w:tcPr>
            <w:tcW w:w="740" w:type="dxa"/>
            <w:vAlign w:val="bottom"/>
            <w:shd w:val="clear" w:color="auto" w:fill="852166"/>
          </w:tcPr>
          <w:p>
            <w:pPr>
              <w:spacing w:after="0"/>
              <w:rPr>
                <w:sz w:val="24"/>
                <w:szCs w:val="24"/>
                <w:color w:val="auto"/>
              </w:rPr>
            </w:pPr>
          </w:p>
        </w:tc>
        <w:tc>
          <w:tcPr>
            <w:tcW w:w="820" w:type="dxa"/>
            <w:vAlign w:val="bottom"/>
            <w:shd w:val="clear" w:color="auto" w:fill="852166"/>
          </w:tcPr>
          <w:p>
            <w:pPr>
              <w:spacing w:after="0"/>
              <w:rPr>
                <w:sz w:val="24"/>
                <w:szCs w:val="24"/>
                <w:color w:val="auto"/>
              </w:rPr>
            </w:pPr>
          </w:p>
        </w:tc>
        <w:tc>
          <w:tcPr>
            <w:tcW w:w="1020" w:type="dxa"/>
            <w:vAlign w:val="bottom"/>
            <w:shd w:val="clear" w:color="auto" w:fill="852166"/>
          </w:tcPr>
          <w:p>
            <w:pPr>
              <w:spacing w:after="0"/>
              <w:rPr>
                <w:sz w:val="24"/>
                <w:szCs w:val="24"/>
                <w:color w:val="auto"/>
              </w:rPr>
            </w:pPr>
          </w:p>
        </w:tc>
        <w:tc>
          <w:tcPr>
            <w:tcW w:w="260" w:type="dxa"/>
            <w:vAlign w:val="bottom"/>
            <w:shd w:val="clear" w:color="auto" w:fill="852166"/>
          </w:tcPr>
          <w:p>
            <w:pPr>
              <w:spacing w:after="0"/>
              <w:rPr>
                <w:sz w:val="24"/>
                <w:szCs w:val="24"/>
                <w:color w:val="auto"/>
              </w:rPr>
            </w:pPr>
          </w:p>
        </w:tc>
        <w:tc>
          <w:tcPr>
            <w:tcW w:w="1180" w:type="dxa"/>
            <w:vAlign w:val="bottom"/>
            <w:shd w:val="clear" w:color="auto" w:fill="852166"/>
          </w:tcPr>
          <w:p>
            <w:pPr>
              <w:spacing w:after="0"/>
              <w:rPr>
                <w:sz w:val="24"/>
                <w:szCs w:val="24"/>
                <w:color w:val="auto"/>
              </w:rPr>
            </w:pPr>
          </w:p>
        </w:tc>
        <w:tc>
          <w:tcPr>
            <w:tcW w:w="124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Equity Incentive</w:t>
            </w:r>
          </w:p>
        </w:tc>
        <w:tc>
          <w:tcPr>
            <w:tcW w:w="260" w:type="dxa"/>
            <w:vAlign w:val="bottom"/>
            <w:shd w:val="clear" w:color="auto" w:fill="852166"/>
          </w:tcPr>
          <w:p>
            <w:pPr>
              <w:spacing w:after="0"/>
              <w:rPr>
                <w:sz w:val="24"/>
                <w:szCs w:val="24"/>
                <w:color w:val="auto"/>
              </w:rPr>
            </w:pPr>
          </w:p>
        </w:tc>
        <w:tc>
          <w:tcPr>
            <w:tcW w:w="1520" w:type="dxa"/>
            <w:vAlign w:val="bottom"/>
            <w:shd w:val="clear" w:color="auto" w:fill="852166"/>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0" w:type="dxa"/>
            <w:vAlign w:val="bottom"/>
            <w:shd w:val="clear" w:color="auto" w:fill="852166"/>
          </w:tcPr>
          <w:p>
            <w:pPr>
              <w:spacing w:after="0"/>
              <w:rPr>
                <w:sz w:val="12"/>
                <w:szCs w:val="12"/>
                <w:color w:val="auto"/>
              </w:rPr>
            </w:pPr>
          </w:p>
        </w:tc>
        <w:tc>
          <w:tcPr>
            <w:tcW w:w="1280" w:type="dxa"/>
            <w:vAlign w:val="bottom"/>
            <w:shd w:val="clear" w:color="auto" w:fill="852166"/>
          </w:tcPr>
          <w:p>
            <w:pPr>
              <w:spacing w:after="0"/>
              <w:rPr>
                <w:sz w:val="12"/>
                <w:szCs w:val="12"/>
                <w:color w:val="auto"/>
              </w:rPr>
            </w:pPr>
          </w:p>
        </w:tc>
        <w:tc>
          <w:tcPr>
            <w:tcW w:w="1020" w:type="dxa"/>
            <w:vAlign w:val="bottom"/>
            <w:shd w:val="clear" w:color="auto" w:fill="852166"/>
          </w:tcPr>
          <w:p>
            <w:pPr>
              <w:spacing w:after="0"/>
              <w:rPr>
                <w:sz w:val="12"/>
                <w:szCs w:val="12"/>
                <w:color w:val="auto"/>
              </w:rPr>
            </w:pPr>
          </w:p>
        </w:tc>
        <w:tc>
          <w:tcPr>
            <w:tcW w:w="260" w:type="dxa"/>
            <w:vAlign w:val="bottom"/>
            <w:shd w:val="clear" w:color="auto" w:fill="852166"/>
          </w:tcPr>
          <w:p>
            <w:pPr>
              <w:spacing w:after="0"/>
              <w:rPr>
                <w:sz w:val="12"/>
                <w:szCs w:val="12"/>
                <w:color w:val="auto"/>
              </w:rPr>
            </w:pPr>
          </w:p>
        </w:tc>
        <w:tc>
          <w:tcPr>
            <w:tcW w:w="1140" w:type="dxa"/>
            <w:vAlign w:val="bottom"/>
            <w:shd w:val="clear" w:color="auto" w:fill="852166"/>
          </w:tcPr>
          <w:p>
            <w:pPr>
              <w:spacing w:after="0"/>
              <w:rPr>
                <w:sz w:val="12"/>
                <w:szCs w:val="12"/>
                <w:color w:val="auto"/>
              </w:rPr>
            </w:pPr>
          </w:p>
        </w:tc>
        <w:tc>
          <w:tcPr>
            <w:tcW w:w="420" w:type="dxa"/>
            <w:vAlign w:val="bottom"/>
            <w:shd w:val="clear" w:color="auto" w:fill="852166"/>
          </w:tcPr>
          <w:p>
            <w:pPr>
              <w:spacing w:after="0"/>
              <w:rPr>
                <w:sz w:val="12"/>
                <w:szCs w:val="12"/>
                <w:color w:val="auto"/>
              </w:rPr>
            </w:pPr>
          </w:p>
        </w:tc>
        <w:tc>
          <w:tcPr>
            <w:tcW w:w="740" w:type="dxa"/>
            <w:vAlign w:val="bottom"/>
            <w:shd w:val="clear" w:color="auto" w:fill="852166"/>
          </w:tcPr>
          <w:p>
            <w:pPr>
              <w:spacing w:after="0"/>
              <w:rPr>
                <w:sz w:val="12"/>
                <w:szCs w:val="12"/>
                <w:color w:val="auto"/>
              </w:rPr>
            </w:pPr>
          </w:p>
        </w:tc>
        <w:tc>
          <w:tcPr>
            <w:tcW w:w="820" w:type="dxa"/>
            <w:vAlign w:val="bottom"/>
            <w:shd w:val="clear" w:color="auto" w:fill="852166"/>
          </w:tcPr>
          <w:p>
            <w:pPr>
              <w:spacing w:after="0"/>
              <w:rPr>
                <w:sz w:val="12"/>
                <w:szCs w:val="12"/>
                <w:color w:val="auto"/>
              </w:rPr>
            </w:pPr>
          </w:p>
        </w:tc>
        <w:tc>
          <w:tcPr>
            <w:tcW w:w="1020" w:type="dxa"/>
            <w:vAlign w:val="bottom"/>
            <w:shd w:val="clear" w:color="auto" w:fill="852166"/>
          </w:tcPr>
          <w:p>
            <w:pPr>
              <w:spacing w:after="0"/>
              <w:rPr>
                <w:sz w:val="12"/>
                <w:szCs w:val="12"/>
                <w:color w:val="auto"/>
              </w:rPr>
            </w:pPr>
          </w:p>
        </w:tc>
        <w:tc>
          <w:tcPr>
            <w:tcW w:w="260" w:type="dxa"/>
            <w:vAlign w:val="bottom"/>
            <w:shd w:val="clear" w:color="auto" w:fill="852166"/>
          </w:tcPr>
          <w:p>
            <w:pPr>
              <w:spacing w:after="0"/>
              <w:rPr>
                <w:sz w:val="12"/>
                <w:szCs w:val="12"/>
                <w:color w:val="auto"/>
              </w:rPr>
            </w:pPr>
          </w:p>
        </w:tc>
        <w:tc>
          <w:tcPr>
            <w:tcW w:w="1180" w:type="dxa"/>
            <w:vAlign w:val="bottom"/>
            <w:shd w:val="clear" w:color="auto" w:fill="852166"/>
          </w:tcPr>
          <w:p>
            <w:pPr>
              <w:spacing w:after="0"/>
              <w:rPr>
                <w:sz w:val="12"/>
                <w:szCs w:val="12"/>
                <w:color w:val="auto"/>
              </w:rPr>
            </w:pPr>
          </w:p>
        </w:tc>
        <w:tc>
          <w:tcPr>
            <w:tcW w:w="124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Plan Awards:</w:t>
            </w:r>
          </w:p>
        </w:tc>
        <w:tc>
          <w:tcPr>
            <w:tcW w:w="260" w:type="dxa"/>
            <w:vAlign w:val="bottom"/>
            <w:shd w:val="clear" w:color="auto" w:fill="852166"/>
          </w:tcPr>
          <w:p>
            <w:pPr>
              <w:spacing w:after="0"/>
              <w:rPr>
                <w:sz w:val="12"/>
                <w:szCs w:val="12"/>
                <w:color w:val="auto"/>
              </w:rPr>
            </w:pPr>
          </w:p>
        </w:tc>
        <w:tc>
          <w:tcPr>
            <w:tcW w:w="1520" w:type="dxa"/>
            <w:vAlign w:val="bottom"/>
            <w:shd w:val="clear" w:color="auto" w:fill="852166"/>
          </w:tcPr>
          <w:p>
            <w:pPr>
              <w:jc w:val="right"/>
              <w:ind w:right="57"/>
              <w:spacing w:after="0"/>
              <w:rPr>
                <w:sz w:val="20"/>
                <w:szCs w:val="20"/>
                <w:color w:val="auto"/>
              </w:rPr>
            </w:pPr>
            <w:r>
              <w:rPr>
                <w:rFonts w:ascii="Arial" w:cs="Arial" w:eastAsia="Arial" w:hAnsi="Arial"/>
                <w:sz w:val="13"/>
                <w:szCs w:val="13"/>
                <w:b w:val="1"/>
                <w:bCs w:val="1"/>
                <w:color w:val="FFFFFF"/>
              </w:rPr>
              <w:t>Equity Incentive Plan</w:t>
            </w:r>
          </w:p>
        </w:tc>
        <w:tc>
          <w:tcPr>
            <w:tcW w:w="0" w:type="dxa"/>
            <w:vAlign w:val="bottom"/>
          </w:tcPr>
          <w:p>
            <w:pPr>
              <w:spacing w:after="0"/>
              <w:rPr>
                <w:sz w:val="1"/>
                <w:szCs w:val="1"/>
                <w:color w:val="auto"/>
              </w:rPr>
            </w:pPr>
          </w:p>
        </w:tc>
      </w:tr>
      <w:tr>
        <w:trPr>
          <w:trHeight w:val="148"/>
        </w:trPr>
        <w:tc>
          <w:tcPr>
            <w:tcW w:w="80" w:type="dxa"/>
            <w:vAlign w:val="bottom"/>
            <w:shd w:val="clear" w:color="auto" w:fill="852166"/>
          </w:tcPr>
          <w:p>
            <w:pPr>
              <w:spacing w:after="0"/>
              <w:rPr>
                <w:sz w:val="12"/>
                <w:szCs w:val="12"/>
                <w:color w:val="auto"/>
              </w:rPr>
            </w:pPr>
          </w:p>
        </w:tc>
        <w:tc>
          <w:tcPr>
            <w:tcW w:w="1280" w:type="dxa"/>
            <w:vAlign w:val="bottom"/>
            <w:shd w:val="clear" w:color="auto" w:fill="852166"/>
          </w:tcPr>
          <w:p>
            <w:pPr>
              <w:spacing w:after="0"/>
              <w:rPr>
                <w:sz w:val="12"/>
                <w:szCs w:val="12"/>
                <w:color w:val="auto"/>
              </w:rPr>
            </w:pPr>
          </w:p>
        </w:tc>
        <w:tc>
          <w:tcPr>
            <w:tcW w:w="102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Number of</w:t>
            </w:r>
          </w:p>
        </w:tc>
        <w:tc>
          <w:tcPr>
            <w:tcW w:w="260" w:type="dxa"/>
            <w:vAlign w:val="bottom"/>
            <w:shd w:val="clear" w:color="auto" w:fill="852166"/>
          </w:tcPr>
          <w:p>
            <w:pPr>
              <w:spacing w:after="0"/>
              <w:rPr>
                <w:sz w:val="12"/>
                <w:szCs w:val="12"/>
                <w:color w:val="auto"/>
              </w:rPr>
            </w:pPr>
          </w:p>
        </w:tc>
        <w:tc>
          <w:tcPr>
            <w:tcW w:w="114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Number of</w:t>
            </w:r>
          </w:p>
        </w:tc>
        <w:tc>
          <w:tcPr>
            <w:tcW w:w="420" w:type="dxa"/>
            <w:vAlign w:val="bottom"/>
            <w:shd w:val="clear" w:color="auto" w:fill="852166"/>
          </w:tcPr>
          <w:p>
            <w:pPr>
              <w:spacing w:after="0"/>
              <w:rPr>
                <w:sz w:val="12"/>
                <w:szCs w:val="12"/>
                <w:color w:val="auto"/>
              </w:rPr>
            </w:pPr>
          </w:p>
        </w:tc>
        <w:tc>
          <w:tcPr>
            <w:tcW w:w="740" w:type="dxa"/>
            <w:vAlign w:val="bottom"/>
            <w:shd w:val="clear" w:color="auto" w:fill="852166"/>
          </w:tcPr>
          <w:p>
            <w:pPr>
              <w:spacing w:after="0"/>
              <w:rPr>
                <w:sz w:val="12"/>
                <w:szCs w:val="12"/>
                <w:color w:val="auto"/>
              </w:rPr>
            </w:pPr>
          </w:p>
        </w:tc>
        <w:tc>
          <w:tcPr>
            <w:tcW w:w="820" w:type="dxa"/>
            <w:vAlign w:val="bottom"/>
            <w:shd w:val="clear" w:color="auto" w:fill="852166"/>
          </w:tcPr>
          <w:p>
            <w:pPr>
              <w:spacing w:after="0"/>
              <w:rPr>
                <w:sz w:val="12"/>
                <w:szCs w:val="12"/>
                <w:color w:val="auto"/>
              </w:rPr>
            </w:pPr>
          </w:p>
        </w:tc>
        <w:tc>
          <w:tcPr>
            <w:tcW w:w="102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Number of</w:t>
            </w:r>
          </w:p>
        </w:tc>
        <w:tc>
          <w:tcPr>
            <w:tcW w:w="260" w:type="dxa"/>
            <w:vAlign w:val="bottom"/>
            <w:shd w:val="clear" w:color="auto" w:fill="852166"/>
          </w:tcPr>
          <w:p>
            <w:pPr>
              <w:spacing w:after="0"/>
              <w:rPr>
                <w:sz w:val="12"/>
                <w:szCs w:val="12"/>
                <w:color w:val="auto"/>
              </w:rPr>
            </w:pPr>
          </w:p>
        </w:tc>
        <w:tc>
          <w:tcPr>
            <w:tcW w:w="1180" w:type="dxa"/>
            <w:vAlign w:val="bottom"/>
            <w:shd w:val="clear" w:color="auto" w:fill="852166"/>
          </w:tcPr>
          <w:p>
            <w:pPr>
              <w:jc w:val="right"/>
              <w:ind w:right="78"/>
              <w:spacing w:after="0"/>
              <w:rPr>
                <w:sz w:val="20"/>
                <w:szCs w:val="20"/>
                <w:color w:val="auto"/>
              </w:rPr>
            </w:pPr>
            <w:r>
              <w:rPr>
                <w:rFonts w:ascii="Arial" w:cs="Arial" w:eastAsia="Arial" w:hAnsi="Arial"/>
                <w:sz w:val="13"/>
                <w:szCs w:val="13"/>
                <w:b w:val="1"/>
                <w:bCs w:val="1"/>
                <w:color w:val="FFFFFF"/>
              </w:rPr>
              <w:t>Market Value of</w:t>
            </w:r>
          </w:p>
        </w:tc>
        <w:tc>
          <w:tcPr>
            <w:tcW w:w="124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Number of</w:t>
            </w:r>
          </w:p>
        </w:tc>
        <w:tc>
          <w:tcPr>
            <w:tcW w:w="260" w:type="dxa"/>
            <w:vAlign w:val="bottom"/>
            <w:shd w:val="clear" w:color="auto" w:fill="852166"/>
          </w:tcPr>
          <w:p>
            <w:pPr>
              <w:spacing w:after="0"/>
              <w:rPr>
                <w:sz w:val="12"/>
                <w:szCs w:val="12"/>
                <w:color w:val="auto"/>
              </w:rPr>
            </w:pPr>
          </w:p>
        </w:tc>
        <w:tc>
          <w:tcPr>
            <w:tcW w:w="1520" w:type="dxa"/>
            <w:vAlign w:val="bottom"/>
            <w:shd w:val="clear" w:color="auto" w:fill="852166"/>
          </w:tcPr>
          <w:p>
            <w:pPr>
              <w:jc w:val="right"/>
              <w:ind w:right="57"/>
              <w:spacing w:after="0"/>
              <w:rPr>
                <w:sz w:val="20"/>
                <w:szCs w:val="20"/>
                <w:color w:val="auto"/>
              </w:rPr>
            </w:pPr>
            <w:r>
              <w:rPr>
                <w:rFonts w:ascii="Arial" w:cs="Arial" w:eastAsia="Arial" w:hAnsi="Arial"/>
                <w:sz w:val="13"/>
                <w:szCs w:val="13"/>
                <w:b w:val="1"/>
                <w:bCs w:val="1"/>
                <w:color w:val="FFFFFF"/>
              </w:rPr>
              <w:t>Awards: Market Value</w:t>
            </w:r>
          </w:p>
        </w:tc>
        <w:tc>
          <w:tcPr>
            <w:tcW w:w="0" w:type="dxa"/>
            <w:vAlign w:val="bottom"/>
          </w:tcPr>
          <w:p>
            <w:pPr>
              <w:spacing w:after="0"/>
              <w:rPr>
                <w:sz w:val="1"/>
                <w:szCs w:val="1"/>
                <w:color w:val="auto"/>
              </w:rPr>
            </w:pPr>
          </w:p>
        </w:tc>
      </w:tr>
      <w:tr>
        <w:trPr>
          <w:trHeight w:val="162"/>
        </w:trPr>
        <w:tc>
          <w:tcPr>
            <w:tcW w:w="80" w:type="dxa"/>
            <w:vAlign w:val="bottom"/>
            <w:shd w:val="clear" w:color="auto" w:fill="852166"/>
          </w:tcPr>
          <w:p>
            <w:pPr>
              <w:spacing w:after="0"/>
              <w:rPr>
                <w:sz w:val="14"/>
                <w:szCs w:val="14"/>
                <w:color w:val="auto"/>
              </w:rPr>
            </w:pPr>
          </w:p>
        </w:tc>
        <w:tc>
          <w:tcPr>
            <w:tcW w:w="1280" w:type="dxa"/>
            <w:vAlign w:val="bottom"/>
            <w:shd w:val="clear" w:color="auto" w:fill="852166"/>
          </w:tcPr>
          <w:p>
            <w:pPr>
              <w:spacing w:after="0"/>
              <w:rPr>
                <w:sz w:val="14"/>
                <w:szCs w:val="14"/>
                <w:color w:val="auto"/>
              </w:rPr>
            </w:pPr>
          </w:p>
        </w:tc>
        <w:tc>
          <w:tcPr>
            <w:tcW w:w="102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Securities</w:t>
            </w:r>
          </w:p>
        </w:tc>
        <w:tc>
          <w:tcPr>
            <w:tcW w:w="260" w:type="dxa"/>
            <w:vAlign w:val="bottom"/>
            <w:shd w:val="clear" w:color="auto" w:fill="852166"/>
          </w:tcPr>
          <w:p>
            <w:pPr>
              <w:spacing w:after="0"/>
              <w:rPr>
                <w:sz w:val="14"/>
                <w:szCs w:val="14"/>
                <w:color w:val="auto"/>
              </w:rPr>
            </w:pPr>
          </w:p>
        </w:tc>
        <w:tc>
          <w:tcPr>
            <w:tcW w:w="114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Securities</w:t>
            </w:r>
          </w:p>
        </w:tc>
        <w:tc>
          <w:tcPr>
            <w:tcW w:w="420" w:type="dxa"/>
            <w:vAlign w:val="bottom"/>
            <w:shd w:val="clear" w:color="auto" w:fill="852166"/>
          </w:tcPr>
          <w:p>
            <w:pPr>
              <w:spacing w:after="0"/>
              <w:rPr>
                <w:sz w:val="14"/>
                <w:szCs w:val="14"/>
                <w:color w:val="auto"/>
              </w:rPr>
            </w:pPr>
          </w:p>
        </w:tc>
        <w:tc>
          <w:tcPr>
            <w:tcW w:w="740" w:type="dxa"/>
            <w:vAlign w:val="bottom"/>
            <w:shd w:val="clear" w:color="auto" w:fill="852166"/>
          </w:tcPr>
          <w:p>
            <w:pPr>
              <w:spacing w:after="0"/>
              <w:rPr>
                <w:sz w:val="14"/>
                <w:szCs w:val="14"/>
                <w:color w:val="auto"/>
              </w:rPr>
            </w:pPr>
          </w:p>
        </w:tc>
        <w:tc>
          <w:tcPr>
            <w:tcW w:w="820" w:type="dxa"/>
            <w:vAlign w:val="bottom"/>
            <w:shd w:val="clear" w:color="auto" w:fill="852166"/>
          </w:tcPr>
          <w:p>
            <w:pPr>
              <w:spacing w:after="0"/>
              <w:rPr>
                <w:sz w:val="14"/>
                <w:szCs w:val="14"/>
                <w:color w:val="auto"/>
              </w:rPr>
            </w:pPr>
          </w:p>
        </w:tc>
        <w:tc>
          <w:tcPr>
            <w:tcW w:w="102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Shares or</w:t>
            </w:r>
          </w:p>
        </w:tc>
        <w:tc>
          <w:tcPr>
            <w:tcW w:w="260" w:type="dxa"/>
            <w:vAlign w:val="bottom"/>
            <w:shd w:val="clear" w:color="auto" w:fill="852166"/>
          </w:tcPr>
          <w:p>
            <w:pPr>
              <w:spacing w:after="0"/>
              <w:rPr>
                <w:sz w:val="14"/>
                <w:szCs w:val="14"/>
                <w:color w:val="auto"/>
              </w:rPr>
            </w:pPr>
          </w:p>
        </w:tc>
        <w:tc>
          <w:tcPr>
            <w:tcW w:w="1180" w:type="dxa"/>
            <w:vAlign w:val="bottom"/>
            <w:shd w:val="clear" w:color="auto" w:fill="852166"/>
          </w:tcPr>
          <w:p>
            <w:pPr>
              <w:jc w:val="right"/>
              <w:ind w:right="78"/>
              <w:spacing w:after="0"/>
              <w:rPr>
                <w:sz w:val="20"/>
                <w:szCs w:val="20"/>
                <w:color w:val="auto"/>
              </w:rPr>
            </w:pPr>
            <w:r>
              <w:rPr>
                <w:rFonts w:ascii="Arial" w:cs="Arial" w:eastAsia="Arial" w:hAnsi="Arial"/>
                <w:sz w:val="13"/>
                <w:szCs w:val="13"/>
                <w:b w:val="1"/>
                <w:bCs w:val="1"/>
                <w:color w:val="FFFFFF"/>
              </w:rPr>
              <w:t>Shares or Units</w:t>
            </w:r>
          </w:p>
        </w:tc>
        <w:tc>
          <w:tcPr>
            <w:tcW w:w="124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Unearned Shares,</w:t>
            </w:r>
          </w:p>
        </w:tc>
        <w:tc>
          <w:tcPr>
            <w:tcW w:w="260" w:type="dxa"/>
            <w:vAlign w:val="bottom"/>
            <w:shd w:val="clear" w:color="auto" w:fill="852166"/>
          </w:tcPr>
          <w:p>
            <w:pPr>
              <w:spacing w:after="0"/>
              <w:rPr>
                <w:sz w:val="14"/>
                <w:szCs w:val="14"/>
                <w:color w:val="auto"/>
              </w:rPr>
            </w:pPr>
          </w:p>
        </w:tc>
        <w:tc>
          <w:tcPr>
            <w:tcW w:w="1520" w:type="dxa"/>
            <w:vAlign w:val="bottom"/>
            <w:shd w:val="clear" w:color="auto" w:fill="852166"/>
          </w:tcPr>
          <w:p>
            <w:pPr>
              <w:jc w:val="right"/>
              <w:ind w:right="57"/>
              <w:spacing w:after="0"/>
              <w:rPr>
                <w:sz w:val="20"/>
                <w:szCs w:val="20"/>
                <w:color w:val="auto"/>
              </w:rPr>
            </w:pPr>
            <w:r>
              <w:rPr>
                <w:rFonts w:ascii="Arial" w:cs="Arial" w:eastAsia="Arial" w:hAnsi="Arial"/>
                <w:sz w:val="13"/>
                <w:szCs w:val="13"/>
                <w:b w:val="1"/>
                <w:bCs w:val="1"/>
                <w:color w:val="FFFFFF"/>
              </w:rPr>
              <w:t>or Payout Value of</w:t>
            </w:r>
          </w:p>
        </w:tc>
        <w:tc>
          <w:tcPr>
            <w:tcW w:w="0" w:type="dxa"/>
            <w:vAlign w:val="bottom"/>
          </w:tcPr>
          <w:p>
            <w:pPr>
              <w:spacing w:after="0"/>
              <w:rPr>
                <w:sz w:val="1"/>
                <w:szCs w:val="1"/>
                <w:color w:val="auto"/>
              </w:rPr>
            </w:pPr>
          </w:p>
        </w:tc>
      </w:tr>
      <w:tr>
        <w:trPr>
          <w:trHeight w:val="148"/>
        </w:trPr>
        <w:tc>
          <w:tcPr>
            <w:tcW w:w="80" w:type="dxa"/>
            <w:vAlign w:val="bottom"/>
            <w:shd w:val="clear" w:color="auto" w:fill="852166"/>
          </w:tcPr>
          <w:p>
            <w:pPr>
              <w:spacing w:after="0"/>
              <w:rPr>
                <w:sz w:val="12"/>
                <w:szCs w:val="12"/>
                <w:color w:val="auto"/>
              </w:rPr>
            </w:pPr>
          </w:p>
        </w:tc>
        <w:tc>
          <w:tcPr>
            <w:tcW w:w="1280" w:type="dxa"/>
            <w:vAlign w:val="bottom"/>
            <w:shd w:val="clear" w:color="auto" w:fill="852166"/>
          </w:tcPr>
          <w:p>
            <w:pPr>
              <w:spacing w:after="0"/>
              <w:rPr>
                <w:sz w:val="12"/>
                <w:szCs w:val="12"/>
                <w:color w:val="auto"/>
              </w:rPr>
            </w:pPr>
          </w:p>
        </w:tc>
        <w:tc>
          <w:tcPr>
            <w:tcW w:w="102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Underlying</w:t>
            </w:r>
          </w:p>
        </w:tc>
        <w:tc>
          <w:tcPr>
            <w:tcW w:w="260" w:type="dxa"/>
            <w:vAlign w:val="bottom"/>
            <w:shd w:val="clear" w:color="auto" w:fill="852166"/>
          </w:tcPr>
          <w:p>
            <w:pPr>
              <w:spacing w:after="0"/>
              <w:rPr>
                <w:sz w:val="12"/>
                <w:szCs w:val="12"/>
                <w:color w:val="auto"/>
              </w:rPr>
            </w:pPr>
          </w:p>
        </w:tc>
        <w:tc>
          <w:tcPr>
            <w:tcW w:w="114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Underlying</w:t>
            </w:r>
          </w:p>
        </w:tc>
        <w:tc>
          <w:tcPr>
            <w:tcW w:w="420" w:type="dxa"/>
            <w:vAlign w:val="bottom"/>
            <w:shd w:val="clear" w:color="auto" w:fill="852166"/>
          </w:tcPr>
          <w:p>
            <w:pPr>
              <w:spacing w:after="0"/>
              <w:rPr>
                <w:sz w:val="12"/>
                <w:szCs w:val="12"/>
                <w:color w:val="auto"/>
              </w:rPr>
            </w:pPr>
          </w:p>
        </w:tc>
        <w:tc>
          <w:tcPr>
            <w:tcW w:w="740" w:type="dxa"/>
            <w:vAlign w:val="bottom"/>
            <w:shd w:val="clear" w:color="auto" w:fill="852166"/>
          </w:tcPr>
          <w:p>
            <w:pPr>
              <w:jc w:val="right"/>
              <w:ind w:right="17"/>
              <w:spacing w:after="0"/>
              <w:rPr>
                <w:sz w:val="20"/>
                <w:szCs w:val="20"/>
                <w:color w:val="auto"/>
              </w:rPr>
            </w:pPr>
            <w:r>
              <w:rPr>
                <w:rFonts w:ascii="Arial" w:cs="Arial" w:eastAsia="Arial" w:hAnsi="Arial"/>
                <w:sz w:val="13"/>
                <w:szCs w:val="13"/>
                <w:b w:val="1"/>
                <w:bCs w:val="1"/>
                <w:color w:val="FFFFFF"/>
              </w:rPr>
              <w:t>Option</w:t>
            </w:r>
          </w:p>
        </w:tc>
        <w:tc>
          <w:tcPr>
            <w:tcW w:w="820" w:type="dxa"/>
            <w:vAlign w:val="bottom"/>
            <w:shd w:val="clear" w:color="auto" w:fill="852166"/>
          </w:tcPr>
          <w:p>
            <w:pPr>
              <w:spacing w:after="0"/>
              <w:rPr>
                <w:sz w:val="12"/>
                <w:szCs w:val="12"/>
                <w:color w:val="auto"/>
              </w:rPr>
            </w:pPr>
          </w:p>
        </w:tc>
        <w:tc>
          <w:tcPr>
            <w:tcW w:w="102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Units of Stock</w:t>
            </w:r>
          </w:p>
        </w:tc>
        <w:tc>
          <w:tcPr>
            <w:tcW w:w="260" w:type="dxa"/>
            <w:vAlign w:val="bottom"/>
            <w:shd w:val="clear" w:color="auto" w:fill="852166"/>
          </w:tcPr>
          <w:p>
            <w:pPr>
              <w:spacing w:after="0"/>
              <w:rPr>
                <w:sz w:val="12"/>
                <w:szCs w:val="12"/>
                <w:color w:val="auto"/>
              </w:rPr>
            </w:pPr>
          </w:p>
        </w:tc>
        <w:tc>
          <w:tcPr>
            <w:tcW w:w="1180" w:type="dxa"/>
            <w:vAlign w:val="bottom"/>
            <w:shd w:val="clear" w:color="auto" w:fill="852166"/>
          </w:tcPr>
          <w:p>
            <w:pPr>
              <w:jc w:val="right"/>
              <w:ind w:right="78"/>
              <w:spacing w:after="0"/>
              <w:rPr>
                <w:sz w:val="20"/>
                <w:szCs w:val="20"/>
                <w:color w:val="auto"/>
              </w:rPr>
            </w:pPr>
            <w:r>
              <w:rPr>
                <w:rFonts w:ascii="Arial" w:cs="Arial" w:eastAsia="Arial" w:hAnsi="Arial"/>
                <w:sz w:val="13"/>
                <w:szCs w:val="13"/>
                <w:b w:val="1"/>
                <w:bCs w:val="1"/>
                <w:color w:val="FFFFFF"/>
              </w:rPr>
              <w:t>of Stock That</w:t>
            </w:r>
          </w:p>
        </w:tc>
        <w:tc>
          <w:tcPr>
            <w:tcW w:w="124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Units or Other</w:t>
            </w:r>
          </w:p>
        </w:tc>
        <w:tc>
          <w:tcPr>
            <w:tcW w:w="260" w:type="dxa"/>
            <w:vAlign w:val="bottom"/>
            <w:shd w:val="clear" w:color="auto" w:fill="852166"/>
          </w:tcPr>
          <w:p>
            <w:pPr>
              <w:spacing w:after="0"/>
              <w:rPr>
                <w:sz w:val="12"/>
                <w:szCs w:val="12"/>
                <w:color w:val="auto"/>
              </w:rPr>
            </w:pPr>
          </w:p>
        </w:tc>
        <w:tc>
          <w:tcPr>
            <w:tcW w:w="1520" w:type="dxa"/>
            <w:vAlign w:val="bottom"/>
            <w:shd w:val="clear" w:color="auto" w:fill="852166"/>
          </w:tcPr>
          <w:p>
            <w:pPr>
              <w:jc w:val="right"/>
              <w:ind w:right="57"/>
              <w:spacing w:after="0"/>
              <w:rPr>
                <w:sz w:val="20"/>
                <w:szCs w:val="20"/>
                <w:color w:val="auto"/>
              </w:rPr>
            </w:pPr>
            <w:r>
              <w:rPr>
                <w:rFonts w:ascii="Arial" w:cs="Arial" w:eastAsia="Arial" w:hAnsi="Arial"/>
                <w:sz w:val="13"/>
                <w:szCs w:val="13"/>
                <w:b w:val="1"/>
                <w:bCs w:val="1"/>
                <w:color w:val="FFFFFF"/>
              </w:rPr>
              <w:t>Unearned Shares,</w:t>
            </w:r>
          </w:p>
        </w:tc>
        <w:tc>
          <w:tcPr>
            <w:tcW w:w="0" w:type="dxa"/>
            <w:vAlign w:val="bottom"/>
          </w:tcPr>
          <w:p>
            <w:pPr>
              <w:spacing w:after="0"/>
              <w:rPr>
                <w:sz w:val="1"/>
                <w:szCs w:val="1"/>
                <w:color w:val="auto"/>
              </w:rPr>
            </w:pPr>
          </w:p>
        </w:tc>
      </w:tr>
      <w:tr>
        <w:trPr>
          <w:trHeight w:val="148"/>
        </w:trPr>
        <w:tc>
          <w:tcPr>
            <w:tcW w:w="80" w:type="dxa"/>
            <w:vAlign w:val="bottom"/>
            <w:shd w:val="clear" w:color="auto" w:fill="852166"/>
          </w:tcPr>
          <w:p>
            <w:pPr>
              <w:spacing w:after="0"/>
              <w:rPr>
                <w:sz w:val="12"/>
                <w:szCs w:val="12"/>
                <w:color w:val="auto"/>
              </w:rPr>
            </w:pPr>
          </w:p>
        </w:tc>
        <w:tc>
          <w:tcPr>
            <w:tcW w:w="1280" w:type="dxa"/>
            <w:vAlign w:val="bottom"/>
            <w:shd w:val="clear" w:color="auto" w:fill="852166"/>
          </w:tcPr>
          <w:p>
            <w:pPr>
              <w:spacing w:after="0"/>
              <w:rPr>
                <w:sz w:val="12"/>
                <w:szCs w:val="12"/>
                <w:color w:val="auto"/>
              </w:rPr>
            </w:pPr>
          </w:p>
        </w:tc>
        <w:tc>
          <w:tcPr>
            <w:tcW w:w="102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Unexercised</w:t>
            </w:r>
          </w:p>
        </w:tc>
        <w:tc>
          <w:tcPr>
            <w:tcW w:w="260" w:type="dxa"/>
            <w:vAlign w:val="bottom"/>
            <w:shd w:val="clear" w:color="auto" w:fill="852166"/>
          </w:tcPr>
          <w:p>
            <w:pPr>
              <w:spacing w:after="0"/>
              <w:rPr>
                <w:sz w:val="12"/>
                <w:szCs w:val="12"/>
                <w:color w:val="auto"/>
              </w:rPr>
            </w:pPr>
          </w:p>
        </w:tc>
        <w:tc>
          <w:tcPr>
            <w:tcW w:w="114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Unexercised</w:t>
            </w:r>
          </w:p>
        </w:tc>
        <w:tc>
          <w:tcPr>
            <w:tcW w:w="420" w:type="dxa"/>
            <w:vAlign w:val="bottom"/>
            <w:shd w:val="clear" w:color="auto" w:fill="852166"/>
          </w:tcPr>
          <w:p>
            <w:pPr>
              <w:spacing w:after="0"/>
              <w:rPr>
                <w:sz w:val="12"/>
                <w:szCs w:val="12"/>
                <w:color w:val="auto"/>
              </w:rPr>
            </w:pPr>
          </w:p>
        </w:tc>
        <w:tc>
          <w:tcPr>
            <w:tcW w:w="740" w:type="dxa"/>
            <w:vAlign w:val="bottom"/>
            <w:shd w:val="clear" w:color="auto" w:fill="852166"/>
          </w:tcPr>
          <w:p>
            <w:pPr>
              <w:jc w:val="right"/>
              <w:ind w:right="17"/>
              <w:spacing w:after="0"/>
              <w:rPr>
                <w:sz w:val="20"/>
                <w:szCs w:val="20"/>
                <w:color w:val="auto"/>
              </w:rPr>
            </w:pPr>
            <w:r>
              <w:rPr>
                <w:rFonts w:ascii="Arial" w:cs="Arial" w:eastAsia="Arial" w:hAnsi="Arial"/>
                <w:sz w:val="13"/>
                <w:szCs w:val="13"/>
                <w:b w:val="1"/>
                <w:bCs w:val="1"/>
                <w:color w:val="FFFFFF"/>
              </w:rPr>
              <w:t>Exercise</w:t>
            </w:r>
          </w:p>
        </w:tc>
        <w:tc>
          <w:tcPr>
            <w:tcW w:w="820" w:type="dxa"/>
            <w:vAlign w:val="bottom"/>
            <w:shd w:val="clear" w:color="auto" w:fill="852166"/>
          </w:tcPr>
          <w:p>
            <w:pPr>
              <w:jc w:val="center"/>
              <w:ind w:right="37"/>
              <w:spacing w:after="0"/>
              <w:rPr>
                <w:sz w:val="20"/>
                <w:szCs w:val="20"/>
                <w:color w:val="auto"/>
              </w:rPr>
            </w:pPr>
            <w:r>
              <w:rPr>
                <w:rFonts w:ascii="Arial" w:cs="Arial" w:eastAsia="Arial" w:hAnsi="Arial"/>
                <w:sz w:val="13"/>
                <w:szCs w:val="13"/>
                <w:b w:val="1"/>
                <w:bCs w:val="1"/>
                <w:color w:val="FFFFFF"/>
                <w:w w:val="95"/>
              </w:rPr>
              <w:t>Option</w:t>
            </w:r>
          </w:p>
        </w:tc>
        <w:tc>
          <w:tcPr>
            <w:tcW w:w="102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That Have Not</w:t>
            </w:r>
          </w:p>
        </w:tc>
        <w:tc>
          <w:tcPr>
            <w:tcW w:w="260" w:type="dxa"/>
            <w:vAlign w:val="bottom"/>
            <w:shd w:val="clear" w:color="auto" w:fill="852166"/>
          </w:tcPr>
          <w:p>
            <w:pPr>
              <w:spacing w:after="0"/>
              <w:rPr>
                <w:sz w:val="12"/>
                <w:szCs w:val="12"/>
                <w:color w:val="auto"/>
              </w:rPr>
            </w:pPr>
          </w:p>
        </w:tc>
        <w:tc>
          <w:tcPr>
            <w:tcW w:w="1180" w:type="dxa"/>
            <w:vAlign w:val="bottom"/>
            <w:shd w:val="clear" w:color="auto" w:fill="852166"/>
          </w:tcPr>
          <w:p>
            <w:pPr>
              <w:jc w:val="right"/>
              <w:ind w:right="78"/>
              <w:spacing w:after="0"/>
              <w:rPr>
                <w:sz w:val="20"/>
                <w:szCs w:val="20"/>
                <w:color w:val="auto"/>
              </w:rPr>
            </w:pPr>
            <w:r>
              <w:rPr>
                <w:rFonts w:ascii="Arial" w:cs="Arial" w:eastAsia="Arial" w:hAnsi="Arial"/>
                <w:sz w:val="13"/>
                <w:szCs w:val="13"/>
                <w:b w:val="1"/>
                <w:bCs w:val="1"/>
                <w:color w:val="FFFFFF"/>
              </w:rPr>
              <w:t>Have Not</w:t>
            </w:r>
          </w:p>
        </w:tc>
        <w:tc>
          <w:tcPr>
            <w:tcW w:w="124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Rights That Have</w:t>
            </w:r>
          </w:p>
        </w:tc>
        <w:tc>
          <w:tcPr>
            <w:tcW w:w="260" w:type="dxa"/>
            <w:vAlign w:val="bottom"/>
            <w:shd w:val="clear" w:color="auto" w:fill="852166"/>
          </w:tcPr>
          <w:p>
            <w:pPr>
              <w:spacing w:after="0"/>
              <w:rPr>
                <w:sz w:val="12"/>
                <w:szCs w:val="12"/>
                <w:color w:val="auto"/>
              </w:rPr>
            </w:pPr>
          </w:p>
        </w:tc>
        <w:tc>
          <w:tcPr>
            <w:tcW w:w="1520" w:type="dxa"/>
            <w:vAlign w:val="bottom"/>
            <w:shd w:val="clear" w:color="auto" w:fill="852166"/>
          </w:tcPr>
          <w:p>
            <w:pPr>
              <w:jc w:val="right"/>
              <w:ind w:right="57"/>
              <w:spacing w:after="0"/>
              <w:rPr>
                <w:sz w:val="20"/>
                <w:szCs w:val="20"/>
                <w:color w:val="auto"/>
              </w:rPr>
            </w:pPr>
            <w:r>
              <w:rPr>
                <w:rFonts w:ascii="Arial" w:cs="Arial" w:eastAsia="Arial" w:hAnsi="Arial"/>
                <w:sz w:val="13"/>
                <w:szCs w:val="13"/>
                <w:b w:val="1"/>
                <w:bCs w:val="1"/>
                <w:color w:val="FFFFFF"/>
              </w:rPr>
              <w:t>Units or Other Rights</w:t>
            </w:r>
          </w:p>
        </w:tc>
        <w:tc>
          <w:tcPr>
            <w:tcW w:w="0" w:type="dxa"/>
            <w:vAlign w:val="bottom"/>
          </w:tcPr>
          <w:p>
            <w:pPr>
              <w:spacing w:after="0"/>
              <w:rPr>
                <w:sz w:val="1"/>
                <w:szCs w:val="1"/>
                <w:color w:val="auto"/>
              </w:rPr>
            </w:pPr>
          </w:p>
        </w:tc>
      </w:tr>
      <w:tr>
        <w:trPr>
          <w:trHeight w:val="148"/>
        </w:trPr>
        <w:tc>
          <w:tcPr>
            <w:tcW w:w="80" w:type="dxa"/>
            <w:vAlign w:val="bottom"/>
            <w:shd w:val="clear" w:color="auto" w:fill="852166"/>
          </w:tcPr>
          <w:p>
            <w:pPr>
              <w:spacing w:after="0"/>
              <w:rPr>
                <w:sz w:val="12"/>
                <w:szCs w:val="12"/>
                <w:color w:val="auto"/>
              </w:rPr>
            </w:pPr>
          </w:p>
        </w:tc>
        <w:tc>
          <w:tcPr>
            <w:tcW w:w="1280" w:type="dxa"/>
            <w:vAlign w:val="bottom"/>
            <w:shd w:val="clear" w:color="auto" w:fill="852166"/>
          </w:tcPr>
          <w:p>
            <w:pPr>
              <w:spacing w:after="0"/>
              <w:rPr>
                <w:sz w:val="12"/>
                <w:szCs w:val="12"/>
                <w:color w:val="auto"/>
              </w:rPr>
            </w:pPr>
          </w:p>
        </w:tc>
        <w:tc>
          <w:tcPr>
            <w:tcW w:w="102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Options</w:t>
            </w:r>
          </w:p>
        </w:tc>
        <w:tc>
          <w:tcPr>
            <w:tcW w:w="260" w:type="dxa"/>
            <w:vAlign w:val="bottom"/>
            <w:shd w:val="clear" w:color="auto" w:fill="852166"/>
          </w:tcPr>
          <w:p>
            <w:pPr>
              <w:spacing w:after="0"/>
              <w:rPr>
                <w:sz w:val="12"/>
                <w:szCs w:val="12"/>
                <w:color w:val="auto"/>
              </w:rPr>
            </w:pPr>
          </w:p>
        </w:tc>
        <w:tc>
          <w:tcPr>
            <w:tcW w:w="114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Options</w:t>
            </w:r>
          </w:p>
        </w:tc>
        <w:tc>
          <w:tcPr>
            <w:tcW w:w="420" w:type="dxa"/>
            <w:vAlign w:val="bottom"/>
            <w:shd w:val="clear" w:color="auto" w:fill="852166"/>
          </w:tcPr>
          <w:p>
            <w:pPr>
              <w:spacing w:after="0"/>
              <w:rPr>
                <w:sz w:val="12"/>
                <w:szCs w:val="12"/>
                <w:color w:val="auto"/>
              </w:rPr>
            </w:pPr>
          </w:p>
        </w:tc>
        <w:tc>
          <w:tcPr>
            <w:tcW w:w="740" w:type="dxa"/>
            <w:vAlign w:val="bottom"/>
            <w:shd w:val="clear" w:color="auto" w:fill="852166"/>
          </w:tcPr>
          <w:p>
            <w:pPr>
              <w:jc w:val="right"/>
              <w:ind w:right="57"/>
              <w:spacing w:after="0"/>
              <w:rPr>
                <w:sz w:val="20"/>
                <w:szCs w:val="20"/>
                <w:color w:val="auto"/>
              </w:rPr>
            </w:pPr>
            <w:r>
              <w:rPr>
                <w:rFonts w:ascii="Arial" w:cs="Arial" w:eastAsia="Arial" w:hAnsi="Arial"/>
                <w:sz w:val="13"/>
                <w:szCs w:val="13"/>
                <w:b w:val="1"/>
                <w:bCs w:val="1"/>
                <w:color w:val="FFFFFF"/>
              </w:rPr>
              <w:t>Price</w:t>
            </w:r>
          </w:p>
        </w:tc>
        <w:tc>
          <w:tcPr>
            <w:tcW w:w="820" w:type="dxa"/>
            <w:vAlign w:val="bottom"/>
            <w:shd w:val="clear" w:color="auto" w:fill="852166"/>
          </w:tcPr>
          <w:p>
            <w:pPr>
              <w:jc w:val="center"/>
              <w:ind w:right="17"/>
              <w:spacing w:after="0"/>
              <w:rPr>
                <w:sz w:val="20"/>
                <w:szCs w:val="20"/>
                <w:color w:val="auto"/>
              </w:rPr>
            </w:pPr>
            <w:r>
              <w:rPr>
                <w:rFonts w:ascii="Arial" w:cs="Arial" w:eastAsia="Arial" w:hAnsi="Arial"/>
                <w:sz w:val="13"/>
                <w:szCs w:val="13"/>
                <w:b w:val="1"/>
                <w:bCs w:val="1"/>
                <w:color w:val="FFFFFF"/>
                <w:w w:val="97"/>
              </w:rPr>
              <w:t>Expiration</w:t>
            </w:r>
          </w:p>
        </w:tc>
        <w:tc>
          <w:tcPr>
            <w:tcW w:w="102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Vested</w:t>
            </w:r>
          </w:p>
        </w:tc>
        <w:tc>
          <w:tcPr>
            <w:tcW w:w="260" w:type="dxa"/>
            <w:vAlign w:val="bottom"/>
            <w:shd w:val="clear" w:color="auto" w:fill="852166"/>
          </w:tcPr>
          <w:p>
            <w:pPr>
              <w:spacing w:after="0"/>
              <w:rPr>
                <w:sz w:val="12"/>
                <w:szCs w:val="12"/>
                <w:color w:val="auto"/>
              </w:rPr>
            </w:pPr>
          </w:p>
        </w:tc>
        <w:tc>
          <w:tcPr>
            <w:tcW w:w="1180" w:type="dxa"/>
            <w:vAlign w:val="bottom"/>
            <w:shd w:val="clear" w:color="auto" w:fill="852166"/>
          </w:tcPr>
          <w:p>
            <w:pPr>
              <w:jc w:val="right"/>
              <w:ind w:right="78"/>
              <w:spacing w:after="0"/>
              <w:rPr>
                <w:sz w:val="20"/>
                <w:szCs w:val="20"/>
                <w:color w:val="auto"/>
              </w:rPr>
            </w:pPr>
            <w:r>
              <w:rPr>
                <w:rFonts w:ascii="Arial" w:cs="Arial" w:eastAsia="Arial" w:hAnsi="Arial"/>
                <w:sz w:val="13"/>
                <w:szCs w:val="13"/>
                <w:b w:val="1"/>
                <w:bCs w:val="1"/>
                <w:color w:val="FFFFFF"/>
              </w:rPr>
              <w:t>Vested</w:t>
            </w:r>
          </w:p>
        </w:tc>
        <w:tc>
          <w:tcPr>
            <w:tcW w:w="1240" w:type="dxa"/>
            <w:vAlign w:val="bottom"/>
            <w:shd w:val="clear" w:color="auto" w:fill="852166"/>
          </w:tcPr>
          <w:p>
            <w:pPr>
              <w:jc w:val="right"/>
              <w:spacing w:after="0"/>
              <w:rPr>
                <w:sz w:val="20"/>
                <w:szCs w:val="20"/>
                <w:color w:val="auto"/>
              </w:rPr>
            </w:pPr>
            <w:r>
              <w:rPr>
                <w:rFonts w:ascii="Arial" w:cs="Arial" w:eastAsia="Arial" w:hAnsi="Arial"/>
                <w:sz w:val="13"/>
                <w:szCs w:val="13"/>
                <w:b w:val="1"/>
                <w:bCs w:val="1"/>
                <w:color w:val="FFFFFF"/>
              </w:rPr>
              <w:t>Not Vested</w:t>
            </w:r>
          </w:p>
        </w:tc>
        <w:tc>
          <w:tcPr>
            <w:tcW w:w="260" w:type="dxa"/>
            <w:vAlign w:val="bottom"/>
            <w:shd w:val="clear" w:color="auto" w:fill="852166"/>
          </w:tcPr>
          <w:p>
            <w:pPr>
              <w:spacing w:after="0"/>
              <w:rPr>
                <w:sz w:val="12"/>
                <w:szCs w:val="12"/>
                <w:color w:val="auto"/>
              </w:rPr>
            </w:pPr>
          </w:p>
        </w:tc>
        <w:tc>
          <w:tcPr>
            <w:tcW w:w="1520" w:type="dxa"/>
            <w:vAlign w:val="bottom"/>
            <w:shd w:val="clear" w:color="auto" w:fill="852166"/>
          </w:tcPr>
          <w:p>
            <w:pPr>
              <w:jc w:val="right"/>
              <w:ind w:right="57"/>
              <w:spacing w:after="0"/>
              <w:rPr>
                <w:sz w:val="20"/>
                <w:szCs w:val="20"/>
                <w:color w:val="auto"/>
              </w:rPr>
            </w:pPr>
            <w:r>
              <w:rPr>
                <w:rFonts w:ascii="Arial" w:cs="Arial" w:eastAsia="Arial" w:hAnsi="Arial"/>
                <w:sz w:val="13"/>
                <w:szCs w:val="13"/>
                <w:b w:val="1"/>
                <w:bCs w:val="1"/>
                <w:color w:val="FFFFFF"/>
              </w:rPr>
              <w:t>That Have Not Vested</w:t>
            </w:r>
          </w:p>
        </w:tc>
        <w:tc>
          <w:tcPr>
            <w:tcW w:w="0" w:type="dxa"/>
            <w:vAlign w:val="bottom"/>
          </w:tcPr>
          <w:p>
            <w:pPr>
              <w:spacing w:after="0"/>
              <w:rPr>
                <w:sz w:val="1"/>
                <w:szCs w:val="1"/>
                <w:color w:val="auto"/>
              </w:rPr>
            </w:pPr>
          </w:p>
        </w:tc>
      </w:tr>
      <w:tr>
        <w:trPr>
          <w:trHeight w:val="241"/>
        </w:trPr>
        <w:tc>
          <w:tcPr>
            <w:tcW w:w="80" w:type="dxa"/>
            <w:vAlign w:val="bottom"/>
            <w:tcBorders>
              <w:bottom w:val="single" w:sz="8" w:color="852166"/>
            </w:tcBorders>
            <w:shd w:val="clear" w:color="auto" w:fill="852166"/>
          </w:tcPr>
          <w:p>
            <w:pPr>
              <w:spacing w:after="0"/>
              <w:rPr>
                <w:sz w:val="20"/>
                <w:szCs w:val="20"/>
                <w:color w:val="auto"/>
              </w:rPr>
            </w:pPr>
          </w:p>
        </w:tc>
        <w:tc>
          <w:tcPr>
            <w:tcW w:w="1280" w:type="dxa"/>
            <w:vAlign w:val="bottom"/>
            <w:tcBorders>
              <w:bottom w:val="single" w:sz="8" w:color="852166"/>
            </w:tcBorders>
            <w:shd w:val="clear" w:color="auto" w:fill="852166"/>
          </w:tcPr>
          <w:p>
            <w:pPr>
              <w:ind w:left="20"/>
              <w:spacing w:after="0"/>
              <w:rPr>
                <w:sz w:val="20"/>
                <w:szCs w:val="20"/>
                <w:color w:val="auto"/>
              </w:rPr>
            </w:pPr>
            <w:r>
              <w:rPr>
                <w:rFonts w:ascii="Arial" w:cs="Arial" w:eastAsia="Arial" w:hAnsi="Arial"/>
                <w:sz w:val="13"/>
                <w:szCs w:val="13"/>
                <w:b w:val="1"/>
                <w:bCs w:val="1"/>
                <w:color w:val="FFFFFF"/>
              </w:rPr>
              <w:t>Name</w:t>
            </w:r>
          </w:p>
        </w:tc>
        <w:tc>
          <w:tcPr>
            <w:tcW w:w="1020" w:type="dxa"/>
            <w:vAlign w:val="bottom"/>
            <w:tcBorders>
              <w:bottom w:val="single" w:sz="8" w:color="852166"/>
            </w:tcBorders>
            <w:shd w:val="clear" w:color="auto" w:fill="852166"/>
          </w:tcPr>
          <w:p>
            <w:pPr>
              <w:jc w:val="right"/>
              <w:spacing w:after="0"/>
              <w:rPr>
                <w:sz w:val="20"/>
                <w:szCs w:val="20"/>
                <w:color w:val="auto"/>
              </w:rPr>
            </w:pPr>
            <w:r>
              <w:rPr>
                <w:rFonts w:ascii="Arial" w:cs="Arial" w:eastAsia="Arial" w:hAnsi="Arial"/>
                <w:sz w:val="13"/>
                <w:szCs w:val="13"/>
                <w:b w:val="1"/>
                <w:bCs w:val="1"/>
                <w:color w:val="FFFFFF"/>
              </w:rPr>
              <w:t>(#) Exercisable</w:t>
            </w:r>
          </w:p>
        </w:tc>
        <w:tc>
          <w:tcPr>
            <w:tcW w:w="260" w:type="dxa"/>
            <w:vAlign w:val="bottom"/>
            <w:tcBorders>
              <w:bottom w:val="single" w:sz="8" w:color="852166"/>
            </w:tcBorders>
            <w:shd w:val="clear" w:color="auto" w:fill="852166"/>
          </w:tcPr>
          <w:p>
            <w:pPr>
              <w:spacing w:after="0"/>
              <w:rPr>
                <w:sz w:val="20"/>
                <w:szCs w:val="20"/>
                <w:color w:val="auto"/>
              </w:rPr>
            </w:pPr>
          </w:p>
        </w:tc>
        <w:tc>
          <w:tcPr>
            <w:tcW w:w="1140" w:type="dxa"/>
            <w:vAlign w:val="bottom"/>
            <w:tcBorders>
              <w:bottom w:val="single" w:sz="8" w:color="852166"/>
            </w:tcBorders>
            <w:shd w:val="clear" w:color="auto" w:fill="852166"/>
          </w:tcPr>
          <w:p>
            <w:pPr>
              <w:jc w:val="right"/>
              <w:spacing w:after="0"/>
              <w:rPr>
                <w:sz w:val="20"/>
                <w:szCs w:val="20"/>
                <w:color w:val="auto"/>
              </w:rPr>
            </w:pPr>
            <w:r>
              <w:rPr>
                <w:rFonts w:ascii="Arial" w:cs="Arial" w:eastAsia="Arial" w:hAnsi="Arial"/>
                <w:sz w:val="13"/>
                <w:szCs w:val="13"/>
                <w:b w:val="1"/>
                <w:bCs w:val="1"/>
                <w:color w:val="FFFFFF"/>
              </w:rPr>
              <w:t>(#) Unexercisable</w:t>
            </w:r>
          </w:p>
        </w:tc>
        <w:tc>
          <w:tcPr>
            <w:tcW w:w="420" w:type="dxa"/>
            <w:vAlign w:val="bottom"/>
            <w:tcBorders>
              <w:bottom w:val="single" w:sz="8" w:color="852166"/>
            </w:tcBorders>
            <w:shd w:val="clear" w:color="auto" w:fill="852166"/>
          </w:tcPr>
          <w:p>
            <w:pPr>
              <w:spacing w:after="0"/>
              <w:rPr>
                <w:sz w:val="20"/>
                <w:szCs w:val="20"/>
                <w:color w:val="auto"/>
              </w:rPr>
            </w:pPr>
          </w:p>
        </w:tc>
        <w:tc>
          <w:tcPr>
            <w:tcW w:w="740" w:type="dxa"/>
            <w:vAlign w:val="bottom"/>
            <w:tcBorders>
              <w:bottom w:val="single" w:sz="8" w:color="852166"/>
            </w:tcBorders>
            <w:shd w:val="clear" w:color="auto" w:fill="852166"/>
          </w:tcPr>
          <w:p>
            <w:pPr>
              <w:jc w:val="right"/>
              <w:ind w:right="17"/>
              <w:spacing w:after="0"/>
              <w:rPr>
                <w:sz w:val="20"/>
                <w:szCs w:val="20"/>
                <w:color w:val="auto"/>
              </w:rPr>
            </w:pPr>
            <w:r>
              <w:rPr>
                <w:rFonts w:ascii="Arial" w:cs="Arial" w:eastAsia="Arial" w:hAnsi="Arial"/>
                <w:sz w:val="13"/>
                <w:szCs w:val="13"/>
                <w:b w:val="1"/>
                <w:bCs w:val="1"/>
                <w:color w:val="FFFFFF"/>
              </w:rPr>
              <w:t>($)</w:t>
            </w:r>
          </w:p>
        </w:tc>
        <w:tc>
          <w:tcPr>
            <w:tcW w:w="820" w:type="dxa"/>
            <w:vAlign w:val="bottom"/>
            <w:tcBorders>
              <w:bottom w:val="single" w:sz="8" w:color="852166"/>
            </w:tcBorders>
            <w:shd w:val="clear" w:color="auto" w:fill="852166"/>
          </w:tcPr>
          <w:p>
            <w:pPr>
              <w:jc w:val="center"/>
              <w:ind w:right="17"/>
              <w:spacing w:after="0"/>
              <w:rPr>
                <w:sz w:val="20"/>
                <w:szCs w:val="20"/>
                <w:color w:val="auto"/>
              </w:rPr>
            </w:pPr>
            <w:r>
              <w:rPr>
                <w:rFonts w:ascii="Arial" w:cs="Arial" w:eastAsia="Arial" w:hAnsi="Arial"/>
                <w:sz w:val="13"/>
                <w:szCs w:val="13"/>
                <w:b w:val="1"/>
                <w:bCs w:val="1"/>
                <w:color w:val="FFFFFF"/>
                <w:w w:val="92"/>
              </w:rPr>
              <w:t>Date</w:t>
            </w:r>
            <w:r>
              <w:rPr>
                <w:rFonts w:ascii="Arial" w:cs="Arial" w:eastAsia="Arial" w:hAnsi="Arial"/>
                <w:sz w:val="16"/>
                <w:szCs w:val="16"/>
                <w:b w:val="1"/>
                <w:bCs w:val="1"/>
                <w:color w:val="FFFFFF"/>
                <w:w w:val="92"/>
                <w:vertAlign w:val="superscript"/>
              </w:rPr>
              <w:t>(2)</w:t>
            </w:r>
          </w:p>
        </w:tc>
        <w:tc>
          <w:tcPr>
            <w:tcW w:w="1020" w:type="dxa"/>
            <w:vAlign w:val="bottom"/>
            <w:tcBorders>
              <w:bottom w:val="single" w:sz="8" w:color="852166"/>
            </w:tcBorders>
            <w:shd w:val="clear" w:color="auto" w:fill="852166"/>
          </w:tcPr>
          <w:p>
            <w:pPr>
              <w:jc w:val="right"/>
              <w:spacing w:after="0"/>
              <w:rPr>
                <w:sz w:val="20"/>
                <w:szCs w:val="20"/>
                <w:color w:val="auto"/>
              </w:rPr>
            </w:pPr>
            <w:r>
              <w:rPr>
                <w:rFonts w:ascii="Arial" w:cs="Arial" w:eastAsia="Arial" w:hAnsi="Arial"/>
                <w:sz w:val="13"/>
                <w:szCs w:val="13"/>
                <w:b w:val="1"/>
                <w:bCs w:val="1"/>
                <w:color w:val="FFFFFF"/>
              </w:rPr>
              <w:t>(#)</w:t>
            </w:r>
          </w:p>
        </w:tc>
        <w:tc>
          <w:tcPr>
            <w:tcW w:w="260" w:type="dxa"/>
            <w:vAlign w:val="bottom"/>
            <w:tcBorders>
              <w:bottom w:val="single" w:sz="8" w:color="852166"/>
            </w:tcBorders>
            <w:shd w:val="clear" w:color="auto" w:fill="852166"/>
          </w:tcPr>
          <w:p>
            <w:pPr>
              <w:spacing w:after="0"/>
              <w:rPr>
                <w:sz w:val="20"/>
                <w:szCs w:val="20"/>
                <w:color w:val="auto"/>
              </w:rPr>
            </w:pPr>
          </w:p>
        </w:tc>
        <w:tc>
          <w:tcPr>
            <w:tcW w:w="1180" w:type="dxa"/>
            <w:vAlign w:val="bottom"/>
            <w:tcBorders>
              <w:bottom w:val="single" w:sz="8" w:color="852166"/>
            </w:tcBorders>
            <w:shd w:val="clear" w:color="auto" w:fill="852166"/>
          </w:tcPr>
          <w:p>
            <w:pPr>
              <w:jc w:val="right"/>
              <w:ind w:right="78"/>
              <w:spacing w:after="0" w:line="207"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8"/>
                <w:szCs w:val="8"/>
                <w:b w:val="1"/>
                <w:bCs w:val="1"/>
                <w:color w:val="FFFFFF"/>
              </w:rPr>
              <w:t>(3)</w:t>
            </w:r>
          </w:p>
        </w:tc>
        <w:tc>
          <w:tcPr>
            <w:tcW w:w="1240" w:type="dxa"/>
            <w:vAlign w:val="bottom"/>
            <w:tcBorders>
              <w:bottom w:val="single" w:sz="8" w:color="852166"/>
            </w:tcBorders>
            <w:shd w:val="clear" w:color="auto" w:fill="852166"/>
          </w:tcPr>
          <w:p>
            <w:pPr>
              <w:jc w:val="right"/>
              <w:spacing w:after="0"/>
              <w:rPr>
                <w:sz w:val="20"/>
                <w:szCs w:val="20"/>
                <w:color w:val="auto"/>
              </w:rPr>
            </w:pPr>
            <w:r>
              <w:rPr>
                <w:rFonts w:ascii="Arial" w:cs="Arial" w:eastAsia="Arial" w:hAnsi="Arial"/>
                <w:sz w:val="13"/>
                <w:szCs w:val="13"/>
                <w:b w:val="1"/>
                <w:bCs w:val="1"/>
                <w:color w:val="FFFFFF"/>
              </w:rPr>
              <w:t>(#)</w:t>
            </w:r>
          </w:p>
        </w:tc>
        <w:tc>
          <w:tcPr>
            <w:tcW w:w="260" w:type="dxa"/>
            <w:vAlign w:val="bottom"/>
            <w:tcBorders>
              <w:bottom w:val="single" w:sz="8" w:color="852166"/>
            </w:tcBorders>
            <w:shd w:val="clear" w:color="auto" w:fill="852166"/>
          </w:tcPr>
          <w:p>
            <w:pPr>
              <w:spacing w:after="0"/>
              <w:rPr>
                <w:sz w:val="20"/>
                <w:szCs w:val="20"/>
                <w:color w:val="auto"/>
              </w:rPr>
            </w:pPr>
          </w:p>
        </w:tc>
        <w:tc>
          <w:tcPr>
            <w:tcW w:w="1520" w:type="dxa"/>
            <w:vAlign w:val="bottom"/>
            <w:tcBorders>
              <w:bottom w:val="single" w:sz="8" w:color="852166"/>
            </w:tcBorders>
            <w:shd w:val="clear" w:color="auto" w:fill="852166"/>
          </w:tcPr>
          <w:p>
            <w:pPr>
              <w:jc w:val="right"/>
              <w:ind w:right="57"/>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(4)</w:t>
            </w: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20,125</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875</w:t>
            </w:r>
          </w:p>
        </w:tc>
        <w:tc>
          <w:tcPr>
            <w:tcW w:w="420" w:type="dxa"/>
            <w:vAlign w:val="bottom"/>
          </w:tcPr>
          <w:p>
            <w:pPr>
              <w:ind w:left="20"/>
              <w:spacing w:after="0"/>
              <w:rPr>
                <w:sz w:val="20"/>
                <w:szCs w:val="20"/>
                <w:color w:val="auto"/>
              </w:rPr>
            </w:pPr>
            <w:r>
              <w:rPr>
                <w:rFonts w:ascii="Arial" w:cs="Arial" w:eastAsia="Arial" w:hAnsi="Arial"/>
                <w:sz w:val="8"/>
                <w:szCs w:val="8"/>
                <w:color w:val="auto"/>
              </w:rPr>
              <w:t>(6)</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113.10</w:t>
            </w:r>
          </w:p>
        </w:tc>
        <w:tc>
          <w:tcPr>
            <w:tcW w:w="820" w:type="dxa"/>
            <w:vAlign w:val="bottom"/>
          </w:tcPr>
          <w:p>
            <w:pPr>
              <w:jc w:val="center"/>
              <w:ind w:right="37"/>
              <w:spacing w:after="0"/>
              <w:rPr>
                <w:sz w:val="20"/>
                <w:szCs w:val="20"/>
                <w:color w:val="auto"/>
              </w:rPr>
            </w:pPr>
            <w:r>
              <w:rPr>
                <w:rFonts w:ascii="Arial" w:cs="Arial" w:eastAsia="Arial" w:hAnsi="Arial"/>
                <w:sz w:val="13"/>
                <w:szCs w:val="13"/>
                <w:color w:val="auto"/>
                <w:w w:val="96"/>
              </w:rPr>
              <w:t>2/26/2030</w:t>
            </w:r>
          </w:p>
        </w:tc>
        <w:tc>
          <w:tcPr>
            <w:tcW w:w="1020" w:type="dxa"/>
            <w:vAlign w:val="bottom"/>
          </w:tcPr>
          <w:p>
            <w:pPr>
              <w:jc w:val="right"/>
              <w:spacing w:after="0"/>
              <w:rPr>
                <w:sz w:val="20"/>
                <w:szCs w:val="20"/>
                <w:color w:val="auto"/>
              </w:rPr>
            </w:pPr>
            <w:r>
              <w:rPr>
                <w:rFonts w:ascii="Arial" w:cs="Arial" w:eastAsia="Arial" w:hAnsi="Arial"/>
                <w:sz w:val="13"/>
                <w:szCs w:val="13"/>
                <w:color w:val="auto"/>
              </w:rPr>
              <w:t>9,419</w:t>
            </w:r>
          </w:p>
        </w:tc>
        <w:tc>
          <w:tcPr>
            <w:tcW w:w="260" w:type="dxa"/>
            <w:vAlign w:val="bottom"/>
          </w:tcPr>
          <w:p>
            <w:pPr>
              <w:spacing w:after="0"/>
              <w:rPr>
                <w:sz w:val="20"/>
                <w:szCs w:val="20"/>
                <w:color w:val="auto"/>
              </w:rPr>
            </w:pPr>
            <w:r>
              <w:rPr>
                <w:rFonts w:ascii="Arial" w:cs="Arial" w:eastAsia="Arial" w:hAnsi="Arial"/>
                <w:sz w:val="8"/>
                <w:szCs w:val="8"/>
                <w:color w:val="auto"/>
              </w:rPr>
              <w:t>(7)</w:t>
            </w:r>
          </w:p>
        </w:tc>
        <w:tc>
          <w:tcPr>
            <w:tcW w:w="1180" w:type="dxa"/>
            <w:vAlign w:val="bottom"/>
          </w:tcPr>
          <w:p>
            <w:pPr>
              <w:jc w:val="right"/>
              <w:ind w:right="78"/>
              <w:spacing w:after="0"/>
              <w:rPr>
                <w:sz w:val="20"/>
                <w:szCs w:val="20"/>
                <w:color w:val="auto"/>
              </w:rPr>
            </w:pPr>
            <w:r>
              <w:rPr>
                <w:rFonts w:ascii="Arial" w:cs="Arial" w:eastAsia="Arial" w:hAnsi="Arial"/>
                <w:sz w:val="13"/>
                <w:szCs w:val="13"/>
                <w:color w:val="auto"/>
              </w:rPr>
              <w:t>1,158,537</w:t>
            </w:r>
          </w:p>
        </w:tc>
        <w:tc>
          <w:tcPr>
            <w:tcW w:w="1240" w:type="dxa"/>
            <w:vAlign w:val="bottom"/>
          </w:tcPr>
          <w:p>
            <w:pPr>
              <w:jc w:val="right"/>
              <w:spacing w:after="0"/>
              <w:rPr>
                <w:sz w:val="20"/>
                <w:szCs w:val="20"/>
                <w:color w:val="auto"/>
              </w:rPr>
            </w:pPr>
            <w:r>
              <w:rPr>
                <w:rFonts w:ascii="Arial" w:cs="Arial" w:eastAsia="Arial" w:hAnsi="Arial"/>
                <w:sz w:val="13"/>
                <w:szCs w:val="13"/>
                <w:color w:val="auto"/>
              </w:rPr>
              <w:t>9,419</w:t>
            </w:r>
          </w:p>
        </w:tc>
        <w:tc>
          <w:tcPr>
            <w:tcW w:w="260" w:type="dxa"/>
            <w:vAlign w:val="bottom"/>
          </w:tcPr>
          <w:p>
            <w:pPr>
              <w:jc w:val="right"/>
              <w:ind w:right="59"/>
              <w:spacing w:after="0"/>
              <w:rPr>
                <w:sz w:val="20"/>
                <w:szCs w:val="20"/>
                <w:color w:val="auto"/>
              </w:rPr>
            </w:pPr>
            <w:r>
              <w:rPr>
                <w:rFonts w:ascii="Arial" w:cs="Arial" w:eastAsia="Arial" w:hAnsi="Arial"/>
                <w:sz w:val="8"/>
                <w:szCs w:val="8"/>
                <w:color w:val="auto"/>
                <w:w w:val="98"/>
              </w:rPr>
              <w:t>(12)</w:t>
            </w:r>
          </w:p>
        </w:tc>
        <w:tc>
          <w:tcPr>
            <w:tcW w:w="1520" w:type="dxa"/>
            <w:vAlign w:val="bottom"/>
          </w:tcPr>
          <w:p>
            <w:pPr>
              <w:jc w:val="right"/>
              <w:ind w:right="57"/>
              <w:spacing w:after="0"/>
              <w:rPr>
                <w:sz w:val="20"/>
                <w:szCs w:val="20"/>
                <w:color w:val="auto"/>
              </w:rPr>
            </w:pPr>
            <w:r>
              <w:rPr>
                <w:rFonts w:ascii="Arial" w:cs="Arial" w:eastAsia="Arial" w:hAnsi="Arial"/>
                <w:sz w:val="13"/>
                <w:szCs w:val="13"/>
                <w:color w:val="auto"/>
              </w:rPr>
              <w:t>1,158,537</w:t>
            </w: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30,000</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137.12</w:t>
            </w:r>
          </w:p>
        </w:tc>
        <w:tc>
          <w:tcPr>
            <w:tcW w:w="820" w:type="dxa"/>
            <w:vAlign w:val="bottom"/>
          </w:tcPr>
          <w:p>
            <w:pPr>
              <w:jc w:val="center"/>
              <w:ind w:right="17"/>
              <w:spacing w:after="0"/>
              <w:rPr>
                <w:sz w:val="20"/>
                <w:szCs w:val="20"/>
                <w:color w:val="auto"/>
              </w:rPr>
            </w:pPr>
            <w:r>
              <w:rPr>
                <w:rFonts w:ascii="Arial" w:cs="Arial" w:eastAsia="Arial" w:hAnsi="Arial"/>
                <w:sz w:val="13"/>
                <w:szCs w:val="13"/>
                <w:color w:val="auto"/>
                <w:w w:val="98"/>
              </w:rPr>
              <w:t>8/7/2029</w:t>
            </w:r>
          </w:p>
        </w:tc>
        <w:tc>
          <w:tcPr>
            <w:tcW w:w="1020" w:type="dxa"/>
            <w:vAlign w:val="bottom"/>
          </w:tcPr>
          <w:p>
            <w:pPr>
              <w:jc w:val="right"/>
              <w:spacing w:after="0"/>
              <w:rPr>
                <w:sz w:val="20"/>
                <w:szCs w:val="20"/>
                <w:color w:val="auto"/>
              </w:rPr>
            </w:pPr>
            <w:r>
              <w:rPr>
                <w:rFonts w:ascii="Arial" w:cs="Arial" w:eastAsia="Arial" w:hAnsi="Arial"/>
                <w:sz w:val="13"/>
                <w:szCs w:val="13"/>
                <w:color w:val="auto"/>
              </w:rPr>
              <w:t>6,664</w:t>
            </w:r>
          </w:p>
        </w:tc>
        <w:tc>
          <w:tcPr>
            <w:tcW w:w="260" w:type="dxa"/>
            <w:vAlign w:val="bottom"/>
          </w:tcPr>
          <w:p>
            <w:pPr>
              <w:spacing w:after="0"/>
              <w:rPr>
                <w:sz w:val="20"/>
                <w:szCs w:val="20"/>
                <w:color w:val="auto"/>
              </w:rPr>
            </w:pPr>
            <w:r>
              <w:rPr>
                <w:rFonts w:ascii="Arial" w:cs="Arial" w:eastAsia="Arial" w:hAnsi="Arial"/>
                <w:sz w:val="8"/>
                <w:szCs w:val="8"/>
                <w:color w:val="auto"/>
              </w:rPr>
              <w:t>(8)</w:t>
            </w:r>
          </w:p>
        </w:tc>
        <w:tc>
          <w:tcPr>
            <w:tcW w:w="1180" w:type="dxa"/>
            <w:vAlign w:val="bottom"/>
          </w:tcPr>
          <w:p>
            <w:pPr>
              <w:jc w:val="right"/>
              <w:ind w:right="78"/>
              <w:spacing w:after="0"/>
              <w:rPr>
                <w:sz w:val="20"/>
                <w:szCs w:val="20"/>
                <w:color w:val="auto"/>
              </w:rPr>
            </w:pPr>
            <w:r>
              <w:rPr>
                <w:rFonts w:ascii="Arial" w:cs="Arial" w:eastAsia="Arial" w:hAnsi="Arial"/>
                <w:sz w:val="13"/>
                <w:szCs w:val="13"/>
                <w:color w:val="auto"/>
              </w:rPr>
              <w:t>819,672</w:t>
            </w:r>
          </w:p>
        </w:tc>
        <w:tc>
          <w:tcPr>
            <w:tcW w:w="1240" w:type="dxa"/>
            <w:vAlign w:val="bottom"/>
          </w:tcPr>
          <w:p>
            <w:pPr>
              <w:jc w:val="right"/>
              <w:spacing w:after="0"/>
              <w:rPr>
                <w:sz w:val="20"/>
                <w:szCs w:val="20"/>
                <w:color w:val="auto"/>
              </w:rPr>
            </w:pPr>
            <w:r>
              <w:rPr>
                <w:rFonts w:ascii="Arial" w:cs="Arial" w:eastAsia="Arial" w:hAnsi="Arial"/>
                <w:sz w:val="13"/>
                <w:szCs w:val="13"/>
                <w:color w:val="auto"/>
              </w:rPr>
              <w:t>8,886</w:t>
            </w:r>
          </w:p>
        </w:tc>
        <w:tc>
          <w:tcPr>
            <w:tcW w:w="260" w:type="dxa"/>
            <w:vAlign w:val="bottom"/>
          </w:tcPr>
          <w:p>
            <w:pPr>
              <w:jc w:val="right"/>
              <w:ind w:right="59"/>
              <w:spacing w:after="0"/>
              <w:rPr>
                <w:sz w:val="20"/>
                <w:szCs w:val="20"/>
                <w:color w:val="auto"/>
              </w:rPr>
            </w:pPr>
            <w:r>
              <w:rPr>
                <w:rFonts w:ascii="Arial" w:cs="Arial" w:eastAsia="Arial" w:hAnsi="Arial"/>
                <w:sz w:val="8"/>
                <w:szCs w:val="8"/>
                <w:color w:val="auto"/>
                <w:w w:val="98"/>
              </w:rPr>
              <w:t>(13)</w:t>
            </w:r>
          </w:p>
        </w:tc>
        <w:tc>
          <w:tcPr>
            <w:tcW w:w="1520" w:type="dxa"/>
            <w:vAlign w:val="bottom"/>
          </w:tcPr>
          <w:p>
            <w:pPr>
              <w:jc w:val="right"/>
              <w:ind w:right="57"/>
              <w:spacing w:after="0"/>
              <w:rPr>
                <w:sz w:val="20"/>
                <w:szCs w:val="20"/>
                <w:color w:val="auto"/>
              </w:rPr>
            </w:pPr>
            <w:r>
              <w:rPr>
                <w:rFonts w:ascii="Arial" w:cs="Arial" w:eastAsia="Arial" w:hAnsi="Arial"/>
                <w:sz w:val="13"/>
                <w:szCs w:val="13"/>
                <w:color w:val="auto"/>
              </w:rPr>
              <w:t>1,092,978</w:t>
            </w: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1280" w:type="dxa"/>
            <w:vAlign w:val="bottom"/>
          </w:tcPr>
          <w:p>
            <w:pPr>
              <w:ind w:left="20"/>
              <w:spacing w:after="0"/>
              <w:rPr>
                <w:sz w:val="20"/>
                <w:szCs w:val="20"/>
                <w:color w:val="auto"/>
              </w:rPr>
            </w:pPr>
            <w:r>
              <w:rPr>
                <w:rFonts w:ascii="Arial" w:cs="Arial" w:eastAsia="Arial" w:hAnsi="Arial"/>
                <w:sz w:val="13"/>
                <w:szCs w:val="13"/>
                <w:b w:val="1"/>
                <w:bCs w:val="1"/>
                <w:color w:val="auto"/>
              </w:rPr>
              <w:t>Neena M. Patil</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6"/>
                <w:szCs w:val="16"/>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center"/>
              <w:ind w:right="37"/>
              <w:spacing w:after="0"/>
              <w:rPr>
                <w:sz w:val="20"/>
                <w:szCs w:val="20"/>
                <w:color w:val="auto"/>
              </w:rPr>
            </w:pPr>
            <w:r>
              <w:rPr>
                <w:rFonts w:ascii="Arial" w:cs="Arial" w:eastAsia="Arial" w:hAnsi="Arial"/>
                <w:sz w:val="13"/>
                <w:szCs w:val="13"/>
                <w:color w:val="auto"/>
                <w:w w:val="91"/>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5,087</w:t>
            </w:r>
          </w:p>
        </w:tc>
        <w:tc>
          <w:tcPr>
            <w:tcW w:w="260" w:type="dxa"/>
            <w:vAlign w:val="bottom"/>
          </w:tcPr>
          <w:p>
            <w:pPr>
              <w:spacing w:after="0"/>
              <w:rPr>
                <w:sz w:val="20"/>
                <w:szCs w:val="20"/>
                <w:color w:val="auto"/>
              </w:rPr>
            </w:pPr>
            <w:r>
              <w:rPr>
                <w:rFonts w:ascii="Arial" w:cs="Arial" w:eastAsia="Arial" w:hAnsi="Arial"/>
                <w:sz w:val="8"/>
                <w:szCs w:val="8"/>
                <w:color w:val="auto"/>
              </w:rPr>
              <w:t>(9)</w:t>
            </w:r>
          </w:p>
        </w:tc>
        <w:tc>
          <w:tcPr>
            <w:tcW w:w="1180" w:type="dxa"/>
            <w:vAlign w:val="bottom"/>
          </w:tcPr>
          <w:p>
            <w:pPr>
              <w:jc w:val="right"/>
              <w:ind w:right="78"/>
              <w:spacing w:after="0"/>
              <w:rPr>
                <w:sz w:val="20"/>
                <w:szCs w:val="20"/>
                <w:color w:val="auto"/>
              </w:rPr>
            </w:pPr>
            <w:r>
              <w:rPr>
                <w:rFonts w:ascii="Arial" w:cs="Arial" w:eastAsia="Arial" w:hAnsi="Arial"/>
                <w:sz w:val="13"/>
                <w:szCs w:val="13"/>
                <w:color w:val="auto"/>
              </w:rPr>
              <w:t>625,701</w:t>
            </w: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15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9"/>
        </w:trPr>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center"/>
              <w:ind w:right="37"/>
              <w:spacing w:after="0"/>
              <w:rPr>
                <w:sz w:val="20"/>
                <w:szCs w:val="20"/>
                <w:color w:val="auto"/>
              </w:rPr>
            </w:pPr>
            <w:r>
              <w:rPr>
                <w:rFonts w:ascii="Arial" w:cs="Arial" w:eastAsia="Arial" w:hAnsi="Arial"/>
                <w:sz w:val="13"/>
                <w:szCs w:val="13"/>
                <w:color w:val="auto"/>
                <w:w w:val="91"/>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3,634</w:t>
            </w:r>
          </w:p>
        </w:tc>
        <w:tc>
          <w:tcPr>
            <w:tcW w:w="260" w:type="dxa"/>
            <w:vAlign w:val="bottom"/>
          </w:tcPr>
          <w:p>
            <w:pPr>
              <w:spacing w:after="0"/>
              <w:rPr>
                <w:sz w:val="20"/>
                <w:szCs w:val="20"/>
                <w:color w:val="auto"/>
              </w:rPr>
            </w:pPr>
            <w:r>
              <w:rPr>
                <w:rFonts w:ascii="Arial" w:cs="Arial" w:eastAsia="Arial" w:hAnsi="Arial"/>
                <w:sz w:val="8"/>
                <w:szCs w:val="8"/>
                <w:color w:val="auto"/>
              </w:rPr>
              <w:t>(10)</w:t>
            </w:r>
          </w:p>
        </w:tc>
        <w:tc>
          <w:tcPr>
            <w:tcW w:w="1180" w:type="dxa"/>
            <w:vAlign w:val="bottom"/>
          </w:tcPr>
          <w:p>
            <w:pPr>
              <w:jc w:val="right"/>
              <w:ind w:right="78"/>
              <w:spacing w:after="0"/>
              <w:rPr>
                <w:sz w:val="20"/>
                <w:szCs w:val="20"/>
                <w:color w:val="auto"/>
              </w:rPr>
            </w:pPr>
            <w:r>
              <w:rPr>
                <w:rFonts w:ascii="Arial" w:cs="Arial" w:eastAsia="Arial" w:hAnsi="Arial"/>
                <w:sz w:val="13"/>
                <w:szCs w:val="13"/>
                <w:color w:val="auto"/>
              </w:rPr>
              <w:t>446,982</w:t>
            </w: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5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center"/>
              <w:ind w:right="37"/>
              <w:spacing w:after="0"/>
              <w:rPr>
                <w:sz w:val="20"/>
                <w:szCs w:val="20"/>
                <w:color w:val="auto"/>
              </w:rPr>
            </w:pPr>
            <w:r>
              <w:rPr>
                <w:rFonts w:ascii="Arial" w:cs="Arial" w:eastAsia="Arial" w:hAnsi="Arial"/>
                <w:sz w:val="13"/>
                <w:szCs w:val="13"/>
                <w:color w:val="auto"/>
                <w:w w:val="91"/>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2,100</w:t>
            </w:r>
          </w:p>
        </w:tc>
        <w:tc>
          <w:tcPr>
            <w:tcW w:w="260" w:type="dxa"/>
            <w:vAlign w:val="bottom"/>
          </w:tcPr>
          <w:p>
            <w:pPr>
              <w:spacing w:after="0"/>
              <w:rPr>
                <w:sz w:val="20"/>
                <w:szCs w:val="20"/>
                <w:color w:val="auto"/>
              </w:rPr>
            </w:pPr>
            <w:r>
              <w:rPr>
                <w:rFonts w:ascii="Arial" w:cs="Arial" w:eastAsia="Arial" w:hAnsi="Arial"/>
                <w:sz w:val="8"/>
                <w:szCs w:val="8"/>
                <w:color w:val="auto"/>
              </w:rPr>
              <w:t>(11)</w:t>
            </w:r>
          </w:p>
        </w:tc>
        <w:tc>
          <w:tcPr>
            <w:tcW w:w="1180" w:type="dxa"/>
            <w:vAlign w:val="bottom"/>
          </w:tcPr>
          <w:p>
            <w:pPr>
              <w:jc w:val="right"/>
              <w:ind w:right="78"/>
              <w:spacing w:after="0"/>
              <w:rPr>
                <w:sz w:val="20"/>
                <w:szCs w:val="20"/>
                <w:color w:val="auto"/>
              </w:rPr>
            </w:pPr>
            <w:r>
              <w:rPr>
                <w:rFonts w:ascii="Arial" w:cs="Arial" w:eastAsia="Arial" w:hAnsi="Arial"/>
                <w:sz w:val="13"/>
                <w:szCs w:val="13"/>
                <w:color w:val="auto"/>
              </w:rPr>
              <w:t>258,300</w:t>
            </w: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5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80" w:type="dxa"/>
            <w:vAlign w:val="bottom"/>
            <w:tcBorders>
              <w:bottom w:val="single" w:sz="8" w:color="EAEAEA"/>
            </w:tcBorders>
            <w:shd w:val="clear" w:color="auto" w:fill="EAEAEA"/>
          </w:tcPr>
          <w:p>
            <w:pPr>
              <w:spacing w:after="0"/>
              <w:rPr>
                <w:sz w:val="22"/>
                <w:szCs w:val="22"/>
                <w:color w:val="auto"/>
              </w:rPr>
            </w:pPr>
          </w:p>
        </w:tc>
        <w:tc>
          <w:tcPr>
            <w:tcW w:w="1280" w:type="dxa"/>
            <w:vAlign w:val="bottom"/>
            <w:tcBorders>
              <w:bottom w:val="single" w:sz="8" w:color="EAEAEA"/>
            </w:tcBorders>
            <w:shd w:val="clear" w:color="auto" w:fill="EAEAEA"/>
          </w:tcPr>
          <w:p>
            <w:pPr>
              <w:spacing w:after="0"/>
              <w:rPr>
                <w:sz w:val="22"/>
                <w:szCs w:val="22"/>
                <w:color w:val="auto"/>
              </w:rPr>
            </w:pPr>
          </w:p>
        </w:tc>
        <w:tc>
          <w:tcPr>
            <w:tcW w:w="10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24,724</w:t>
            </w:r>
          </w:p>
        </w:tc>
        <w:tc>
          <w:tcPr>
            <w:tcW w:w="1400" w:type="dxa"/>
            <w:vAlign w:val="bottom"/>
            <w:tcBorders>
              <w:bottom w:val="single" w:sz="8" w:color="EAEAEA"/>
            </w:tcBorders>
            <w:gridSpan w:val="2"/>
            <w:shd w:val="clear" w:color="auto" w:fill="EAEAEA"/>
          </w:tcPr>
          <w:p>
            <w:pPr>
              <w:jc w:val="right"/>
              <w:spacing w:after="0"/>
              <w:rPr>
                <w:sz w:val="20"/>
                <w:szCs w:val="20"/>
                <w:color w:val="auto"/>
              </w:rPr>
            </w:pPr>
            <w:r>
              <w:rPr>
                <w:rFonts w:ascii="Arial" w:cs="Arial" w:eastAsia="Arial" w:hAnsi="Arial"/>
                <w:sz w:val="13"/>
                <w:szCs w:val="13"/>
                <w:color w:val="auto"/>
              </w:rPr>
              <w:t>1,385</w:t>
            </w:r>
          </w:p>
        </w:tc>
        <w:tc>
          <w:tcPr>
            <w:tcW w:w="42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8"/>
                <w:szCs w:val="8"/>
                <w:color w:val="auto"/>
              </w:rPr>
              <w:t>(6)</w:t>
            </w:r>
          </w:p>
        </w:tc>
        <w:tc>
          <w:tcPr>
            <w:tcW w:w="740" w:type="dxa"/>
            <w:vAlign w:val="bottom"/>
            <w:tcBorders>
              <w:bottom w:val="single" w:sz="8" w:color="EAEAEA"/>
            </w:tcBorders>
            <w:shd w:val="clear" w:color="auto" w:fill="EAEAEA"/>
          </w:tcPr>
          <w:p>
            <w:pPr>
              <w:jc w:val="right"/>
              <w:ind w:right="17"/>
              <w:spacing w:after="0"/>
              <w:rPr>
                <w:sz w:val="20"/>
                <w:szCs w:val="20"/>
                <w:color w:val="auto"/>
              </w:rPr>
            </w:pPr>
            <w:r>
              <w:rPr>
                <w:rFonts w:ascii="Arial" w:cs="Arial" w:eastAsia="Arial" w:hAnsi="Arial"/>
                <w:sz w:val="13"/>
                <w:szCs w:val="13"/>
                <w:color w:val="auto"/>
              </w:rPr>
              <w:t>113.10</w:t>
            </w:r>
          </w:p>
        </w:tc>
        <w:tc>
          <w:tcPr>
            <w:tcW w:w="820" w:type="dxa"/>
            <w:vAlign w:val="bottom"/>
            <w:tcBorders>
              <w:bottom w:val="single" w:sz="8" w:color="EAEAEA"/>
            </w:tcBorders>
            <w:shd w:val="clear" w:color="auto" w:fill="EAEAEA"/>
          </w:tcPr>
          <w:p>
            <w:pPr>
              <w:jc w:val="center"/>
              <w:ind w:right="37"/>
              <w:spacing w:after="0"/>
              <w:rPr>
                <w:sz w:val="20"/>
                <w:szCs w:val="20"/>
                <w:color w:val="auto"/>
              </w:rPr>
            </w:pPr>
            <w:r>
              <w:rPr>
                <w:rFonts w:ascii="Arial" w:cs="Arial" w:eastAsia="Arial" w:hAnsi="Arial"/>
                <w:sz w:val="13"/>
                <w:szCs w:val="13"/>
                <w:color w:val="auto"/>
                <w:w w:val="96"/>
              </w:rPr>
              <w:t>2/26/2030</w:t>
            </w:r>
          </w:p>
        </w:tc>
        <w:tc>
          <w:tcPr>
            <w:tcW w:w="10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13,456</w:t>
            </w:r>
          </w:p>
        </w:tc>
        <w:tc>
          <w:tcPr>
            <w:tcW w:w="260" w:type="dxa"/>
            <w:vAlign w:val="bottom"/>
            <w:tcBorders>
              <w:bottom w:val="single" w:sz="8" w:color="EAEAEA"/>
            </w:tcBorders>
            <w:shd w:val="clear" w:color="auto" w:fill="EAEAEA"/>
          </w:tcPr>
          <w:p>
            <w:pPr>
              <w:spacing w:after="0"/>
              <w:rPr>
                <w:sz w:val="20"/>
                <w:szCs w:val="20"/>
                <w:color w:val="auto"/>
              </w:rPr>
            </w:pPr>
            <w:r>
              <w:rPr>
                <w:rFonts w:ascii="Arial" w:cs="Arial" w:eastAsia="Arial" w:hAnsi="Arial"/>
                <w:sz w:val="8"/>
                <w:szCs w:val="8"/>
                <w:color w:val="auto"/>
              </w:rPr>
              <w:t>(7)</w:t>
            </w:r>
          </w:p>
        </w:tc>
        <w:tc>
          <w:tcPr>
            <w:tcW w:w="1180" w:type="dxa"/>
            <w:vAlign w:val="bottom"/>
            <w:tcBorders>
              <w:bottom w:val="single" w:sz="8" w:color="EAEAEA"/>
            </w:tcBorders>
            <w:shd w:val="clear" w:color="auto" w:fill="EAEAEA"/>
          </w:tcPr>
          <w:p>
            <w:pPr>
              <w:jc w:val="right"/>
              <w:ind w:right="78"/>
              <w:spacing w:after="0"/>
              <w:rPr>
                <w:sz w:val="20"/>
                <w:szCs w:val="20"/>
                <w:color w:val="auto"/>
              </w:rPr>
            </w:pPr>
            <w:r>
              <w:rPr>
                <w:rFonts w:ascii="Arial" w:cs="Arial" w:eastAsia="Arial" w:hAnsi="Arial"/>
                <w:sz w:val="13"/>
                <w:szCs w:val="13"/>
                <w:color w:val="auto"/>
              </w:rPr>
              <w:t>1,655,088</w:t>
            </w:r>
          </w:p>
        </w:tc>
        <w:tc>
          <w:tcPr>
            <w:tcW w:w="12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13,456</w:t>
            </w:r>
          </w:p>
        </w:tc>
        <w:tc>
          <w:tcPr>
            <w:tcW w:w="260" w:type="dxa"/>
            <w:vAlign w:val="bottom"/>
            <w:tcBorders>
              <w:bottom w:val="single" w:sz="8" w:color="EAEAEA"/>
            </w:tcBorders>
            <w:shd w:val="clear" w:color="auto" w:fill="EAEAEA"/>
          </w:tcPr>
          <w:p>
            <w:pPr>
              <w:jc w:val="right"/>
              <w:ind w:right="59"/>
              <w:spacing w:after="0"/>
              <w:rPr>
                <w:sz w:val="20"/>
                <w:szCs w:val="20"/>
                <w:color w:val="auto"/>
              </w:rPr>
            </w:pPr>
            <w:r>
              <w:rPr>
                <w:rFonts w:ascii="Arial" w:cs="Arial" w:eastAsia="Arial" w:hAnsi="Arial"/>
                <w:sz w:val="8"/>
                <w:szCs w:val="8"/>
                <w:color w:val="auto"/>
                <w:w w:val="98"/>
              </w:rPr>
              <w:t>(12)</w:t>
            </w:r>
          </w:p>
        </w:tc>
        <w:tc>
          <w:tcPr>
            <w:tcW w:w="1520" w:type="dxa"/>
            <w:vAlign w:val="bottom"/>
            <w:tcBorders>
              <w:bottom w:val="single" w:sz="8" w:color="EAEAEA"/>
            </w:tcBorders>
            <w:shd w:val="clear" w:color="auto" w:fill="EAEAEA"/>
          </w:tcPr>
          <w:p>
            <w:pPr>
              <w:jc w:val="right"/>
              <w:ind w:right="57"/>
              <w:spacing w:after="0"/>
              <w:rPr>
                <w:sz w:val="20"/>
                <w:szCs w:val="20"/>
                <w:color w:val="auto"/>
              </w:rPr>
            </w:pPr>
            <w:r>
              <w:rPr>
                <w:rFonts w:ascii="Arial" w:cs="Arial" w:eastAsia="Arial" w:hAnsi="Arial"/>
                <w:sz w:val="13"/>
                <w:szCs w:val="13"/>
                <w:color w:val="auto"/>
              </w:rPr>
              <w:t>1,655,088</w:t>
            </w:r>
          </w:p>
        </w:tc>
        <w:tc>
          <w:tcPr>
            <w:tcW w:w="0" w:type="dxa"/>
            <w:vAlign w:val="bottom"/>
          </w:tcPr>
          <w:p>
            <w:pPr>
              <w:spacing w:after="0"/>
              <w:rPr>
                <w:sz w:val="1"/>
                <w:szCs w:val="1"/>
                <w:color w:val="auto"/>
              </w:rPr>
            </w:pPr>
          </w:p>
        </w:tc>
      </w:tr>
      <w:tr>
        <w:trPr>
          <w:trHeight w:val="242"/>
        </w:trPr>
        <w:tc>
          <w:tcPr>
            <w:tcW w:w="80" w:type="dxa"/>
            <w:vAlign w:val="bottom"/>
            <w:tcBorders>
              <w:top w:val="single" w:sz="8" w:color="EAEAEA"/>
              <w:bottom w:val="single" w:sz="8" w:color="EAEAEA"/>
            </w:tcBorders>
            <w:shd w:val="clear" w:color="auto" w:fill="EAEAEA"/>
          </w:tcPr>
          <w:p>
            <w:pPr>
              <w:spacing w:after="0"/>
              <w:rPr>
                <w:sz w:val="20"/>
                <w:szCs w:val="20"/>
                <w:color w:val="auto"/>
              </w:rPr>
            </w:pPr>
          </w:p>
        </w:tc>
        <w:tc>
          <w:tcPr>
            <w:tcW w:w="1280" w:type="dxa"/>
            <w:vAlign w:val="bottom"/>
            <w:tcBorders>
              <w:top w:val="single" w:sz="8" w:color="EAEAEA"/>
              <w:bottom w:val="single" w:sz="8" w:color="EAEAEA"/>
            </w:tcBorders>
            <w:shd w:val="clear" w:color="auto" w:fill="EAEAEA"/>
          </w:tcPr>
          <w:p>
            <w:pPr>
              <w:spacing w:after="0"/>
              <w:rPr>
                <w:sz w:val="20"/>
                <w:szCs w:val="20"/>
                <w:color w:val="auto"/>
              </w:rPr>
            </w:pPr>
          </w:p>
        </w:tc>
        <w:tc>
          <w:tcPr>
            <w:tcW w:w="10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19,366</w:t>
            </w:r>
          </w:p>
        </w:tc>
        <w:tc>
          <w:tcPr>
            <w:tcW w:w="260" w:type="dxa"/>
            <w:vAlign w:val="bottom"/>
            <w:tcBorders>
              <w:top w:val="single" w:sz="8" w:color="auto"/>
              <w:bottom w:val="single" w:sz="8" w:color="EAEAEA"/>
            </w:tcBorders>
            <w:shd w:val="clear" w:color="auto" w:fill="EAEAEA"/>
          </w:tcPr>
          <w:p>
            <w:pPr>
              <w:spacing w:after="0"/>
              <w:rPr>
                <w:sz w:val="20"/>
                <w:szCs w:val="20"/>
                <w:color w:val="auto"/>
              </w:rPr>
            </w:pPr>
          </w:p>
        </w:tc>
        <w:tc>
          <w:tcPr>
            <w:tcW w:w="11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auto"/>
              <w:bottom w:val="single" w:sz="8" w:color="EAEAEA"/>
            </w:tcBorders>
            <w:shd w:val="clear" w:color="auto" w:fill="EAEAEA"/>
          </w:tcPr>
          <w:p>
            <w:pPr>
              <w:spacing w:after="0"/>
              <w:rPr>
                <w:sz w:val="20"/>
                <w:szCs w:val="20"/>
                <w:color w:val="auto"/>
              </w:rPr>
            </w:pPr>
          </w:p>
        </w:tc>
        <w:tc>
          <w:tcPr>
            <w:tcW w:w="740" w:type="dxa"/>
            <w:vAlign w:val="bottom"/>
            <w:tcBorders>
              <w:top w:val="single" w:sz="8" w:color="auto"/>
              <w:bottom w:val="single" w:sz="8" w:color="EAEAEA"/>
            </w:tcBorders>
            <w:shd w:val="clear" w:color="auto" w:fill="EAEAEA"/>
          </w:tcPr>
          <w:p>
            <w:pPr>
              <w:jc w:val="right"/>
              <w:ind w:right="17"/>
              <w:spacing w:after="0"/>
              <w:rPr>
                <w:sz w:val="20"/>
                <w:szCs w:val="20"/>
                <w:color w:val="auto"/>
              </w:rPr>
            </w:pPr>
            <w:r>
              <w:rPr>
                <w:rFonts w:ascii="Arial" w:cs="Arial" w:eastAsia="Arial" w:hAnsi="Arial"/>
                <w:sz w:val="13"/>
                <w:szCs w:val="13"/>
                <w:color w:val="auto"/>
              </w:rPr>
              <w:t>140.03</w:t>
            </w:r>
          </w:p>
        </w:tc>
        <w:tc>
          <w:tcPr>
            <w:tcW w:w="820" w:type="dxa"/>
            <w:vAlign w:val="bottom"/>
            <w:tcBorders>
              <w:top w:val="single" w:sz="8" w:color="auto"/>
              <w:bottom w:val="single" w:sz="8" w:color="EAEAEA"/>
            </w:tcBorders>
            <w:shd w:val="clear" w:color="auto" w:fill="EAEAEA"/>
          </w:tcPr>
          <w:p>
            <w:pPr>
              <w:jc w:val="center"/>
              <w:ind w:right="37"/>
              <w:spacing w:after="0"/>
              <w:rPr>
                <w:sz w:val="20"/>
                <w:szCs w:val="20"/>
                <w:color w:val="auto"/>
              </w:rPr>
            </w:pPr>
            <w:r>
              <w:rPr>
                <w:rFonts w:ascii="Arial" w:cs="Arial" w:eastAsia="Arial" w:hAnsi="Arial"/>
                <w:sz w:val="13"/>
                <w:szCs w:val="13"/>
                <w:color w:val="auto"/>
                <w:w w:val="96"/>
              </w:rPr>
              <w:t>2/27/2029</w:t>
            </w:r>
          </w:p>
        </w:tc>
        <w:tc>
          <w:tcPr>
            <w:tcW w:w="10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10,130</w:t>
            </w:r>
          </w:p>
        </w:tc>
        <w:tc>
          <w:tcPr>
            <w:tcW w:w="260" w:type="dxa"/>
            <w:vAlign w:val="bottom"/>
            <w:tcBorders>
              <w:top w:val="single" w:sz="8" w:color="auto"/>
              <w:bottom w:val="single" w:sz="8" w:color="EAEAEA"/>
            </w:tcBorders>
            <w:shd w:val="clear" w:color="auto" w:fill="EAEAEA"/>
          </w:tcPr>
          <w:p>
            <w:pPr>
              <w:spacing w:after="0"/>
              <w:rPr>
                <w:sz w:val="20"/>
                <w:szCs w:val="20"/>
                <w:color w:val="auto"/>
              </w:rPr>
            </w:pPr>
            <w:r>
              <w:rPr>
                <w:rFonts w:ascii="Arial" w:cs="Arial" w:eastAsia="Arial" w:hAnsi="Arial"/>
                <w:sz w:val="8"/>
                <w:szCs w:val="8"/>
                <w:color w:val="auto"/>
              </w:rPr>
              <w:t>(8)</w:t>
            </w:r>
          </w:p>
        </w:tc>
        <w:tc>
          <w:tcPr>
            <w:tcW w:w="1180" w:type="dxa"/>
            <w:vAlign w:val="bottom"/>
            <w:tcBorders>
              <w:top w:val="single" w:sz="8" w:color="auto"/>
              <w:bottom w:val="single" w:sz="8" w:color="EAEAEA"/>
            </w:tcBorders>
            <w:shd w:val="clear" w:color="auto" w:fill="EAEAEA"/>
          </w:tcPr>
          <w:p>
            <w:pPr>
              <w:jc w:val="right"/>
              <w:ind w:right="78"/>
              <w:spacing w:after="0"/>
              <w:rPr>
                <w:sz w:val="20"/>
                <w:szCs w:val="20"/>
                <w:color w:val="auto"/>
              </w:rPr>
            </w:pPr>
            <w:r>
              <w:rPr>
                <w:rFonts w:ascii="Arial" w:cs="Arial" w:eastAsia="Arial" w:hAnsi="Arial"/>
                <w:sz w:val="13"/>
                <w:szCs w:val="13"/>
                <w:color w:val="auto"/>
              </w:rPr>
              <w:t>1,245,990</w:t>
            </w:r>
          </w:p>
        </w:tc>
        <w:tc>
          <w:tcPr>
            <w:tcW w:w="12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13,507</w:t>
            </w:r>
          </w:p>
        </w:tc>
        <w:tc>
          <w:tcPr>
            <w:tcW w:w="260" w:type="dxa"/>
            <w:vAlign w:val="bottom"/>
            <w:tcBorders>
              <w:top w:val="single" w:sz="8" w:color="auto"/>
              <w:bottom w:val="single" w:sz="8" w:color="EAEAEA"/>
            </w:tcBorders>
            <w:shd w:val="clear" w:color="auto" w:fill="EAEAEA"/>
          </w:tcPr>
          <w:p>
            <w:pPr>
              <w:jc w:val="right"/>
              <w:ind w:right="59"/>
              <w:spacing w:after="0"/>
              <w:rPr>
                <w:sz w:val="20"/>
                <w:szCs w:val="20"/>
                <w:color w:val="auto"/>
              </w:rPr>
            </w:pPr>
            <w:r>
              <w:rPr>
                <w:rFonts w:ascii="Arial" w:cs="Arial" w:eastAsia="Arial" w:hAnsi="Arial"/>
                <w:sz w:val="8"/>
                <w:szCs w:val="8"/>
                <w:color w:val="auto"/>
                <w:w w:val="98"/>
              </w:rPr>
              <w:t>(13)</w:t>
            </w:r>
          </w:p>
        </w:tc>
        <w:tc>
          <w:tcPr>
            <w:tcW w:w="1520" w:type="dxa"/>
            <w:vAlign w:val="bottom"/>
            <w:tcBorders>
              <w:top w:val="single" w:sz="8" w:color="auto"/>
              <w:bottom w:val="single" w:sz="8" w:color="EAEAEA"/>
            </w:tcBorders>
            <w:shd w:val="clear" w:color="auto" w:fill="EAEAEA"/>
          </w:tcPr>
          <w:p>
            <w:pPr>
              <w:jc w:val="right"/>
              <w:ind w:right="57"/>
              <w:spacing w:after="0"/>
              <w:rPr>
                <w:sz w:val="20"/>
                <w:szCs w:val="20"/>
                <w:color w:val="auto"/>
              </w:rPr>
            </w:pPr>
            <w:r>
              <w:rPr>
                <w:rFonts w:ascii="Arial" w:cs="Arial" w:eastAsia="Arial" w:hAnsi="Arial"/>
                <w:sz w:val="13"/>
                <w:szCs w:val="13"/>
                <w:color w:val="auto"/>
              </w:rPr>
              <w:t>1,661,361</w:t>
            </w:r>
          </w:p>
        </w:tc>
        <w:tc>
          <w:tcPr>
            <w:tcW w:w="0" w:type="dxa"/>
            <w:vAlign w:val="bottom"/>
          </w:tcPr>
          <w:p>
            <w:pPr>
              <w:spacing w:after="0"/>
              <w:rPr>
                <w:sz w:val="1"/>
                <w:szCs w:val="1"/>
                <w:color w:val="auto"/>
              </w:rPr>
            </w:pPr>
          </w:p>
        </w:tc>
      </w:tr>
      <w:tr>
        <w:trPr>
          <w:trHeight w:val="84"/>
        </w:trPr>
        <w:tc>
          <w:tcPr>
            <w:tcW w:w="80" w:type="dxa"/>
            <w:vAlign w:val="bottom"/>
            <w:tcBorders>
              <w:top w:val="single" w:sz="8" w:color="EAEAEA"/>
            </w:tcBorders>
            <w:shd w:val="clear" w:color="auto" w:fill="EAEAEA"/>
          </w:tcPr>
          <w:p>
            <w:pPr>
              <w:spacing w:after="0"/>
              <w:rPr>
                <w:sz w:val="7"/>
                <w:szCs w:val="7"/>
                <w:color w:val="auto"/>
              </w:rPr>
            </w:pPr>
          </w:p>
        </w:tc>
        <w:tc>
          <w:tcPr>
            <w:tcW w:w="1280" w:type="dxa"/>
            <w:vAlign w:val="bottom"/>
            <w:tcBorders>
              <w:top w:val="single" w:sz="8" w:color="EAEAEA"/>
            </w:tcBorders>
            <w:shd w:val="clear" w:color="auto" w:fill="EAEAEA"/>
          </w:tcPr>
          <w:p>
            <w:pPr>
              <w:ind w:left="20"/>
              <w:spacing w:after="0" w:line="84" w:lineRule="exact"/>
              <w:rPr>
                <w:sz w:val="20"/>
                <w:szCs w:val="20"/>
                <w:color w:val="auto"/>
              </w:rPr>
            </w:pPr>
            <w:r>
              <w:rPr>
                <w:rFonts w:ascii="Arial" w:cs="Arial" w:eastAsia="Arial" w:hAnsi="Arial"/>
                <w:sz w:val="9"/>
                <w:szCs w:val="9"/>
                <w:b w:val="1"/>
                <w:bCs w:val="1"/>
                <w:color w:val="auto"/>
              </w:rPr>
              <w:t>Daniel N. Swisher,</w:t>
            </w:r>
          </w:p>
        </w:tc>
        <w:tc>
          <w:tcPr>
            <w:tcW w:w="102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3"/>
                <w:szCs w:val="13"/>
                <w:color w:val="auto"/>
              </w:rPr>
              <w:t>22,731</w:t>
            </w:r>
          </w:p>
        </w:tc>
        <w:tc>
          <w:tcPr>
            <w:tcW w:w="260" w:type="dxa"/>
            <w:vAlign w:val="bottom"/>
            <w:tcBorders>
              <w:top w:val="single" w:sz="8" w:color="auto"/>
            </w:tcBorders>
            <w:shd w:val="clear" w:color="auto" w:fill="EAEAEA"/>
          </w:tcPr>
          <w:p>
            <w:pPr>
              <w:spacing w:after="0"/>
              <w:rPr>
                <w:sz w:val="7"/>
                <w:szCs w:val="7"/>
                <w:color w:val="auto"/>
              </w:rPr>
            </w:pPr>
          </w:p>
        </w:tc>
        <w:tc>
          <w:tcPr>
            <w:tcW w:w="114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auto"/>
            </w:tcBorders>
            <w:shd w:val="clear" w:color="auto" w:fill="EAEAEA"/>
          </w:tcPr>
          <w:p>
            <w:pPr>
              <w:spacing w:after="0"/>
              <w:rPr>
                <w:sz w:val="7"/>
                <w:szCs w:val="7"/>
                <w:color w:val="auto"/>
              </w:rPr>
            </w:pPr>
          </w:p>
        </w:tc>
        <w:tc>
          <w:tcPr>
            <w:tcW w:w="740" w:type="dxa"/>
            <w:vAlign w:val="bottom"/>
            <w:tcBorders>
              <w:top w:val="single" w:sz="8" w:color="auto"/>
            </w:tcBorders>
            <w:vMerge w:val="restart"/>
            <w:shd w:val="clear" w:color="auto" w:fill="EAEAEA"/>
          </w:tcPr>
          <w:p>
            <w:pPr>
              <w:jc w:val="right"/>
              <w:ind w:right="17"/>
              <w:spacing w:after="0"/>
              <w:rPr>
                <w:sz w:val="20"/>
                <w:szCs w:val="20"/>
                <w:color w:val="auto"/>
              </w:rPr>
            </w:pPr>
            <w:r>
              <w:rPr>
                <w:rFonts w:ascii="Arial" w:cs="Arial" w:eastAsia="Arial" w:hAnsi="Arial"/>
                <w:sz w:val="13"/>
                <w:szCs w:val="13"/>
                <w:color w:val="auto"/>
              </w:rPr>
              <w:t>140.67</w:t>
            </w:r>
          </w:p>
        </w:tc>
        <w:tc>
          <w:tcPr>
            <w:tcW w:w="820" w:type="dxa"/>
            <w:vAlign w:val="bottom"/>
            <w:tcBorders>
              <w:top w:val="single" w:sz="8" w:color="auto"/>
            </w:tcBorders>
            <w:vMerge w:val="restart"/>
            <w:shd w:val="clear" w:color="auto" w:fill="EAEAEA"/>
          </w:tcPr>
          <w:p>
            <w:pPr>
              <w:jc w:val="center"/>
              <w:ind w:right="37"/>
              <w:spacing w:after="0"/>
              <w:rPr>
                <w:sz w:val="20"/>
                <w:szCs w:val="20"/>
                <w:color w:val="auto"/>
              </w:rPr>
            </w:pPr>
            <w:r>
              <w:rPr>
                <w:rFonts w:ascii="Arial" w:cs="Arial" w:eastAsia="Arial" w:hAnsi="Arial"/>
                <w:sz w:val="13"/>
                <w:szCs w:val="13"/>
                <w:color w:val="auto"/>
                <w:w w:val="96"/>
              </w:rPr>
              <w:t>2/29/2028</w:t>
            </w:r>
          </w:p>
        </w:tc>
        <w:tc>
          <w:tcPr>
            <w:tcW w:w="102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3"/>
                <w:szCs w:val="13"/>
                <w:color w:val="auto"/>
              </w:rPr>
              <w:t>7,949</w:t>
            </w:r>
          </w:p>
        </w:tc>
        <w:tc>
          <w:tcPr>
            <w:tcW w:w="260" w:type="dxa"/>
            <w:vAlign w:val="bottom"/>
            <w:tcBorders>
              <w:top w:val="single" w:sz="8" w:color="auto"/>
            </w:tcBorders>
            <w:shd w:val="clear" w:color="auto" w:fill="EAEAEA"/>
          </w:tcPr>
          <w:p>
            <w:pPr>
              <w:spacing w:after="0" w:line="84" w:lineRule="exact"/>
              <w:rPr>
                <w:sz w:val="20"/>
                <w:szCs w:val="20"/>
                <w:color w:val="auto"/>
              </w:rPr>
            </w:pPr>
            <w:r>
              <w:rPr>
                <w:rFonts w:ascii="Arial" w:cs="Arial" w:eastAsia="Arial" w:hAnsi="Arial"/>
                <w:sz w:val="8"/>
                <w:szCs w:val="8"/>
                <w:color w:val="auto"/>
              </w:rPr>
              <w:t>(9)</w:t>
            </w:r>
          </w:p>
        </w:tc>
        <w:tc>
          <w:tcPr>
            <w:tcW w:w="1180" w:type="dxa"/>
            <w:vAlign w:val="bottom"/>
            <w:tcBorders>
              <w:top w:val="single" w:sz="8" w:color="auto"/>
            </w:tcBorders>
            <w:vMerge w:val="restart"/>
            <w:shd w:val="clear" w:color="auto" w:fill="EAEAEA"/>
          </w:tcPr>
          <w:p>
            <w:pPr>
              <w:jc w:val="right"/>
              <w:ind w:right="78"/>
              <w:spacing w:after="0"/>
              <w:rPr>
                <w:sz w:val="20"/>
                <w:szCs w:val="20"/>
                <w:color w:val="auto"/>
              </w:rPr>
            </w:pPr>
            <w:r>
              <w:rPr>
                <w:rFonts w:ascii="Arial" w:cs="Arial" w:eastAsia="Arial" w:hAnsi="Arial"/>
                <w:sz w:val="13"/>
                <w:szCs w:val="13"/>
                <w:color w:val="auto"/>
              </w:rPr>
              <w:t>977,727</w:t>
            </w:r>
          </w:p>
        </w:tc>
        <w:tc>
          <w:tcPr>
            <w:tcW w:w="124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shd w:val="clear" w:color="auto" w:fill="EAEAEA"/>
          </w:tcPr>
          <w:p>
            <w:pPr>
              <w:spacing w:after="0"/>
              <w:rPr>
                <w:sz w:val="7"/>
                <w:szCs w:val="7"/>
                <w:color w:val="auto"/>
              </w:rPr>
            </w:pPr>
          </w:p>
        </w:tc>
        <w:tc>
          <w:tcPr>
            <w:tcW w:w="1520" w:type="dxa"/>
            <w:vAlign w:val="bottom"/>
            <w:tcBorders>
              <w:top w:val="single" w:sz="8" w:color="auto"/>
            </w:tcBorders>
            <w:vMerge w:val="restart"/>
            <w:shd w:val="clear" w:color="auto" w:fill="EAEAEA"/>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80" w:type="dxa"/>
            <w:vAlign w:val="bottom"/>
            <w:tcBorders>
              <w:bottom w:val="single" w:sz="8" w:color="EAEAEA"/>
            </w:tcBorders>
            <w:shd w:val="clear" w:color="auto" w:fill="EAEAEA"/>
          </w:tcPr>
          <w:p>
            <w:pPr>
              <w:spacing w:after="0"/>
              <w:rPr>
                <w:sz w:val="13"/>
                <w:szCs w:val="13"/>
                <w:color w:val="auto"/>
              </w:rPr>
            </w:pPr>
          </w:p>
        </w:tc>
        <w:tc>
          <w:tcPr>
            <w:tcW w:w="1280" w:type="dxa"/>
            <w:vAlign w:val="bottom"/>
            <w:tcBorders>
              <w:bottom w:val="single" w:sz="8" w:color="EAEAEA"/>
            </w:tcBorders>
            <w:shd w:val="clear" w:color="auto" w:fill="EAEAEA"/>
          </w:tcPr>
          <w:p>
            <w:pPr>
              <w:ind w:left="20"/>
              <w:spacing w:after="0" w:line="153" w:lineRule="exact"/>
              <w:rPr>
                <w:sz w:val="20"/>
                <w:szCs w:val="20"/>
                <w:color w:val="auto"/>
              </w:rPr>
            </w:pPr>
            <w:r>
              <w:rPr>
                <w:rFonts w:ascii="Arial" w:cs="Arial" w:eastAsia="Arial" w:hAnsi="Arial"/>
                <w:sz w:val="17"/>
                <w:szCs w:val="17"/>
                <w:b w:val="1"/>
                <w:bCs w:val="1"/>
                <w:color w:val="auto"/>
                <w:vertAlign w:val="subscript"/>
              </w:rPr>
              <w:t>Jr.</w:t>
            </w:r>
            <w:r>
              <w:rPr>
                <w:rFonts w:ascii="Arial" w:cs="Arial" w:eastAsia="Arial" w:hAnsi="Arial"/>
                <w:sz w:val="7"/>
                <w:szCs w:val="7"/>
                <w:b w:val="1"/>
                <w:bCs w:val="1"/>
                <w:color w:val="auto"/>
              </w:rPr>
              <w:t>(17)</w:t>
            </w:r>
          </w:p>
        </w:tc>
        <w:tc>
          <w:tcPr>
            <w:tcW w:w="1020" w:type="dxa"/>
            <w:vAlign w:val="bottom"/>
            <w:tcBorders>
              <w:bottom w:val="single" w:sz="8" w:color="auto"/>
            </w:tcBorders>
            <w:vMerge w:val="continue"/>
            <w:shd w:val="clear" w:color="auto" w:fill="EAEAEA"/>
          </w:tcPr>
          <w:p>
            <w:pPr>
              <w:spacing w:after="0"/>
              <w:rPr>
                <w:sz w:val="13"/>
                <w:szCs w:val="13"/>
                <w:color w:val="auto"/>
              </w:rPr>
            </w:pPr>
          </w:p>
        </w:tc>
        <w:tc>
          <w:tcPr>
            <w:tcW w:w="260" w:type="dxa"/>
            <w:vAlign w:val="bottom"/>
            <w:tcBorders>
              <w:bottom w:val="single" w:sz="8" w:color="auto"/>
            </w:tcBorders>
            <w:shd w:val="clear" w:color="auto" w:fill="EAEAEA"/>
          </w:tcPr>
          <w:p>
            <w:pPr>
              <w:spacing w:after="0"/>
              <w:rPr>
                <w:sz w:val="13"/>
                <w:szCs w:val="13"/>
                <w:color w:val="auto"/>
              </w:rPr>
            </w:pPr>
          </w:p>
        </w:tc>
        <w:tc>
          <w:tcPr>
            <w:tcW w:w="1140" w:type="dxa"/>
            <w:vAlign w:val="bottom"/>
            <w:tcBorders>
              <w:bottom w:val="single" w:sz="8" w:color="auto"/>
            </w:tcBorders>
            <w:vMerge w:val="continue"/>
            <w:shd w:val="clear" w:color="auto" w:fill="EAEAEA"/>
          </w:tcPr>
          <w:p>
            <w:pPr>
              <w:spacing w:after="0"/>
              <w:rPr>
                <w:sz w:val="13"/>
                <w:szCs w:val="13"/>
                <w:color w:val="auto"/>
              </w:rPr>
            </w:pPr>
          </w:p>
        </w:tc>
        <w:tc>
          <w:tcPr>
            <w:tcW w:w="420" w:type="dxa"/>
            <w:vAlign w:val="bottom"/>
            <w:tcBorders>
              <w:bottom w:val="single" w:sz="8" w:color="auto"/>
            </w:tcBorders>
            <w:shd w:val="clear" w:color="auto" w:fill="EAEAEA"/>
          </w:tcPr>
          <w:p>
            <w:pPr>
              <w:spacing w:after="0"/>
              <w:rPr>
                <w:sz w:val="13"/>
                <w:szCs w:val="13"/>
                <w:color w:val="auto"/>
              </w:rPr>
            </w:pPr>
          </w:p>
        </w:tc>
        <w:tc>
          <w:tcPr>
            <w:tcW w:w="740" w:type="dxa"/>
            <w:vAlign w:val="bottom"/>
            <w:tcBorders>
              <w:bottom w:val="single" w:sz="8" w:color="auto"/>
            </w:tcBorders>
            <w:vMerge w:val="continue"/>
            <w:shd w:val="clear" w:color="auto" w:fill="EAEAEA"/>
          </w:tcPr>
          <w:p>
            <w:pPr>
              <w:spacing w:after="0"/>
              <w:rPr>
                <w:sz w:val="13"/>
                <w:szCs w:val="13"/>
                <w:color w:val="auto"/>
              </w:rPr>
            </w:pPr>
          </w:p>
        </w:tc>
        <w:tc>
          <w:tcPr>
            <w:tcW w:w="820" w:type="dxa"/>
            <w:vAlign w:val="bottom"/>
            <w:tcBorders>
              <w:bottom w:val="single" w:sz="8" w:color="auto"/>
            </w:tcBorders>
            <w:vMerge w:val="continue"/>
            <w:shd w:val="clear" w:color="auto" w:fill="EAEAEA"/>
          </w:tcPr>
          <w:p>
            <w:pPr>
              <w:spacing w:after="0"/>
              <w:rPr>
                <w:sz w:val="13"/>
                <w:szCs w:val="13"/>
                <w:color w:val="auto"/>
              </w:rPr>
            </w:pPr>
          </w:p>
        </w:tc>
        <w:tc>
          <w:tcPr>
            <w:tcW w:w="1020" w:type="dxa"/>
            <w:vAlign w:val="bottom"/>
            <w:tcBorders>
              <w:bottom w:val="single" w:sz="8" w:color="auto"/>
            </w:tcBorders>
            <w:vMerge w:val="continue"/>
            <w:shd w:val="clear" w:color="auto" w:fill="EAEAEA"/>
          </w:tcPr>
          <w:p>
            <w:pPr>
              <w:spacing w:after="0"/>
              <w:rPr>
                <w:sz w:val="13"/>
                <w:szCs w:val="13"/>
                <w:color w:val="auto"/>
              </w:rPr>
            </w:pPr>
          </w:p>
        </w:tc>
        <w:tc>
          <w:tcPr>
            <w:tcW w:w="260" w:type="dxa"/>
            <w:vAlign w:val="bottom"/>
            <w:tcBorders>
              <w:bottom w:val="single" w:sz="8" w:color="auto"/>
            </w:tcBorders>
            <w:shd w:val="clear" w:color="auto" w:fill="EAEAEA"/>
          </w:tcPr>
          <w:p>
            <w:pPr>
              <w:spacing w:after="0"/>
              <w:rPr>
                <w:sz w:val="13"/>
                <w:szCs w:val="13"/>
                <w:color w:val="auto"/>
              </w:rPr>
            </w:pPr>
          </w:p>
        </w:tc>
        <w:tc>
          <w:tcPr>
            <w:tcW w:w="1180" w:type="dxa"/>
            <w:vAlign w:val="bottom"/>
            <w:tcBorders>
              <w:bottom w:val="single" w:sz="8" w:color="auto"/>
            </w:tcBorders>
            <w:vMerge w:val="continue"/>
            <w:shd w:val="clear" w:color="auto" w:fill="EAEAEA"/>
          </w:tcPr>
          <w:p>
            <w:pPr>
              <w:spacing w:after="0"/>
              <w:rPr>
                <w:sz w:val="13"/>
                <w:szCs w:val="13"/>
                <w:color w:val="auto"/>
              </w:rPr>
            </w:pPr>
          </w:p>
        </w:tc>
        <w:tc>
          <w:tcPr>
            <w:tcW w:w="1240" w:type="dxa"/>
            <w:vAlign w:val="bottom"/>
            <w:tcBorders>
              <w:bottom w:val="single" w:sz="8" w:color="auto"/>
            </w:tcBorders>
            <w:vMerge w:val="continue"/>
            <w:shd w:val="clear" w:color="auto" w:fill="EAEAEA"/>
          </w:tcPr>
          <w:p>
            <w:pPr>
              <w:spacing w:after="0"/>
              <w:rPr>
                <w:sz w:val="13"/>
                <w:szCs w:val="13"/>
                <w:color w:val="auto"/>
              </w:rPr>
            </w:pPr>
          </w:p>
        </w:tc>
        <w:tc>
          <w:tcPr>
            <w:tcW w:w="260" w:type="dxa"/>
            <w:vAlign w:val="bottom"/>
            <w:tcBorders>
              <w:bottom w:val="single" w:sz="8" w:color="auto"/>
            </w:tcBorders>
            <w:shd w:val="clear" w:color="auto" w:fill="EAEAEA"/>
          </w:tcPr>
          <w:p>
            <w:pPr>
              <w:spacing w:after="0"/>
              <w:rPr>
                <w:sz w:val="13"/>
                <w:szCs w:val="13"/>
                <w:color w:val="auto"/>
              </w:rPr>
            </w:pPr>
          </w:p>
        </w:tc>
        <w:tc>
          <w:tcPr>
            <w:tcW w:w="1520" w:type="dxa"/>
            <w:vAlign w:val="bottom"/>
            <w:tcBorders>
              <w:bottom w:val="single" w:sz="8" w:color="auto"/>
            </w:tcBorders>
            <w:vMerge w:val="continue"/>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80" w:type="dxa"/>
            <w:vAlign w:val="bottom"/>
            <w:tcBorders>
              <w:bottom w:val="single" w:sz="8" w:color="EAEAEA"/>
            </w:tcBorders>
            <w:shd w:val="clear" w:color="auto" w:fill="EAEAEA"/>
          </w:tcPr>
          <w:p>
            <w:pPr>
              <w:spacing w:after="0"/>
              <w:rPr>
                <w:sz w:val="20"/>
                <w:szCs w:val="20"/>
                <w:color w:val="auto"/>
              </w:rPr>
            </w:pPr>
          </w:p>
        </w:tc>
        <w:tc>
          <w:tcPr>
            <w:tcW w:w="1280" w:type="dxa"/>
            <w:vAlign w:val="bottom"/>
            <w:tcBorders>
              <w:bottom w:val="single" w:sz="8" w:color="EAEAEA"/>
            </w:tcBorders>
            <w:shd w:val="clear" w:color="auto" w:fill="EAEAEA"/>
          </w:tcPr>
          <w:p>
            <w:pPr>
              <w:spacing w:after="0"/>
              <w:rPr>
                <w:sz w:val="20"/>
                <w:szCs w:val="20"/>
                <w:color w:val="auto"/>
              </w:rPr>
            </w:pPr>
          </w:p>
        </w:tc>
        <w:tc>
          <w:tcPr>
            <w:tcW w:w="10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EAEAEA"/>
            </w:tcBorders>
            <w:shd w:val="clear" w:color="auto" w:fill="EAEAEA"/>
          </w:tcPr>
          <w:p>
            <w:pPr>
              <w:spacing w:after="0"/>
              <w:rPr>
                <w:sz w:val="20"/>
                <w:szCs w:val="20"/>
                <w:color w:val="auto"/>
              </w:rPr>
            </w:pPr>
          </w:p>
        </w:tc>
        <w:tc>
          <w:tcPr>
            <w:tcW w:w="11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EAEAEA"/>
            </w:tcBorders>
            <w:shd w:val="clear" w:color="auto" w:fill="EAEAEA"/>
          </w:tcPr>
          <w:p>
            <w:pPr>
              <w:spacing w:after="0"/>
              <w:rPr>
                <w:sz w:val="20"/>
                <w:szCs w:val="20"/>
                <w:color w:val="auto"/>
              </w:rPr>
            </w:pPr>
          </w:p>
        </w:tc>
        <w:tc>
          <w:tcPr>
            <w:tcW w:w="740" w:type="dxa"/>
            <w:vAlign w:val="bottom"/>
            <w:tcBorders>
              <w:bottom w:val="single" w:sz="8" w:color="EAEAEA"/>
            </w:tcBorders>
            <w:shd w:val="clear" w:color="auto" w:fill="EAEAEA"/>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EAEAEA"/>
            </w:tcBorders>
            <w:shd w:val="clear" w:color="auto" w:fill="EAEAEA"/>
          </w:tcPr>
          <w:p>
            <w:pPr>
              <w:jc w:val="center"/>
              <w:ind w:right="37"/>
              <w:spacing w:after="0"/>
              <w:rPr>
                <w:sz w:val="20"/>
                <w:szCs w:val="20"/>
                <w:color w:val="auto"/>
              </w:rPr>
            </w:pPr>
            <w:r>
              <w:rPr>
                <w:rFonts w:ascii="Arial" w:cs="Arial" w:eastAsia="Arial" w:hAnsi="Arial"/>
                <w:sz w:val="13"/>
                <w:szCs w:val="13"/>
                <w:color w:val="auto"/>
                <w:w w:val="91"/>
              </w:rPr>
              <w:t>—</w:t>
            </w:r>
          </w:p>
        </w:tc>
        <w:tc>
          <w:tcPr>
            <w:tcW w:w="10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5,556</w:t>
            </w:r>
          </w:p>
        </w:tc>
        <w:tc>
          <w:tcPr>
            <w:tcW w:w="260" w:type="dxa"/>
            <w:vAlign w:val="bottom"/>
            <w:tcBorders>
              <w:bottom w:val="single" w:sz="8" w:color="EAEAEA"/>
            </w:tcBorders>
            <w:shd w:val="clear" w:color="auto" w:fill="EAEAEA"/>
          </w:tcPr>
          <w:p>
            <w:pPr>
              <w:spacing w:after="0"/>
              <w:rPr>
                <w:sz w:val="20"/>
                <w:szCs w:val="20"/>
                <w:color w:val="auto"/>
              </w:rPr>
            </w:pPr>
            <w:r>
              <w:rPr>
                <w:rFonts w:ascii="Arial" w:cs="Arial" w:eastAsia="Arial" w:hAnsi="Arial"/>
                <w:sz w:val="8"/>
                <w:szCs w:val="8"/>
                <w:color w:val="auto"/>
              </w:rPr>
              <w:t>(10)</w:t>
            </w:r>
          </w:p>
        </w:tc>
        <w:tc>
          <w:tcPr>
            <w:tcW w:w="1180" w:type="dxa"/>
            <w:vAlign w:val="bottom"/>
            <w:tcBorders>
              <w:bottom w:val="single" w:sz="8" w:color="EAEAEA"/>
            </w:tcBorders>
            <w:shd w:val="clear" w:color="auto" w:fill="EAEAEA"/>
          </w:tcPr>
          <w:p>
            <w:pPr>
              <w:jc w:val="right"/>
              <w:ind w:right="78"/>
              <w:spacing w:after="0"/>
              <w:rPr>
                <w:sz w:val="20"/>
                <w:szCs w:val="20"/>
                <w:color w:val="auto"/>
              </w:rPr>
            </w:pPr>
            <w:r>
              <w:rPr>
                <w:rFonts w:ascii="Arial" w:cs="Arial" w:eastAsia="Arial" w:hAnsi="Arial"/>
                <w:sz w:val="13"/>
                <w:szCs w:val="13"/>
                <w:color w:val="auto"/>
              </w:rPr>
              <w:t>683,388</w:t>
            </w:r>
          </w:p>
        </w:tc>
        <w:tc>
          <w:tcPr>
            <w:tcW w:w="12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EAEAEA"/>
            </w:tcBorders>
            <w:shd w:val="clear" w:color="auto" w:fill="EAEAEA"/>
          </w:tcPr>
          <w:p>
            <w:pPr>
              <w:spacing w:after="0"/>
              <w:rPr>
                <w:sz w:val="20"/>
                <w:szCs w:val="20"/>
                <w:color w:val="auto"/>
              </w:rPr>
            </w:pPr>
          </w:p>
        </w:tc>
        <w:tc>
          <w:tcPr>
            <w:tcW w:w="1520" w:type="dxa"/>
            <w:vAlign w:val="bottom"/>
            <w:tcBorders>
              <w:bottom w:val="single" w:sz="8" w:color="EAEAEA"/>
            </w:tcBorders>
            <w:shd w:val="clear" w:color="auto" w:fill="EAEAEA"/>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7"/>
        </w:trPr>
        <w:tc>
          <w:tcPr>
            <w:tcW w:w="80" w:type="dxa"/>
            <w:vAlign w:val="bottom"/>
            <w:tcBorders>
              <w:top w:val="single" w:sz="8" w:color="EAEAEA"/>
              <w:bottom w:val="single" w:sz="8" w:color="EAEAEA"/>
            </w:tcBorders>
            <w:shd w:val="clear" w:color="auto" w:fill="EAEAEA"/>
          </w:tcPr>
          <w:p>
            <w:pPr>
              <w:spacing w:after="0"/>
              <w:rPr>
                <w:sz w:val="18"/>
                <w:szCs w:val="18"/>
                <w:color w:val="auto"/>
              </w:rPr>
            </w:pPr>
          </w:p>
        </w:tc>
        <w:tc>
          <w:tcPr>
            <w:tcW w:w="1280" w:type="dxa"/>
            <w:vAlign w:val="bottom"/>
            <w:tcBorders>
              <w:top w:val="single" w:sz="8" w:color="EAEAEA"/>
              <w:bottom w:val="single" w:sz="8" w:color="EAEAEA"/>
            </w:tcBorders>
            <w:shd w:val="clear" w:color="auto" w:fill="EAEAEA"/>
          </w:tcPr>
          <w:p>
            <w:pPr>
              <w:spacing w:after="0"/>
              <w:rPr>
                <w:sz w:val="18"/>
                <w:szCs w:val="18"/>
                <w:color w:val="auto"/>
              </w:rPr>
            </w:pPr>
          </w:p>
        </w:tc>
        <w:tc>
          <w:tcPr>
            <w:tcW w:w="10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bottom w:val="single" w:sz="8" w:color="EAEAEA"/>
            </w:tcBorders>
            <w:shd w:val="clear" w:color="auto" w:fill="EAEAEA"/>
          </w:tcPr>
          <w:p>
            <w:pPr>
              <w:spacing w:after="0"/>
              <w:rPr>
                <w:sz w:val="18"/>
                <w:szCs w:val="18"/>
                <w:color w:val="auto"/>
              </w:rPr>
            </w:pPr>
          </w:p>
        </w:tc>
        <w:tc>
          <w:tcPr>
            <w:tcW w:w="11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auto"/>
              <w:bottom w:val="single" w:sz="8" w:color="EAEAEA"/>
            </w:tcBorders>
            <w:shd w:val="clear" w:color="auto" w:fill="EAEAEA"/>
          </w:tcPr>
          <w:p>
            <w:pPr>
              <w:spacing w:after="0"/>
              <w:rPr>
                <w:sz w:val="18"/>
                <w:szCs w:val="18"/>
                <w:color w:val="auto"/>
              </w:rPr>
            </w:pPr>
          </w:p>
        </w:tc>
        <w:tc>
          <w:tcPr>
            <w:tcW w:w="740" w:type="dxa"/>
            <w:vAlign w:val="bottom"/>
            <w:tcBorders>
              <w:top w:val="single" w:sz="8" w:color="auto"/>
              <w:bottom w:val="single" w:sz="8" w:color="EAEAEA"/>
            </w:tcBorders>
            <w:shd w:val="clear" w:color="auto" w:fill="EAEAEA"/>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EAEAEA"/>
            </w:tcBorders>
            <w:shd w:val="clear" w:color="auto" w:fill="EAEAEA"/>
          </w:tcPr>
          <w:p>
            <w:pPr>
              <w:jc w:val="center"/>
              <w:ind w:right="37"/>
              <w:spacing w:after="0"/>
              <w:rPr>
                <w:sz w:val="20"/>
                <w:szCs w:val="20"/>
                <w:color w:val="auto"/>
              </w:rPr>
            </w:pPr>
            <w:r>
              <w:rPr>
                <w:rFonts w:ascii="Arial" w:cs="Arial" w:eastAsia="Arial" w:hAnsi="Arial"/>
                <w:sz w:val="13"/>
                <w:szCs w:val="13"/>
                <w:color w:val="auto"/>
                <w:w w:val="91"/>
              </w:rPr>
              <w:t>—</w:t>
            </w:r>
          </w:p>
        </w:tc>
        <w:tc>
          <w:tcPr>
            <w:tcW w:w="10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3,333</w:t>
            </w:r>
          </w:p>
        </w:tc>
        <w:tc>
          <w:tcPr>
            <w:tcW w:w="260" w:type="dxa"/>
            <w:vAlign w:val="bottom"/>
            <w:tcBorders>
              <w:top w:val="single" w:sz="8" w:color="auto"/>
              <w:bottom w:val="single" w:sz="8" w:color="EAEAEA"/>
            </w:tcBorders>
            <w:shd w:val="clear" w:color="auto" w:fill="EAEAEA"/>
          </w:tcPr>
          <w:p>
            <w:pPr>
              <w:spacing w:after="0"/>
              <w:rPr>
                <w:sz w:val="20"/>
                <w:szCs w:val="20"/>
                <w:color w:val="auto"/>
              </w:rPr>
            </w:pPr>
            <w:r>
              <w:rPr>
                <w:rFonts w:ascii="Arial" w:cs="Arial" w:eastAsia="Arial" w:hAnsi="Arial"/>
                <w:sz w:val="8"/>
                <w:szCs w:val="8"/>
                <w:color w:val="auto"/>
              </w:rPr>
              <w:t>(11)</w:t>
            </w:r>
          </w:p>
        </w:tc>
        <w:tc>
          <w:tcPr>
            <w:tcW w:w="1180" w:type="dxa"/>
            <w:vAlign w:val="bottom"/>
            <w:tcBorders>
              <w:top w:val="single" w:sz="8" w:color="auto"/>
              <w:bottom w:val="single" w:sz="8" w:color="EAEAEA"/>
            </w:tcBorders>
            <w:shd w:val="clear" w:color="auto" w:fill="EAEAEA"/>
          </w:tcPr>
          <w:p>
            <w:pPr>
              <w:jc w:val="right"/>
              <w:ind w:right="78"/>
              <w:spacing w:after="0"/>
              <w:rPr>
                <w:sz w:val="20"/>
                <w:szCs w:val="20"/>
                <w:color w:val="auto"/>
              </w:rPr>
            </w:pPr>
            <w:r>
              <w:rPr>
                <w:rFonts w:ascii="Arial" w:cs="Arial" w:eastAsia="Arial" w:hAnsi="Arial"/>
                <w:sz w:val="13"/>
                <w:szCs w:val="13"/>
                <w:color w:val="auto"/>
              </w:rPr>
              <w:t>409,959</w:t>
            </w:r>
          </w:p>
        </w:tc>
        <w:tc>
          <w:tcPr>
            <w:tcW w:w="12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bottom w:val="single" w:sz="8" w:color="EAEAEA"/>
            </w:tcBorders>
            <w:shd w:val="clear" w:color="auto" w:fill="EAEAEA"/>
          </w:tcPr>
          <w:p>
            <w:pPr>
              <w:spacing w:after="0"/>
              <w:rPr>
                <w:sz w:val="18"/>
                <w:szCs w:val="18"/>
                <w:color w:val="auto"/>
              </w:rPr>
            </w:pPr>
          </w:p>
        </w:tc>
        <w:tc>
          <w:tcPr>
            <w:tcW w:w="1520" w:type="dxa"/>
            <w:vAlign w:val="bottom"/>
            <w:tcBorders>
              <w:top w:val="single" w:sz="8" w:color="auto"/>
              <w:bottom w:val="single" w:sz="8" w:color="EAEAEA"/>
            </w:tcBorders>
            <w:shd w:val="clear" w:color="auto" w:fill="EAEAEA"/>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36,750</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5,250</w:t>
            </w:r>
          </w:p>
        </w:tc>
        <w:tc>
          <w:tcPr>
            <w:tcW w:w="420" w:type="dxa"/>
            <w:vAlign w:val="bottom"/>
          </w:tcPr>
          <w:p>
            <w:pPr>
              <w:ind w:left="20"/>
              <w:spacing w:after="0"/>
              <w:rPr>
                <w:sz w:val="20"/>
                <w:szCs w:val="20"/>
                <w:color w:val="auto"/>
              </w:rPr>
            </w:pPr>
            <w:r>
              <w:rPr>
                <w:rFonts w:ascii="Arial" w:cs="Arial" w:eastAsia="Arial" w:hAnsi="Arial"/>
                <w:sz w:val="8"/>
                <w:szCs w:val="8"/>
                <w:color w:val="auto"/>
              </w:rPr>
              <w:t>(18)</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127.07</w:t>
            </w:r>
          </w:p>
        </w:tc>
        <w:tc>
          <w:tcPr>
            <w:tcW w:w="820" w:type="dxa"/>
            <w:vAlign w:val="bottom"/>
          </w:tcPr>
          <w:p>
            <w:pPr>
              <w:jc w:val="center"/>
              <w:ind w:right="17"/>
              <w:spacing w:after="0"/>
              <w:rPr>
                <w:sz w:val="20"/>
                <w:szCs w:val="20"/>
                <w:color w:val="auto"/>
              </w:rPr>
            </w:pPr>
            <w:r>
              <w:rPr>
                <w:rFonts w:ascii="Arial" w:cs="Arial" w:eastAsia="Arial" w:hAnsi="Arial"/>
                <w:sz w:val="13"/>
                <w:szCs w:val="13"/>
                <w:color w:val="auto"/>
                <w:w w:val="98"/>
              </w:rPr>
              <w:t>8/5/2030</w:t>
            </w:r>
          </w:p>
        </w:tc>
        <w:tc>
          <w:tcPr>
            <w:tcW w:w="1020" w:type="dxa"/>
            <w:vAlign w:val="bottom"/>
          </w:tcPr>
          <w:p>
            <w:pPr>
              <w:jc w:val="right"/>
              <w:spacing w:after="0"/>
              <w:rPr>
                <w:sz w:val="20"/>
                <w:szCs w:val="20"/>
                <w:color w:val="auto"/>
              </w:rPr>
            </w:pPr>
            <w:r>
              <w:rPr>
                <w:rFonts w:ascii="Arial" w:cs="Arial" w:eastAsia="Arial" w:hAnsi="Arial"/>
                <w:sz w:val="13"/>
                <w:szCs w:val="13"/>
                <w:color w:val="auto"/>
              </w:rPr>
              <w:t>10,429</w:t>
            </w:r>
          </w:p>
        </w:tc>
        <w:tc>
          <w:tcPr>
            <w:tcW w:w="260" w:type="dxa"/>
            <w:vAlign w:val="bottom"/>
          </w:tcPr>
          <w:p>
            <w:pPr>
              <w:spacing w:after="0"/>
              <w:rPr>
                <w:sz w:val="20"/>
                <w:szCs w:val="20"/>
                <w:color w:val="auto"/>
              </w:rPr>
            </w:pPr>
            <w:r>
              <w:rPr>
                <w:rFonts w:ascii="Arial" w:cs="Arial" w:eastAsia="Arial" w:hAnsi="Arial"/>
                <w:sz w:val="8"/>
                <w:szCs w:val="8"/>
                <w:color w:val="auto"/>
              </w:rPr>
              <w:t>(7)</w:t>
            </w:r>
          </w:p>
        </w:tc>
        <w:tc>
          <w:tcPr>
            <w:tcW w:w="1180" w:type="dxa"/>
            <w:vAlign w:val="bottom"/>
          </w:tcPr>
          <w:p>
            <w:pPr>
              <w:jc w:val="right"/>
              <w:ind w:right="78"/>
              <w:spacing w:after="0"/>
              <w:rPr>
                <w:sz w:val="20"/>
                <w:szCs w:val="20"/>
                <w:color w:val="auto"/>
              </w:rPr>
            </w:pPr>
            <w:r>
              <w:rPr>
                <w:rFonts w:ascii="Arial" w:cs="Arial" w:eastAsia="Arial" w:hAnsi="Arial"/>
                <w:sz w:val="13"/>
                <w:szCs w:val="13"/>
                <w:color w:val="auto"/>
              </w:rPr>
              <w:t>1,282,767</w:t>
            </w:r>
          </w:p>
        </w:tc>
        <w:tc>
          <w:tcPr>
            <w:tcW w:w="1240" w:type="dxa"/>
            <w:vAlign w:val="bottom"/>
          </w:tcPr>
          <w:p>
            <w:pPr>
              <w:jc w:val="right"/>
              <w:spacing w:after="0"/>
              <w:rPr>
                <w:sz w:val="20"/>
                <w:szCs w:val="20"/>
                <w:color w:val="auto"/>
              </w:rPr>
            </w:pPr>
            <w:r>
              <w:rPr>
                <w:rFonts w:ascii="Arial" w:cs="Arial" w:eastAsia="Arial" w:hAnsi="Arial"/>
                <w:sz w:val="13"/>
                <w:szCs w:val="13"/>
                <w:color w:val="auto"/>
              </w:rPr>
              <w:t>10,429</w:t>
            </w:r>
          </w:p>
        </w:tc>
        <w:tc>
          <w:tcPr>
            <w:tcW w:w="260" w:type="dxa"/>
            <w:vAlign w:val="bottom"/>
          </w:tcPr>
          <w:p>
            <w:pPr>
              <w:jc w:val="right"/>
              <w:ind w:right="59"/>
              <w:spacing w:after="0"/>
              <w:rPr>
                <w:sz w:val="20"/>
                <w:szCs w:val="20"/>
                <w:color w:val="auto"/>
              </w:rPr>
            </w:pPr>
            <w:r>
              <w:rPr>
                <w:rFonts w:ascii="Arial" w:cs="Arial" w:eastAsia="Arial" w:hAnsi="Arial"/>
                <w:sz w:val="8"/>
                <w:szCs w:val="8"/>
                <w:color w:val="auto"/>
                <w:w w:val="98"/>
              </w:rPr>
              <w:t>(12)</w:t>
            </w:r>
          </w:p>
        </w:tc>
        <w:tc>
          <w:tcPr>
            <w:tcW w:w="1520" w:type="dxa"/>
            <w:vAlign w:val="bottom"/>
          </w:tcPr>
          <w:p>
            <w:pPr>
              <w:jc w:val="right"/>
              <w:ind w:right="57"/>
              <w:spacing w:after="0"/>
              <w:rPr>
                <w:sz w:val="20"/>
                <w:szCs w:val="20"/>
                <w:color w:val="auto"/>
              </w:rPr>
            </w:pPr>
            <w:r>
              <w:rPr>
                <w:rFonts w:ascii="Arial" w:cs="Arial" w:eastAsia="Arial" w:hAnsi="Arial"/>
                <w:sz w:val="13"/>
                <w:szCs w:val="13"/>
                <w:color w:val="auto"/>
              </w:rPr>
              <w:t>1,282,767</w:t>
            </w: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center"/>
              <w:ind w:right="37"/>
              <w:spacing w:after="0"/>
              <w:rPr>
                <w:sz w:val="20"/>
                <w:szCs w:val="20"/>
                <w:color w:val="auto"/>
              </w:rPr>
            </w:pPr>
            <w:r>
              <w:rPr>
                <w:rFonts w:ascii="Arial" w:cs="Arial" w:eastAsia="Arial" w:hAnsi="Arial"/>
                <w:sz w:val="13"/>
                <w:szCs w:val="13"/>
                <w:color w:val="auto"/>
                <w:w w:val="91"/>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7,464</w:t>
            </w:r>
          </w:p>
        </w:tc>
        <w:tc>
          <w:tcPr>
            <w:tcW w:w="260" w:type="dxa"/>
            <w:vAlign w:val="bottom"/>
          </w:tcPr>
          <w:p>
            <w:pPr>
              <w:spacing w:after="0"/>
              <w:rPr>
                <w:sz w:val="20"/>
                <w:szCs w:val="20"/>
                <w:color w:val="auto"/>
              </w:rPr>
            </w:pPr>
            <w:r>
              <w:rPr>
                <w:rFonts w:ascii="Arial" w:cs="Arial" w:eastAsia="Arial" w:hAnsi="Arial"/>
                <w:sz w:val="8"/>
                <w:szCs w:val="8"/>
                <w:color w:val="auto"/>
              </w:rPr>
              <w:t>(8)</w:t>
            </w:r>
          </w:p>
        </w:tc>
        <w:tc>
          <w:tcPr>
            <w:tcW w:w="1180" w:type="dxa"/>
            <w:vAlign w:val="bottom"/>
          </w:tcPr>
          <w:p>
            <w:pPr>
              <w:jc w:val="right"/>
              <w:ind w:right="78"/>
              <w:spacing w:after="0"/>
              <w:rPr>
                <w:sz w:val="20"/>
                <w:szCs w:val="20"/>
                <w:color w:val="auto"/>
              </w:rPr>
            </w:pPr>
            <w:r>
              <w:rPr>
                <w:rFonts w:ascii="Arial" w:cs="Arial" w:eastAsia="Arial" w:hAnsi="Arial"/>
                <w:sz w:val="13"/>
                <w:szCs w:val="13"/>
                <w:color w:val="auto"/>
              </w:rPr>
              <w:t>918,072</w:t>
            </w:r>
          </w:p>
        </w:tc>
        <w:tc>
          <w:tcPr>
            <w:tcW w:w="1240" w:type="dxa"/>
            <w:vAlign w:val="bottom"/>
          </w:tcPr>
          <w:p>
            <w:pPr>
              <w:jc w:val="right"/>
              <w:spacing w:after="0"/>
              <w:rPr>
                <w:sz w:val="20"/>
                <w:szCs w:val="20"/>
                <w:color w:val="auto"/>
              </w:rPr>
            </w:pPr>
            <w:r>
              <w:rPr>
                <w:rFonts w:ascii="Arial" w:cs="Arial" w:eastAsia="Arial" w:hAnsi="Arial"/>
                <w:sz w:val="13"/>
                <w:szCs w:val="13"/>
                <w:color w:val="auto"/>
              </w:rPr>
              <w:t>9,953</w:t>
            </w:r>
          </w:p>
        </w:tc>
        <w:tc>
          <w:tcPr>
            <w:tcW w:w="260" w:type="dxa"/>
            <w:vAlign w:val="bottom"/>
          </w:tcPr>
          <w:p>
            <w:pPr>
              <w:jc w:val="right"/>
              <w:ind w:right="59"/>
              <w:spacing w:after="0"/>
              <w:rPr>
                <w:sz w:val="20"/>
                <w:szCs w:val="20"/>
                <w:color w:val="auto"/>
              </w:rPr>
            </w:pPr>
            <w:r>
              <w:rPr>
                <w:rFonts w:ascii="Arial" w:cs="Arial" w:eastAsia="Arial" w:hAnsi="Arial"/>
                <w:sz w:val="8"/>
                <w:szCs w:val="8"/>
                <w:color w:val="auto"/>
                <w:w w:val="98"/>
              </w:rPr>
              <w:t>(13)</w:t>
            </w:r>
          </w:p>
        </w:tc>
        <w:tc>
          <w:tcPr>
            <w:tcW w:w="1520" w:type="dxa"/>
            <w:vAlign w:val="bottom"/>
          </w:tcPr>
          <w:p>
            <w:pPr>
              <w:jc w:val="right"/>
              <w:ind w:right="57"/>
              <w:spacing w:after="0"/>
              <w:rPr>
                <w:sz w:val="20"/>
                <w:szCs w:val="20"/>
                <w:color w:val="auto"/>
              </w:rPr>
            </w:pPr>
            <w:r>
              <w:rPr>
                <w:rFonts w:ascii="Arial" w:cs="Arial" w:eastAsia="Arial" w:hAnsi="Arial"/>
                <w:sz w:val="13"/>
                <w:szCs w:val="13"/>
                <w:color w:val="auto"/>
              </w:rPr>
              <w:t>1,224,219</w:t>
            </w:r>
          </w:p>
        </w:tc>
        <w:tc>
          <w:tcPr>
            <w:tcW w:w="0" w:type="dxa"/>
            <w:vAlign w:val="bottom"/>
          </w:tcPr>
          <w:p>
            <w:pPr>
              <w:spacing w:after="0"/>
              <w:rPr>
                <w:sz w:val="1"/>
                <w:szCs w:val="1"/>
                <w:color w:val="auto"/>
              </w:rPr>
            </w:pPr>
          </w:p>
        </w:tc>
      </w:tr>
      <w:tr>
        <w:trPr>
          <w:trHeight w:val="55"/>
        </w:trPr>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1280" w:type="dxa"/>
            <w:vAlign w:val="bottom"/>
          </w:tcPr>
          <w:p>
            <w:pPr>
              <w:ind w:left="20"/>
              <w:spacing w:after="0"/>
              <w:rPr>
                <w:sz w:val="20"/>
                <w:szCs w:val="20"/>
                <w:color w:val="auto"/>
              </w:rPr>
            </w:pPr>
            <w:r>
              <w:rPr>
                <w:rFonts w:ascii="Arial" w:cs="Arial" w:eastAsia="Arial" w:hAnsi="Arial"/>
                <w:sz w:val="13"/>
                <w:szCs w:val="13"/>
                <w:b w:val="1"/>
                <w:bCs w:val="1"/>
                <w:color w:val="auto"/>
              </w:rPr>
              <w:t>Kim Sablich</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6"/>
                <w:szCs w:val="16"/>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center"/>
              <w:ind w:right="37"/>
              <w:spacing w:after="0"/>
              <w:rPr>
                <w:sz w:val="20"/>
                <w:szCs w:val="20"/>
                <w:color w:val="auto"/>
              </w:rPr>
            </w:pPr>
            <w:r>
              <w:rPr>
                <w:rFonts w:ascii="Arial" w:cs="Arial" w:eastAsia="Arial" w:hAnsi="Arial"/>
                <w:sz w:val="13"/>
                <w:szCs w:val="13"/>
                <w:color w:val="auto"/>
                <w:w w:val="91"/>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5,970</w:t>
            </w:r>
          </w:p>
        </w:tc>
        <w:tc>
          <w:tcPr>
            <w:tcW w:w="260" w:type="dxa"/>
            <w:vAlign w:val="bottom"/>
          </w:tcPr>
          <w:p>
            <w:pPr>
              <w:spacing w:after="0"/>
              <w:rPr>
                <w:sz w:val="20"/>
                <w:szCs w:val="20"/>
                <w:color w:val="auto"/>
              </w:rPr>
            </w:pPr>
            <w:r>
              <w:rPr>
                <w:rFonts w:ascii="Arial" w:cs="Arial" w:eastAsia="Arial" w:hAnsi="Arial"/>
                <w:sz w:val="8"/>
                <w:szCs w:val="8"/>
                <w:color w:val="auto"/>
              </w:rPr>
              <w:t>(9)</w:t>
            </w:r>
          </w:p>
        </w:tc>
        <w:tc>
          <w:tcPr>
            <w:tcW w:w="1180" w:type="dxa"/>
            <w:vAlign w:val="bottom"/>
          </w:tcPr>
          <w:p>
            <w:pPr>
              <w:jc w:val="right"/>
              <w:ind w:right="78"/>
              <w:spacing w:after="0"/>
              <w:rPr>
                <w:sz w:val="20"/>
                <w:szCs w:val="20"/>
                <w:color w:val="auto"/>
              </w:rPr>
            </w:pPr>
            <w:r>
              <w:rPr>
                <w:rFonts w:ascii="Arial" w:cs="Arial" w:eastAsia="Arial" w:hAnsi="Arial"/>
                <w:sz w:val="13"/>
                <w:szCs w:val="13"/>
                <w:color w:val="auto"/>
              </w:rPr>
              <w:t>734,310</w:t>
            </w: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15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8"/>
        </w:trPr>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center"/>
              <w:ind w:right="37"/>
              <w:spacing w:after="0"/>
              <w:rPr>
                <w:sz w:val="20"/>
                <w:szCs w:val="20"/>
                <w:color w:val="auto"/>
              </w:rPr>
            </w:pPr>
            <w:r>
              <w:rPr>
                <w:rFonts w:ascii="Arial" w:cs="Arial" w:eastAsia="Arial" w:hAnsi="Arial"/>
                <w:sz w:val="13"/>
                <w:szCs w:val="13"/>
                <w:color w:val="auto"/>
                <w:w w:val="91"/>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4,267</w:t>
            </w:r>
          </w:p>
        </w:tc>
        <w:tc>
          <w:tcPr>
            <w:tcW w:w="260" w:type="dxa"/>
            <w:vAlign w:val="bottom"/>
          </w:tcPr>
          <w:p>
            <w:pPr>
              <w:spacing w:after="0"/>
              <w:rPr>
                <w:sz w:val="20"/>
                <w:szCs w:val="20"/>
                <w:color w:val="auto"/>
              </w:rPr>
            </w:pPr>
            <w:r>
              <w:rPr>
                <w:rFonts w:ascii="Arial" w:cs="Arial" w:eastAsia="Arial" w:hAnsi="Arial"/>
                <w:sz w:val="8"/>
                <w:szCs w:val="8"/>
                <w:color w:val="auto"/>
              </w:rPr>
              <w:t>(10)</w:t>
            </w:r>
          </w:p>
        </w:tc>
        <w:tc>
          <w:tcPr>
            <w:tcW w:w="1180" w:type="dxa"/>
            <w:vAlign w:val="bottom"/>
          </w:tcPr>
          <w:p>
            <w:pPr>
              <w:jc w:val="right"/>
              <w:ind w:right="78"/>
              <w:spacing w:after="0"/>
              <w:rPr>
                <w:sz w:val="20"/>
                <w:szCs w:val="20"/>
                <w:color w:val="auto"/>
              </w:rPr>
            </w:pPr>
            <w:r>
              <w:rPr>
                <w:rFonts w:ascii="Arial" w:cs="Arial" w:eastAsia="Arial" w:hAnsi="Arial"/>
                <w:sz w:val="13"/>
                <w:szCs w:val="13"/>
                <w:color w:val="auto"/>
              </w:rPr>
              <w:t>524,841</w:t>
            </w: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5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center"/>
              <w:ind w:right="37"/>
              <w:spacing w:after="0"/>
              <w:rPr>
                <w:sz w:val="20"/>
                <w:szCs w:val="20"/>
                <w:color w:val="auto"/>
              </w:rPr>
            </w:pPr>
            <w:r>
              <w:rPr>
                <w:rFonts w:ascii="Arial" w:cs="Arial" w:eastAsia="Arial" w:hAnsi="Arial"/>
                <w:sz w:val="13"/>
                <w:szCs w:val="13"/>
                <w:color w:val="auto"/>
                <w:w w:val="91"/>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4,200</w:t>
            </w:r>
          </w:p>
        </w:tc>
        <w:tc>
          <w:tcPr>
            <w:tcW w:w="260" w:type="dxa"/>
            <w:vAlign w:val="bottom"/>
          </w:tcPr>
          <w:p>
            <w:pPr>
              <w:spacing w:after="0"/>
              <w:rPr>
                <w:sz w:val="20"/>
                <w:szCs w:val="20"/>
                <w:color w:val="auto"/>
              </w:rPr>
            </w:pPr>
            <w:r>
              <w:rPr>
                <w:rFonts w:ascii="Arial" w:cs="Arial" w:eastAsia="Arial" w:hAnsi="Arial"/>
                <w:sz w:val="8"/>
                <w:szCs w:val="8"/>
                <w:color w:val="auto"/>
              </w:rPr>
              <w:t>(19)</w:t>
            </w:r>
          </w:p>
        </w:tc>
        <w:tc>
          <w:tcPr>
            <w:tcW w:w="1180" w:type="dxa"/>
            <w:vAlign w:val="bottom"/>
          </w:tcPr>
          <w:p>
            <w:pPr>
              <w:jc w:val="right"/>
              <w:ind w:right="78"/>
              <w:spacing w:after="0"/>
              <w:rPr>
                <w:sz w:val="20"/>
                <w:szCs w:val="20"/>
                <w:color w:val="auto"/>
              </w:rPr>
            </w:pPr>
            <w:r>
              <w:rPr>
                <w:rFonts w:ascii="Arial" w:cs="Arial" w:eastAsia="Arial" w:hAnsi="Arial"/>
                <w:sz w:val="13"/>
                <w:szCs w:val="13"/>
                <w:color w:val="auto"/>
              </w:rPr>
              <w:t>516,600</w:t>
            </w: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5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5"/>
        </w:trPr>
        <w:tc>
          <w:tcPr>
            <w:tcW w:w="80" w:type="dxa"/>
            <w:vAlign w:val="bottom"/>
            <w:tcBorders>
              <w:bottom w:val="single" w:sz="8" w:color="852166"/>
            </w:tcBorders>
          </w:tcPr>
          <w:p>
            <w:pPr>
              <w:spacing w:after="0"/>
              <w:rPr>
                <w:sz w:val="4"/>
                <w:szCs w:val="4"/>
                <w:color w:val="auto"/>
              </w:rPr>
            </w:pPr>
          </w:p>
        </w:tc>
        <w:tc>
          <w:tcPr>
            <w:tcW w:w="1280" w:type="dxa"/>
            <w:vAlign w:val="bottom"/>
            <w:tcBorders>
              <w:bottom w:val="single" w:sz="8" w:color="852166"/>
            </w:tcBorders>
          </w:tcPr>
          <w:p>
            <w:pPr>
              <w:spacing w:after="0"/>
              <w:rPr>
                <w:sz w:val="4"/>
                <w:szCs w:val="4"/>
                <w:color w:val="auto"/>
              </w:rPr>
            </w:pPr>
          </w:p>
        </w:tc>
        <w:tc>
          <w:tcPr>
            <w:tcW w:w="1020" w:type="dxa"/>
            <w:vAlign w:val="bottom"/>
            <w:tcBorders>
              <w:bottom w:val="single" w:sz="8" w:color="852166"/>
            </w:tcBorders>
          </w:tcPr>
          <w:p>
            <w:pPr>
              <w:spacing w:after="0"/>
              <w:rPr>
                <w:sz w:val="4"/>
                <w:szCs w:val="4"/>
                <w:color w:val="auto"/>
              </w:rPr>
            </w:pPr>
          </w:p>
        </w:tc>
        <w:tc>
          <w:tcPr>
            <w:tcW w:w="260" w:type="dxa"/>
            <w:vAlign w:val="bottom"/>
            <w:tcBorders>
              <w:bottom w:val="single" w:sz="8" w:color="852166"/>
            </w:tcBorders>
          </w:tcPr>
          <w:p>
            <w:pPr>
              <w:spacing w:after="0"/>
              <w:rPr>
                <w:sz w:val="4"/>
                <w:szCs w:val="4"/>
                <w:color w:val="auto"/>
              </w:rPr>
            </w:pPr>
          </w:p>
        </w:tc>
        <w:tc>
          <w:tcPr>
            <w:tcW w:w="1140" w:type="dxa"/>
            <w:vAlign w:val="bottom"/>
            <w:tcBorders>
              <w:bottom w:val="single" w:sz="8" w:color="852166"/>
            </w:tcBorders>
          </w:tcPr>
          <w:p>
            <w:pPr>
              <w:spacing w:after="0"/>
              <w:rPr>
                <w:sz w:val="4"/>
                <w:szCs w:val="4"/>
                <w:color w:val="auto"/>
              </w:rPr>
            </w:pPr>
          </w:p>
        </w:tc>
        <w:tc>
          <w:tcPr>
            <w:tcW w:w="420" w:type="dxa"/>
            <w:vAlign w:val="bottom"/>
            <w:tcBorders>
              <w:bottom w:val="single" w:sz="8" w:color="852166"/>
            </w:tcBorders>
          </w:tcPr>
          <w:p>
            <w:pPr>
              <w:spacing w:after="0"/>
              <w:rPr>
                <w:sz w:val="4"/>
                <w:szCs w:val="4"/>
                <w:color w:val="auto"/>
              </w:rPr>
            </w:pPr>
          </w:p>
        </w:tc>
        <w:tc>
          <w:tcPr>
            <w:tcW w:w="740" w:type="dxa"/>
            <w:vAlign w:val="bottom"/>
            <w:tcBorders>
              <w:bottom w:val="single" w:sz="8" w:color="852166"/>
            </w:tcBorders>
          </w:tcPr>
          <w:p>
            <w:pPr>
              <w:spacing w:after="0"/>
              <w:rPr>
                <w:sz w:val="4"/>
                <w:szCs w:val="4"/>
                <w:color w:val="auto"/>
              </w:rPr>
            </w:pPr>
          </w:p>
        </w:tc>
        <w:tc>
          <w:tcPr>
            <w:tcW w:w="820" w:type="dxa"/>
            <w:vAlign w:val="bottom"/>
            <w:tcBorders>
              <w:bottom w:val="single" w:sz="8" w:color="852166"/>
            </w:tcBorders>
          </w:tcPr>
          <w:p>
            <w:pPr>
              <w:spacing w:after="0"/>
              <w:rPr>
                <w:sz w:val="4"/>
                <w:szCs w:val="4"/>
                <w:color w:val="auto"/>
              </w:rPr>
            </w:pPr>
          </w:p>
        </w:tc>
        <w:tc>
          <w:tcPr>
            <w:tcW w:w="1020" w:type="dxa"/>
            <w:vAlign w:val="bottom"/>
            <w:tcBorders>
              <w:bottom w:val="single" w:sz="8" w:color="852166"/>
            </w:tcBorders>
          </w:tcPr>
          <w:p>
            <w:pPr>
              <w:spacing w:after="0"/>
              <w:rPr>
                <w:sz w:val="4"/>
                <w:szCs w:val="4"/>
                <w:color w:val="auto"/>
              </w:rPr>
            </w:pPr>
          </w:p>
        </w:tc>
        <w:tc>
          <w:tcPr>
            <w:tcW w:w="260" w:type="dxa"/>
            <w:vAlign w:val="bottom"/>
            <w:tcBorders>
              <w:bottom w:val="single" w:sz="8" w:color="852166"/>
            </w:tcBorders>
          </w:tcPr>
          <w:p>
            <w:pPr>
              <w:spacing w:after="0"/>
              <w:rPr>
                <w:sz w:val="4"/>
                <w:szCs w:val="4"/>
                <w:color w:val="auto"/>
              </w:rPr>
            </w:pPr>
          </w:p>
        </w:tc>
        <w:tc>
          <w:tcPr>
            <w:tcW w:w="1180" w:type="dxa"/>
            <w:vAlign w:val="bottom"/>
            <w:tcBorders>
              <w:bottom w:val="single" w:sz="8" w:color="852166"/>
            </w:tcBorders>
          </w:tcPr>
          <w:p>
            <w:pPr>
              <w:spacing w:after="0"/>
              <w:rPr>
                <w:sz w:val="4"/>
                <w:szCs w:val="4"/>
                <w:color w:val="auto"/>
              </w:rPr>
            </w:pPr>
          </w:p>
        </w:tc>
        <w:tc>
          <w:tcPr>
            <w:tcW w:w="1240" w:type="dxa"/>
            <w:vAlign w:val="bottom"/>
            <w:tcBorders>
              <w:bottom w:val="single" w:sz="8" w:color="852166"/>
            </w:tcBorders>
          </w:tcPr>
          <w:p>
            <w:pPr>
              <w:spacing w:after="0"/>
              <w:rPr>
                <w:sz w:val="4"/>
                <w:szCs w:val="4"/>
                <w:color w:val="auto"/>
              </w:rPr>
            </w:pPr>
          </w:p>
        </w:tc>
        <w:tc>
          <w:tcPr>
            <w:tcW w:w="260" w:type="dxa"/>
            <w:vAlign w:val="bottom"/>
            <w:tcBorders>
              <w:bottom w:val="single" w:sz="8" w:color="852166"/>
            </w:tcBorders>
          </w:tcPr>
          <w:p>
            <w:pPr>
              <w:spacing w:after="0"/>
              <w:rPr>
                <w:sz w:val="4"/>
                <w:szCs w:val="4"/>
                <w:color w:val="auto"/>
              </w:rPr>
            </w:pPr>
          </w:p>
        </w:tc>
        <w:tc>
          <w:tcPr>
            <w:tcW w:w="1520" w:type="dxa"/>
            <w:vAlign w:val="bottom"/>
            <w:tcBorders>
              <w:bottom w:val="single" w:sz="8" w:color="852166"/>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-3411220</wp:posOffset>
            </wp:positionV>
            <wp:extent cx="621474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106" w:lineRule="exact"/>
        <w:rPr>
          <w:sz w:val="20"/>
          <w:szCs w:val="20"/>
          <w:color w:val="auto"/>
        </w:rPr>
      </w:pPr>
    </w:p>
    <w:p>
      <w:pPr>
        <w:ind w:left="340" w:right="40" w:hanging="332"/>
        <w:spacing w:after="0" w:line="290" w:lineRule="auto"/>
        <w:tabs>
          <w:tab w:leader="none" w:pos="327" w:val="left"/>
        </w:tabs>
        <w:numPr>
          <w:ilvl w:val="0"/>
          <w:numId w:val="78"/>
        </w:numPr>
        <w:rPr>
          <w:rFonts w:ascii="Arial" w:cs="Arial" w:eastAsia="Arial" w:hAnsi="Arial"/>
          <w:sz w:val="14"/>
          <w:szCs w:val="14"/>
          <w:color w:val="auto"/>
        </w:rPr>
      </w:pPr>
      <w:r>
        <w:rPr>
          <w:rFonts w:ascii="Arial" w:cs="Arial" w:eastAsia="Arial" w:hAnsi="Arial"/>
          <w:sz w:val="14"/>
          <w:szCs w:val="14"/>
          <w:color w:val="auto"/>
        </w:rPr>
        <w:t xml:space="preserve">In addition to the specific vesting schedule for each stock award, each unvested stock award is subject to the general terms of the 2011 Plan, as applicable, including the potential for future vesting acceleration described above under the heading </w:t>
      </w:r>
      <w:r>
        <w:rPr>
          <w:rFonts w:ascii="Arial" w:cs="Arial" w:eastAsia="Arial" w:hAnsi="Arial"/>
          <w:sz w:val="14"/>
          <w:szCs w:val="14"/>
          <w:i w:val="1"/>
          <w:iCs w:val="1"/>
          <w:color w:val="auto"/>
        </w:rPr>
        <w:t>“Description of Compensation Arrangements— Equity Compensation Arrangements”</w:t>
      </w:r>
      <w:r>
        <w:rPr>
          <w:rFonts w:ascii="Arial" w:cs="Arial" w:eastAsia="Arial" w:hAnsi="Arial"/>
          <w:sz w:val="14"/>
          <w:szCs w:val="14"/>
          <w:color w:val="auto"/>
        </w:rPr>
        <w:t xml:space="preserve"> as well as the potential vesting acceleration (i) under the terms of the change in control plan described below under the heading “Potential Payments upon Termination or Change in Control—Amended and Restated Executive Change in Control and Severance Benefit Plan” and (ii) pursuant to the 2021, 2022 and 2023 RSU and PSU award agreements described under, </w:t>
      </w:r>
      <w:r>
        <w:rPr>
          <w:rFonts w:ascii="Arial" w:cs="Arial" w:eastAsia="Arial" w:hAnsi="Arial"/>
          <w:sz w:val="14"/>
          <w:szCs w:val="14"/>
          <w:i w:val="1"/>
          <w:iCs w:val="1"/>
          <w:color w:val="auto"/>
        </w:rPr>
        <w:t>“Potential Payments upon Termination or Change in Control—Treatment of 2021, 2022 and 2023 RSUs”</w:t>
      </w:r>
      <w:r>
        <w:rPr>
          <w:rFonts w:ascii="Arial" w:cs="Arial" w:eastAsia="Arial" w:hAnsi="Arial"/>
          <w:sz w:val="14"/>
          <w:szCs w:val="14"/>
          <w:color w:val="auto"/>
        </w:rPr>
        <w:t xml:space="preserve"> and </w:t>
      </w:r>
      <w:r>
        <w:rPr>
          <w:rFonts w:ascii="Arial" w:cs="Arial" w:eastAsia="Arial" w:hAnsi="Arial"/>
          <w:sz w:val="14"/>
          <w:szCs w:val="14"/>
          <w:i w:val="1"/>
          <w:iCs w:val="1"/>
          <w:color w:val="auto"/>
        </w:rPr>
        <w:t>“Potential Payments upon</w:t>
      </w:r>
      <w:r>
        <w:rPr>
          <w:rFonts w:ascii="Arial" w:cs="Arial" w:eastAsia="Arial" w:hAnsi="Arial"/>
          <w:sz w:val="14"/>
          <w:szCs w:val="14"/>
          <w:color w:val="auto"/>
        </w:rPr>
        <w:t xml:space="preserve"> </w:t>
      </w:r>
      <w:r>
        <w:rPr>
          <w:rFonts w:ascii="Arial" w:cs="Arial" w:eastAsia="Arial" w:hAnsi="Arial"/>
          <w:sz w:val="14"/>
          <w:szCs w:val="14"/>
          <w:i w:val="1"/>
          <w:iCs w:val="1"/>
          <w:color w:val="auto"/>
        </w:rPr>
        <w:t>Termination or Change in Control—Treatment of 2021, 2022 and 2023 PSUs.”</w:t>
      </w:r>
    </w:p>
    <w:p>
      <w:pPr>
        <w:spacing w:after="0" w:line="20" w:lineRule="exact"/>
        <w:rPr>
          <w:rFonts w:ascii="Arial" w:cs="Arial" w:eastAsia="Arial" w:hAnsi="Arial"/>
          <w:sz w:val="14"/>
          <w:szCs w:val="14"/>
          <w:color w:val="auto"/>
        </w:rPr>
      </w:pPr>
    </w:p>
    <w:p>
      <w:pPr>
        <w:ind w:left="340" w:right="260" w:hanging="332"/>
        <w:spacing w:after="0" w:line="289" w:lineRule="auto"/>
        <w:tabs>
          <w:tab w:leader="none" w:pos="327" w:val="left"/>
        </w:tabs>
        <w:numPr>
          <w:ilvl w:val="0"/>
          <w:numId w:val="78"/>
        </w:numPr>
        <w:rPr>
          <w:rFonts w:ascii="Arial" w:cs="Arial" w:eastAsia="Arial" w:hAnsi="Arial"/>
          <w:sz w:val="14"/>
          <w:szCs w:val="14"/>
          <w:color w:val="auto"/>
        </w:rPr>
      </w:pPr>
      <w:r>
        <w:rPr>
          <w:rFonts w:ascii="Arial" w:cs="Arial" w:eastAsia="Arial" w:hAnsi="Arial"/>
          <w:sz w:val="14"/>
          <w:szCs w:val="14"/>
          <w:color w:val="auto"/>
        </w:rPr>
        <w:t>As a general matter, stock options granted to NEOs expire on the day before the tenth anniversary of their grant date, or earlier in the event of an NEO’s termination of service. In the event of an NEO’s termination of service, stock options generally expire three months after such termination of service, subject to extension under limited circumstances such as if the sale of shares during such time was prohibited by our insider trading policy or if exercise would result in violation of securities registration requirements. For more information, see description under the heading “Potential Payments upon Termination or Change in Control—Equity Compensation Plans.”</w:t>
      </w:r>
    </w:p>
    <w:p>
      <w:pPr>
        <w:spacing w:after="0" w:line="21" w:lineRule="exact"/>
        <w:rPr>
          <w:rFonts w:ascii="Arial" w:cs="Arial" w:eastAsia="Arial" w:hAnsi="Arial"/>
          <w:sz w:val="14"/>
          <w:szCs w:val="14"/>
          <w:color w:val="auto"/>
        </w:rPr>
      </w:pPr>
    </w:p>
    <w:p>
      <w:pPr>
        <w:ind w:left="340" w:right="240" w:hanging="332"/>
        <w:spacing w:after="0" w:line="322" w:lineRule="auto"/>
        <w:tabs>
          <w:tab w:leader="none" w:pos="327"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market values of the time-based RSU awards and PSU awards that have not vested are calculated by multiplying the number of shares underlying the RSU awards and PSU awards shown in the table by $123.00, the closing price of our ordinary shares on December 29, 2023.</w:t>
      </w:r>
    </w:p>
    <w:p>
      <w:pPr>
        <w:ind w:left="340" w:right="340" w:hanging="332"/>
        <w:spacing w:after="0" w:line="311" w:lineRule="auto"/>
        <w:tabs>
          <w:tab w:leader="none" w:pos="327"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market values of the PSU awards that have not vested are calculated by multiplying the target number of shares underlying the PSU awards shown in the table by $123.00, the closing price of our ordinary shares on December 29, 2023.</w:t>
      </w:r>
    </w:p>
    <w:p>
      <w:pPr>
        <w:spacing w:after="0" w:line="1" w:lineRule="exact"/>
        <w:rPr>
          <w:rFonts w:ascii="Arial" w:cs="Arial" w:eastAsia="Arial" w:hAnsi="Arial"/>
          <w:sz w:val="14"/>
          <w:szCs w:val="14"/>
          <w:color w:val="auto"/>
        </w:rPr>
      </w:pPr>
    </w:p>
    <w:p>
      <w:pPr>
        <w:ind w:left="340" w:right="560" w:hanging="332"/>
        <w:spacing w:after="0" w:line="322" w:lineRule="auto"/>
        <w:tabs>
          <w:tab w:leader="none" w:pos="327"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number of shares reported reflects the transfer of beneficial ownership of a portion of the indicated stock option awards in 2015 to Mr. Cozadd’s former spouse pursuant to a domestic relations order.</w:t>
      </w: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unexercisable shares subject to this stock option award as of December 31, 2023 vest monthly from January 27, 2023 to February 27, 2024.</w:t>
      </w:r>
    </w:p>
    <w:p>
      <w:pPr>
        <w:spacing w:after="0" w:line="82" w:lineRule="exact"/>
        <w:rPr>
          <w:rFonts w:ascii="Arial" w:cs="Arial" w:eastAsia="Arial" w:hAnsi="Arial"/>
          <w:sz w:val="14"/>
          <w:szCs w:val="14"/>
          <w:color w:val="auto"/>
        </w:rPr>
      </w:pP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Time-based RSUs awarded on March 3, 2023, vesting in equal annual installments over four years measured from the vesting commencement date of March 5, 2023.</w:t>
      </w:r>
    </w:p>
    <w:p>
      <w:pPr>
        <w:spacing w:after="0" w:line="82" w:lineRule="exact"/>
        <w:rPr>
          <w:rFonts w:ascii="Arial" w:cs="Arial" w:eastAsia="Arial" w:hAnsi="Arial"/>
          <w:sz w:val="14"/>
          <w:szCs w:val="14"/>
          <w:color w:val="auto"/>
        </w:rPr>
      </w:pP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Time-based RSUs awarded on March 3, 2022, vesting in equal annual installments over four years measured from the vesting commencement date of March 5, 2022.</w:t>
      </w:r>
    </w:p>
    <w:p>
      <w:pPr>
        <w:spacing w:after="0" w:line="82" w:lineRule="exact"/>
        <w:rPr>
          <w:rFonts w:ascii="Arial" w:cs="Arial" w:eastAsia="Arial" w:hAnsi="Arial"/>
          <w:sz w:val="14"/>
          <w:szCs w:val="14"/>
          <w:color w:val="auto"/>
        </w:rPr>
      </w:pPr>
    </w:p>
    <w:p>
      <w:pPr>
        <w:ind w:left="340" w:right="120" w:hanging="332"/>
        <w:spacing w:after="0" w:line="322" w:lineRule="auto"/>
        <w:tabs>
          <w:tab w:leader="none" w:pos="327"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This reflects the actual number of shares earned under PSUs granted in 2021 based on the performance period ended December 31, 2023. The PSUs vested on January 17, 2024.</w:t>
      </w:r>
    </w:p>
    <w:p>
      <w:pPr>
        <w:ind w:left="340" w:hanging="332"/>
        <w:spacing w:after="0"/>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Time-based RSUs awarded on February 25, 2021, vesting in equal annual installments over four years measured from the vesting commencement date of March 5, 2021.</w:t>
      </w:r>
    </w:p>
    <w:p>
      <w:pPr>
        <w:spacing w:after="0" w:line="68" w:lineRule="exact"/>
        <w:rPr>
          <w:rFonts w:ascii="Arial" w:cs="Arial" w:eastAsia="Arial" w:hAnsi="Arial"/>
          <w:sz w:val="14"/>
          <w:szCs w:val="14"/>
          <w:color w:val="auto"/>
        </w:rPr>
      </w:pP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Time-based RSUs awarded on February 27, 2020, vesting in equal annual installments over four years measured from the vesting commencement date of March 5, 2020.</w:t>
      </w:r>
    </w:p>
    <w:p>
      <w:pPr>
        <w:spacing w:after="0" w:line="200" w:lineRule="exact"/>
        <w:rPr>
          <w:sz w:val="20"/>
          <w:szCs w:val="20"/>
          <w:color w:val="auto"/>
        </w:rPr>
      </w:pPr>
    </w:p>
    <w:p>
      <w:pPr>
        <w:spacing w:after="0" w:line="395"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74</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78" w:name="page79"/>
    <w:bookmarkEnd w:id="78"/>
    <w:p>
      <w:pPr>
        <w:ind w:left="340" w:hanging="332"/>
        <w:spacing w:after="0" w:line="289" w:lineRule="auto"/>
        <w:tabs>
          <w:tab w:leader="none" w:pos="339" w:val="left"/>
        </w:tabs>
        <w:numPr>
          <w:ilvl w:val="0"/>
          <w:numId w:val="79"/>
        </w:numPr>
        <w:rPr>
          <w:rFonts w:ascii="Arial" w:cs="Arial" w:eastAsia="Arial" w:hAnsi="Arial"/>
          <w:sz w:val="14"/>
          <w:szCs w:val="14"/>
          <w:color w:val="auto"/>
        </w:rPr>
      </w:pPr>
      <w:r>
        <w:rPr>
          <w:rFonts w:ascii="Arial" w:cs="Arial" w:eastAsia="Arial" w:hAnsi="Arial"/>
          <w:sz w:val="14"/>
          <w:szCs w:val="14"/>
          <w:color w:val="auto"/>
        </w:rPr>
        <w:t>For the PSUs granted in 2023, the target number of PSUs is shown in each case assuming target performance of 100% and a TSR modifier of 100%. The actual number of PSUs that will be earned is not yet determinable. For additional information on the 2023 PSUs, see “Compensation Discussion and Analysis—2023 Compensation Decisions for Our Named Executive Officers—Long-Term Incentive Program” and “Compensation Discussion and Analysis—Goals for and Achievement of 2023 Performance-Based Compensation—2023 – 2025 PSU Program” above.</w:t>
      </w:r>
    </w:p>
    <w:p>
      <w:pPr>
        <w:spacing w:after="0" w:line="21" w:lineRule="exact"/>
        <w:rPr>
          <w:rFonts w:ascii="Arial" w:cs="Arial" w:eastAsia="Arial" w:hAnsi="Arial"/>
          <w:sz w:val="14"/>
          <w:szCs w:val="14"/>
          <w:color w:val="auto"/>
        </w:rPr>
      </w:pPr>
    </w:p>
    <w:p>
      <w:pPr>
        <w:ind w:left="340" w:hanging="332"/>
        <w:spacing w:after="0" w:line="296" w:lineRule="auto"/>
        <w:tabs>
          <w:tab w:leader="none" w:pos="339" w:val="left"/>
        </w:tabs>
        <w:numPr>
          <w:ilvl w:val="0"/>
          <w:numId w:val="79"/>
        </w:numPr>
        <w:rPr>
          <w:rFonts w:ascii="Arial" w:cs="Arial" w:eastAsia="Arial" w:hAnsi="Arial"/>
          <w:sz w:val="14"/>
          <w:szCs w:val="14"/>
          <w:color w:val="auto"/>
        </w:rPr>
      </w:pPr>
      <w:r>
        <w:rPr>
          <w:rFonts w:ascii="Arial" w:cs="Arial" w:eastAsia="Arial" w:hAnsi="Arial"/>
          <w:sz w:val="14"/>
          <w:szCs w:val="14"/>
          <w:color w:val="auto"/>
        </w:rPr>
        <w:t>For the PSUs granted in 2022, the target number of PSUs is shown in each case assuming target performance of 100% and a TSR modifier of 100%. The actual number of PSUs that could be earned is between 0% and 200% of the target number of PSUs, which vest depending on our achievement with respect to certain performance criteria and our relative TSR compared to the constituents of the Russell 1000 pharmaceutical component companies over the three-year performance period. In accordance with SEC rules the amounts reported reflect target performance. The actual number of PSUs that will be earned is not yet determinable.</w:t>
      </w:r>
    </w:p>
    <w:p>
      <w:pPr>
        <w:spacing w:after="0" w:line="15" w:lineRule="exact"/>
        <w:rPr>
          <w:rFonts w:ascii="Arial" w:cs="Arial" w:eastAsia="Arial" w:hAnsi="Arial"/>
          <w:sz w:val="14"/>
          <w:szCs w:val="14"/>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unexercisable shares subject to this stock option award as of December 31, 2023 vest monthly from January 16, 2023 to March 16, 2024.</w:t>
      </w:r>
    </w:p>
    <w:p>
      <w:pPr>
        <w:spacing w:after="0" w:line="82" w:lineRule="exact"/>
        <w:rPr>
          <w:rFonts w:ascii="Arial" w:cs="Arial" w:eastAsia="Arial" w:hAnsi="Arial"/>
          <w:sz w:val="14"/>
          <w:szCs w:val="14"/>
          <w:color w:val="auto"/>
        </w:rPr>
      </w:pPr>
    </w:p>
    <w:p>
      <w:pPr>
        <w:ind w:left="340" w:right="140" w:hanging="332"/>
        <w:spacing w:after="0" w:line="305" w:lineRule="auto"/>
        <w:tabs>
          <w:tab w:leader="none" w:pos="339" w:val="left"/>
        </w:tabs>
        <w:numPr>
          <w:ilvl w:val="0"/>
          <w:numId w:val="79"/>
        </w:numPr>
        <w:rPr>
          <w:rFonts w:ascii="Arial" w:cs="Arial" w:eastAsia="Arial" w:hAnsi="Arial"/>
          <w:sz w:val="14"/>
          <w:szCs w:val="14"/>
          <w:color w:val="auto"/>
        </w:rPr>
      </w:pPr>
      <w:r>
        <w:rPr>
          <w:rFonts w:ascii="Arial" w:cs="Arial" w:eastAsia="Arial" w:hAnsi="Arial"/>
          <w:sz w:val="14"/>
          <w:szCs w:val="14"/>
          <w:color w:val="auto"/>
        </w:rPr>
        <w:t>Time-based RSUs awarded on November 10, 2023, vesting in equal annual installments over four years measured from the vesting commencement date of December 5, 2023.</w:t>
      </w:r>
    </w:p>
    <w:p>
      <w:pPr>
        <w:spacing w:after="0" w:line="9" w:lineRule="exact"/>
        <w:rPr>
          <w:rFonts w:ascii="Arial" w:cs="Arial" w:eastAsia="Arial" w:hAnsi="Arial"/>
          <w:sz w:val="14"/>
          <w:szCs w:val="14"/>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Time-based RSUs awarded on May 7, 2020, vesting in equal annual installments over four years measured from the vesting commencement date of April 5, 2020.</w:t>
      </w:r>
    </w:p>
    <w:p>
      <w:pPr>
        <w:spacing w:after="0" w:line="82" w:lineRule="exact"/>
        <w:rPr>
          <w:rFonts w:ascii="Arial" w:cs="Arial" w:eastAsia="Arial" w:hAnsi="Arial"/>
          <w:sz w:val="14"/>
          <w:szCs w:val="14"/>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number of shares reported reflects the transfer of a portion of the awards in 2022 to Mr. Swisher’s former spouse pursuant to a qualified domestic relations order.</w:t>
      </w:r>
    </w:p>
    <w:p>
      <w:pPr>
        <w:spacing w:after="0" w:line="82" w:lineRule="exact"/>
        <w:rPr>
          <w:rFonts w:ascii="Arial" w:cs="Arial" w:eastAsia="Arial" w:hAnsi="Arial"/>
          <w:sz w:val="14"/>
          <w:szCs w:val="14"/>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unexercisable shares subject to this stock option award as of December 31, 2023 vest monthly from January 1, 2024 to June 1, 2024.</w:t>
      </w:r>
    </w:p>
    <w:p>
      <w:pPr>
        <w:spacing w:after="0" w:line="82" w:lineRule="exact"/>
        <w:rPr>
          <w:rFonts w:ascii="Arial" w:cs="Arial" w:eastAsia="Arial" w:hAnsi="Arial"/>
          <w:sz w:val="14"/>
          <w:szCs w:val="14"/>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Time-based RSUs awarded on August 6, 2020, vesting in equal annual installments over four years measured from the vesting commencement date of June 5, 2020.</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Option Exercises and Stock Vested</w:t>
      </w:r>
    </w:p>
    <w:p>
      <w:pPr>
        <w:spacing w:after="0" w:line="131" w:lineRule="exact"/>
        <w:rPr>
          <w:sz w:val="20"/>
          <w:szCs w:val="20"/>
          <w:color w:val="auto"/>
        </w:rPr>
      </w:pPr>
    </w:p>
    <w:p>
      <w:pPr>
        <w:ind w:right="260"/>
        <w:spacing w:after="0" w:line="339" w:lineRule="auto"/>
        <w:rPr>
          <w:sz w:val="20"/>
          <w:szCs w:val="20"/>
          <w:color w:val="auto"/>
        </w:rPr>
      </w:pPr>
      <w:r>
        <w:rPr>
          <w:rFonts w:ascii="Arial" w:cs="Arial" w:eastAsia="Arial" w:hAnsi="Arial"/>
          <w:sz w:val="16"/>
          <w:szCs w:val="16"/>
          <w:color w:val="auto"/>
        </w:rPr>
        <w:t>The following table provides information on stock awards vested and stock options exercised, including the number of shares acquired upon exercise and the value realized, determined as described below, for the NEOs in the year ended December 31, 2023.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shd w:val="clear" w:color="auto" w:fill="852166"/>
          </w:tcPr>
          <w:p>
            <w:pPr>
              <w:spacing w:after="0"/>
              <w:rPr>
                <w:sz w:val="18"/>
                <w:szCs w:val="18"/>
                <w:color w:val="auto"/>
              </w:rPr>
            </w:pPr>
          </w:p>
        </w:tc>
        <w:tc>
          <w:tcPr>
            <w:tcW w:w="2800" w:type="dxa"/>
            <w:vAlign w:val="bottom"/>
            <w:gridSpan w:val="2"/>
            <w:shd w:val="clear" w:color="auto" w:fill="852166"/>
          </w:tcPr>
          <w:p>
            <w:pPr>
              <w:jc w:val="right"/>
              <w:ind w:right="888"/>
              <w:spacing w:after="0"/>
              <w:rPr>
                <w:sz w:val="20"/>
                <w:szCs w:val="20"/>
                <w:color w:val="auto"/>
              </w:rPr>
            </w:pPr>
            <w:r>
              <w:rPr>
                <w:rFonts w:ascii="Arial" w:cs="Arial" w:eastAsia="Arial" w:hAnsi="Arial"/>
                <w:sz w:val="14"/>
                <w:szCs w:val="14"/>
                <w:b w:val="1"/>
                <w:bCs w:val="1"/>
                <w:color w:val="FFFFFF"/>
              </w:rPr>
              <w:t>Option Awards</w:t>
            </w:r>
          </w:p>
        </w:tc>
        <w:tc>
          <w:tcPr>
            <w:tcW w:w="1900" w:type="dxa"/>
            <w:vAlign w:val="bottom"/>
            <w:shd w:val="clear" w:color="auto" w:fill="852166"/>
          </w:tcPr>
          <w:p>
            <w:pPr>
              <w:jc w:val="right"/>
              <w:spacing w:after="0"/>
              <w:rPr>
                <w:sz w:val="20"/>
                <w:szCs w:val="20"/>
                <w:color w:val="auto"/>
              </w:rPr>
            </w:pPr>
            <w:r>
              <w:rPr>
                <w:rFonts w:ascii="Arial" w:cs="Arial" w:eastAsia="Arial" w:hAnsi="Arial"/>
                <w:sz w:val="14"/>
                <w:szCs w:val="14"/>
                <w:b w:val="1"/>
                <w:bCs w:val="1"/>
                <w:color w:val="FFFFFF"/>
              </w:rPr>
              <w:t>Stock Awards</w:t>
            </w:r>
          </w:p>
        </w:tc>
        <w:tc>
          <w:tcPr>
            <w:tcW w:w="940" w:type="dxa"/>
            <w:vAlign w:val="bottom"/>
            <w:shd w:val="clear" w:color="auto" w:fill="852166"/>
          </w:tcPr>
          <w:p>
            <w:pPr>
              <w:spacing w:after="0"/>
              <w:rPr>
                <w:sz w:val="18"/>
                <w:szCs w:val="18"/>
                <w:color w:val="auto"/>
              </w:rPr>
            </w:pPr>
          </w:p>
        </w:tc>
      </w:tr>
      <w:tr>
        <w:trPr>
          <w:trHeight w:val="207"/>
        </w:trPr>
        <w:tc>
          <w:tcPr>
            <w:tcW w:w="5600" w:type="dxa"/>
            <w:vAlign w:val="bottom"/>
            <w:shd w:val="clear" w:color="auto" w:fill="852166"/>
          </w:tcPr>
          <w:p>
            <w:pPr>
              <w:spacing w:after="0"/>
              <w:rPr>
                <w:sz w:val="17"/>
                <w:szCs w:val="17"/>
                <w:color w:val="auto"/>
              </w:rPr>
            </w:pPr>
          </w:p>
        </w:tc>
        <w:tc>
          <w:tcPr>
            <w:tcW w:w="1560" w:type="dxa"/>
            <w:vAlign w:val="bottom"/>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Number of</w:t>
            </w:r>
          </w:p>
        </w:tc>
        <w:tc>
          <w:tcPr>
            <w:tcW w:w="1240" w:type="dxa"/>
            <w:vAlign w:val="bottom"/>
            <w:shd w:val="clear" w:color="auto" w:fill="852166"/>
          </w:tcPr>
          <w:p>
            <w:pPr>
              <w:spacing w:after="0"/>
              <w:rPr>
                <w:sz w:val="17"/>
                <w:szCs w:val="17"/>
                <w:color w:val="auto"/>
              </w:rPr>
            </w:pPr>
          </w:p>
        </w:tc>
        <w:tc>
          <w:tcPr>
            <w:tcW w:w="1900" w:type="dxa"/>
            <w:vAlign w:val="bottom"/>
            <w:shd w:val="clear" w:color="auto" w:fill="852166"/>
          </w:tcPr>
          <w:p>
            <w:pPr>
              <w:spacing w:after="0"/>
              <w:rPr>
                <w:sz w:val="17"/>
                <w:szCs w:val="17"/>
                <w:color w:val="auto"/>
              </w:rPr>
            </w:pPr>
          </w:p>
        </w:tc>
        <w:tc>
          <w:tcPr>
            <w:tcW w:w="940" w:type="dxa"/>
            <w:vAlign w:val="bottom"/>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Value</w:t>
            </w:r>
          </w:p>
        </w:tc>
      </w:tr>
      <w:tr>
        <w:trPr>
          <w:trHeight w:val="175"/>
        </w:trPr>
        <w:tc>
          <w:tcPr>
            <w:tcW w:w="5600" w:type="dxa"/>
            <w:vAlign w:val="bottom"/>
            <w:shd w:val="clear" w:color="auto" w:fill="852166"/>
          </w:tcPr>
          <w:p>
            <w:pPr>
              <w:spacing w:after="0"/>
              <w:rPr>
                <w:sz w:val="15"/>
                <w:szCs w:val="15"/>
                <w:color w:val="auto"/>
              </w:rPr>
            </w:pPr>
          </w:p>
        </w:tc>
        <w:tc>
          <w:tcPr>
            <w:tcW w:w="1560" w:type="dxa"/>
            <w:vAlign w:val="bottom"/>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Shares Acquired</w:t>
            </w:r>
          </w:p>
        </w:tc>
        <w:tc>
          <w:tcPr>
            <w:tcW w:w="1240" w:type="dxa"/>
            <w:vAlign w:val="bottom"/>
            <w:shd w:val="clear" w:color="auto" w:fill="852166"/>
          </w:tcPr>
          <w:p>
            <w:pPr>
              <w:jc w:val="right"/>
              <w:ind w:right="88"/>
              <w:spacing w:after="0"/>
              <w:rPr>
                <w:sz w:val="20"/>
                <w:szCs w:val="20"/>
                <w:color w:val="auto"/>
              </w:rPr>
            </w:pPr>
            <w:r>
              <w:rPr>
                <w:rFonts w:ascii="Arial" w:cs="Arial" w:eastAsia="Arial" w:hAnsi="Arial"/>
                <w:sz w:val="14"/>
                <w:szCs w:val="14"/>
                <w:b w:val="1"/>
                <w:bCs w:val="1"/>
                <w:color w:val="FFFFFF"/>
              </w:rPr>
              <w:t>Value Realized</w:t>
            </w:r>
          </w:p>
        </w:tc>
        <w:tc>
          <w:tcPr>
            <w:tcW w:w="1900" w:type="dxa"/>
            <w:vAlign w:val="bottom"/>
            <w:shd w:val="clear" w:color="auto" w:fill="852166"/>
          </w:tcPr>
          <w:p>
            <w:pPr>
              <w:jc w:val="right"/>
              <w:ind w:right="268"/>
              <w:spacing w:after="0"/>
              <w:rPr>
                <w:sz w:val="20"/>
                <w:szCs w:val="20"/>
                <w:color w:val="auto"/>
              </w:rPr>
            </w:pPr>
            <w:r>
              <w:rPr>
                <w:rFonts w:ascii="Arial" w:cs="Arial" w:eastAsia="Arial" w:hAnsi="Arial"/>
                <w:sz w:val="14"/>
                <w:szCs w:val="14"/>
                <w:b w:val="1"/>
                <w:bCs w:val="1"/>
                <w:color w:val="FFFFFF"/>
              </w:rPr>
              <w:t>Number of Shares</w:t>
            </w:r>
          </w:p>
        </w:tc>
        <w:tc>
          <w:tcPr>
            <w:tcW w:w="940" w:type="dxa"/>
            <w:vAlign w:val="bottom"/>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Realized on</w:t>
            </w:r>
          </w:p>
        </w:tc>
      </w:tr>
      <w:tr>
        <w:trPr>
          <w:trHeight w:val="173"/>
        </w:trPr>
        <w:tc>
          <w:tcPr>
            <w:tcW w:w="5600" w:type="dxa"/>
            <w:vAlign w:val="bottom"/>
            <w:shd w:val="clear" w:color="auto" w:fill="852166"/>
          </w:tcPr>
          <w:p>
            <w:pPr>
              <w:spacing w:after="0"/>
              <w:rPr>
                <w:sz w:val="15"/>
                <w:szCs w:val="15"/>
                <w:color w:val="auto"/>
              </w:rPr>
            </w:pPr>
          </w:p>
        </w:tc>
        <w:tc>
          <w:tcPr>
            <w:tcW w:w="1560" w:type="dxa"/>
            <w:vAlign w:val="bottom"/>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on Exercise</w:t>
            </w:r>
          </w:p>
        </w:tc>
        <w:tc>
          <w:tcPr>
            <w:tcW w:w="1240" w:type="dxa"/>
            <w:vAlign w:val="bottom"/>
            <w:shd w:val="clear" w:color="auto" w:fill="852166"/>
          </w:tcPr>
          <w:p>
            <w:pPr>
              <w:jc w:val="right"/>
              <w:ind w:right="88"/>
              <w:spacing w:after="0"/>
              <w:rPr>
                <w:sz w:val="20"/>
                <w:szCs w:val="20"/>
                <w:color w:val="auto"/>
              </w:rPr>
            </w:pPr>
            <w:r>
              <w:rPr>
                <w:rFonts w:ascii="Arial" w:cs="Arial" w:eastAsia="Arial" w:hAnsi="Arial"/>
                <w:sz w:val="14"/>
                <w:szCs w:val="14"/>
                <w:b w:val="1"/>
                <w:bCs w:val="1"/>
                <w:color w:val="FFFFFF"/>
              </w:rPr>
              <w:t>on Exercise</w:t>
            </w:r>
          </w:p>
        </w:tc>
        <w:tc>
          <w:tcPr>
            <w:tcW w:w="1900" w:type="dxa"/>
            <w:vAlign w:val="bottom"/>
            <w:shd w:val="clear" w:color="auto" w:fill="852166"/>
          </w:tcPr>
          <w:p>
            <w:pPr>
              <w:jc w:val="right"/>
              <w:ind w:right="268"/>
              <w:spacing w:after="0"/>
              <w:rPr>
                <w:sz w:val="20"/>
                <w:szCs w:val="20"/>
                <w:color w:val="auto"/>
              </w:rPr>
            </w:pPr>
            <w:r>
              <w:rPr>
                <w:rFonts w:ascii="Arial" w:cs="Arial" w:eastAsia="Arial" w:hAnsi="Arial"/>
                <w:sz w:val="14"/>
                <w:szCs w:val="14"/>
                <w:b w:val="1"/>
                <w:bCs w:val="1"/>
                <w:color w:val="FFFFFF"/>
              </w:rPr>
              <w:t>Acquired on Vesting</w:t>
            </w:r>
          </w:p>
        </w:tc>
        <w:tc>
          <w:tcPr>
            <w:tcW w:w="940" w:type="dxa"/>
            <w:vAlign w:val="bottom"/>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Vesting</w:t>
            </w:r>
          </w:p>
        </w:tc>
      </w:tr>
      <w:tr>
        <w:trPr>
          <w:trHeight w:val="248"/>
        </w:trPr>
        <w:tc>
          <w:tcPr>
            <w:tcW w:w="5600" w:type="dxa"/>
            <w:vAlign w:val="bottom"/>
            <w:tcBorders>
              <w:bottom w:val="single" w:sz="8" w:color="852166"/>
            </w:tcBorders>
            <w:shd w:val="clear" w:color="auto" w:fill="852166"/>
          </w:tcPr>
          <w:p>
            <w:pPr>
              <w:ind w:left="100"/>
              <w:spacing w:after="0"/>
              <w:rPr>
                <w:sz w:val="20"/>
                <w:szCs w:val="20"/>
                <w:color w:val="auto"/>
              </w:rPr>
            </w:pPr>
            <w:r>
              <w:rPr>
                <w:rFonts w:ascii="Arial" w:cs="Arial" w:eastAsia="Arial" w:hAnsi="Arial"/>
                <w:sz w:val="14"/>
                <w:szCs w:val="14"/>
                <w:b w:val="1"/>
                <w:bCs w:val="1"/>
                <w:color w:val="FFFFFF"/>
              </w:rPr>
              <w:t>Name</w:t>
            </w:r>
          </w:p>
        </w:tc>
        <w:tc>
          <w:tcPr>
            <w:tcW w:w="1560" w:type="dxa"/>
            <w:vAlign w:val="bottom"/>
            <w:tcBorders>
              <w:bottom w:val="single" w:sz="8" w:color="852166"/>
            </w:tcBorders>
            <w:shd w:val="clear" w:color="auto" w:fill="852166"/>
          </w:tcPr>
          <w:p>
            <w:pPr>
              <w:jc w:val="right"/>
              <w:ind w:right="8"/>
              <w:spacing w:after="0"/>
              <w:rPr>
                <w:sz w:val="20"/>
                <w:szCs w:val="20"/>
                <w:color w:val="auto"/>
              </w:rPr>
            </w:pPr>
            <w:r>
              <w:rPr>
                <w:rFonts w:ascii="Arial" w:cs="Arial" w:eastAsia="Arial" w:hAnsi="Arial"/>
                <w:sz w:val="14"/>
                <w:szCs w:val="14"/>
                <w:b w:val="1"/>
                <w:bCs w:val="1"/>
                <w:color w:val="FFFFFF"/>
              </w:rPr>
              <w:t>(#)</w:t>
            </w:r>
          </w:p>
        </w:tc>
        <w:tc>
          <w:tcPr>
            <w:tcW w:w="1240" w:type="dxa"/>
            <w:vAlign w:val="bottom"/>
            <w:tcBorders>
              <w:bottom w:val="single" w:sz="8" w:color="852166"/>
            </w:tcBorders>
            <w:shd w:val="clear" w:color="auto" w:fill="852166"/>
          </w:tcPr>
          <w:p>
            <w:pPr>
              <w:jc w:val="right"/>
              <w:ind w:right="88"/>
              <w:spacing w:after="0"/>
              <w:rPr>
                <w:sz w:val="20"/>
                <w:szCs w:val="20"/>
                <w:color w:val="auto"/>
              </w:rPr>
            </w:pPr>
            <w:r>
              <w:rPr>
                <w:rFonts w:ascii="Arial" w:cs="Arial" w:eastAsia="Arial" w:hAnsi="Arial"/>
                <w:sz w:val="14"/>
                <w:szCs w:val="14"/>
                <w:b w:val="1"/>
                <w:bCs w:val="1"/>
                <w:color w:val="FFFFFF"/>
              </w:rPr>
              <w:t>($)</w:t>
            </w:r>
          </w:p>
        </w:tc>
        <w:tc>
          <w:tcPr>
            <w:tcW w:w="1900" w:type="dxa"/>
            <w:vAlign w:val="bottom"/>
            <w:tcBorders>
              <w:bottom w:val="single" w:sz="8" w:color="852166"/>
            </w:tcBorders>
            <w:shd w:val="clear" w:color="auto" w:fill="852166"/>
          </w:tcPr>
          <w:p>
            <w:pPr>
              <w:jc w:val="right"/>
              <w:ind w:right="268"/>
              <w:spacing w:after="0"/>
              <w:rPr>
                <w:sz w:val="20"/>
                <w:szCs w:val="20"/>
                <w:color w:val="auto"/>
              </w:rPr>
            </w:pPr>
            <w:r>
              <w:rPr>
                <w:rFonts w:ascii="Arial" w:cs="Arial" w:eastAsia="Arial" w:hAnsi="Arial"/>
                <w:sz w:val="14"/>
                <w:szCs w:val="14"/>
                <w:b w:val="1"/>
                <w:bCs w:val="1"/>
                <w:color w:val="FFFFFF"/>
              </w:rPr>
              <w:t>(#)</w:t>
            </w:r>
          </w:p>
        </w:tc>
        <w:tc>
          <w:tcPr>
            <w:tcW w:w="940" w:type="dxa"/>
            <w:vAlign w:val="bottom"/>
            <w:tcBorders>
              <w:bottom w:val="single" w:sz="8" w:color="852166"/>
            </w:tcBorders>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(1)</w:t>
            </w:r>
          </w:p>
        </w:tc>
      </w:tr>
      <w:tr>
        <w:trPr>
          <w:trHeight w:val="222"/>
        </w:trPr>
        <w:tc>
          <w:tcPr>
            <w:tcW w:w="5600" w:type="dxa"/>
            <w:vAlign w:val="bottom"/>
          </w:tcPr>
          <w:p>
            <w:pPr>
              <w:ind w:left="100"/>
              <w:spacing w:after="0"/>
              <w:rPr>
                <w:sz w:val="20"/>
                <w:szCs w:val="20"/>
                <w:color w:val="auto"/>
              </w:rPr>
            </w:pPr>
            <w:r>
              <w:rPr>
                <w:rFonts w:ascii="Arial" w:cs="Arial" w:eastAsia="Arial" w:hAnsi="Arial"/>
                <w:sz w:val="14"/>
                <w:szCs w:val="14"/>
                <w:b w:val="1"/>
                <w:bCs w:val="1"/>
                <w:color w:val="auto"/>
              </w:rPr>
              <w:t>Bruce C. Cozadd</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268"/>
              <w:spacing w:after="0"/>
              <w:rPr>
                <w:sz w:val="20"/>
                <w:szCs w:val="20"/>
                <w:color w:val="auto"/>
              </w:rPr>
            </w:pPr>
            <w:r>
              <w:rPr>
                <w:rFonts w:ascii="Arial" w:cs="Arial" w:eastAsia="Arial" w:hAnsi="Arial"/>
                <w:sz w:val="14"/>
                <w:szCs w:val="14"/>
                <w:color w:val="auto"/>
              </w:rPr>
              <w:t>46,178</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6,593,290</w:t>
            </w:r>
          </w:p>
        </w:tc>
      </w:tr>
      <w:tr>
        <w:trPr>
          <w:trHeight w:val="237"/>
        </w:trPr>
        <w:tc>
          <w:tcPr>
            <w:tcW w:w="5600" w:type="dxa"/>
            <w:vAlign w:val="bottom"/>
            <w:shd w:val="clear" w:color="auto" w:fill="EAEAEA"/>
          </w:tcPr>
          <w:p>
            <w:pPr>
              <w:ind w:left="100"/>
              <w:spacing w:after="0"/>
              <w:rPr>
                <w:sz w:val="20"/>
                <w:szCs w:val="20"/>
                <w:color w:val="auto"/>
              </w:rPr>
            </w:pPr>
            <w:r>
              <w:rPr>
                <w:rFonts w:ascii="Arial" w:cs="Arial" w:eastAsia="Arial" w:hAnsi="Arial"/>
                <w:sz w:val="14"/>
                <w:szCs w:val="14"/>
                <w:b w:val="1"/>
                <w:bCs w:val="1"/>
                <w:color w:val="auto"/>
              </w:rPr>
              <w:t>Renée Galá</w:t>
            </w:r>
          </w:p>
        </w:tc>
        <w:tc>
          <w:tcPr>
            <w:tcW w:w="1560" w:type="dxa"/>
            <w:vAlign w:val="bottom"/>
            <w:shd w:val="clear" w:color="auto" w:fill="EAEAEA"/>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EAEAEA"/>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shd w:val="clear" w:color="auto" w:fill="EAEAEA"/>
          </w:tcPr>
          <w:p>
            <w:pPr>
              <w:jc w:val="right"/>
              <w:ind w:right="268"/>
              <w:spacing w:after="0"/>
              <w:rPr>
                <w:sz w:val="20"/>
                <w:szCs w:val="20"/>
                <w:color w:val="auto"/>
              </w:rPr>
            </w:pPr>
            <w:r>
              <w:rPr>
                <w:rFonts w:ascii="Arial" w:cs="Arial" w:eastAsia="Arial" w:hAnsi="Arial"/>
                <w:sz w:val="14"/>
                <w:szCs w:val="14"/>
                <w:color w:val="auto"/>
              </w:rPr>
              <w:t>9,612</w:t>
            </w:r>
          </w:p>
        </w:tc>
        <w:tc>
          <w:tcPr>
            <w:tcW w:w="940" w:type="dxa"/>
            <w:vAlign w:val="bottom"/>
            <w:shd w:val="clear" w:color="auto" w:fill="EAEAEA"/>
          </w:tcPr>
          <w:p>
            <w:pPr>
              <w:jc w:val="right"/>
              <w:ind w:right="48"/>
              <w:spacing w:after="0"/>
              <w:rPr>
                <w:sz w:val="20"/>
                <w:szCs w:val="20"/>
                <w:color w:val="auto"/>
              </w:rPr>
            </w:pPr>
            <w:r>
              <w:rPr>
                <w:rFonts w:ascii="Arial" w:cs="Arial" w:eastAsia="Arial" w:hAnsi="Arial"/>
                <w:sz w:val="14"/>
                <w:szCs w:val="14"/>
                <w:color w:val="auto"/>
              </w:rPr>
              <w:t>1,384,850</w:t>
            </w:r>
          </w:p>
        </w:tc>
      </w:tr>
      <w:tr>
        <w:trPr>
          <w:trHeight w:val="222"/>
        </w:trPr>
        <w:tc>
          <w:tcPr>
            <w:tcW w:w="5600" w:type="dxa"/>
            <w:vAlign w:val="bottom"/>
          </w:tcPr>
          <w:p>
            <w:pPr>
              <w:ind w:left="100"/>
              <w:spacing w:after="0"/>
              <w:rPr>
                <w:sz w:val="20"/>
                <w:szCs w:val="20"/>
                <w:color w:val="auto"/>
              </w:rPr>
            </w:pPr>
            <w:r>
              <w:rPr>
                <w:rFonts w:ascii="Arial" w:cs="Arial" w:eastAsia="Arial" w:hAnsi="Arial"/>
                <w:sz w:val="14"/>
                <w:szCs w:val="14"/>
                <w:b w:val="1"/>
                <w:bCs w:val="1"/>
                <w:color w:val="auto"/>
              </w:rPr>
              <w:t>Patricia Carr</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268"/>
              <w:spacing w:after="0"/>
              <w:rPr>
                <w:sz w:val="20"/>
                <w:szCs w:val="20"/>
                <w:color w:val="auto"/>
              </w:rPr>
            </w:pPr>
            <w:r>
              <w:rPr>
                <w:rFonts w:ascii="Arial" w:cs="Arial" w:eastAsia="Arial" w:hAnsi="Arial"/>
                <w:sz w:val="14"/>
                <w:szCs w:val="14"/>
                <w:color w:val="auto"/>
              </w:rPr>
              <w:t>2,471</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351,780</w:t>
            </w:r>
          </w:p>
        </w:tc>
      </w:tr>
      <w:tr>
        <w:trPr>
          <w:trHeight w:val="237"/>
        </w:trPr>
        <w:tc>
          <w:tcPr>
            <w:tcW w:w="5600" w:type="dxa"/>
            <w:vAlign w:val="bottom"/>
            <w:shd w:val="clear" w:color="auto" w:fill="EAEAEA"/>
          </w:tcPr>
          <w:p>
            <w:pPr>
              <w:ind w:left="100"/>
              <w:spacing w:after="0"/>
              <w:rPr>
                <w:sz w:val="20"/>
                <w:szCs w:val="20"/>
                <w:color w:val="auto"/>
              </w:rPr>
            </w:pPr>
            <w:r>
              <w:rPr>
                <w:rFonts w:ascii="Arial" w:cs="Arial" w:eastAsia="Arial" w:hAnsi="Arial"/>
                <w:sz w:val="14"/>
                <w:szCs w:val="14"/>
                <w:b w:val="1"/>
                <w:bCs w:val="1"/>
                <w:color w:val="auto"/>
              </w:rPr>
              <w:t>Robert Iannone, M.D., M.S.C.E</w:t>
            </w:r>
          </w:p>
        </w:tc>
        <w:tc>
          <w:tcPr>
            <w:tcW w:w="1560" w:type="dxa"/>
            <w:vAlign w:val="bottom"/>
            <w:shd w:val="clear" w:color="auto" w:fill="EAEAEA"/>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EAEAEA"/>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shd w:val="clear" w:color="auto" w:fill="EAEAEA"/>
          </w:tcPr>
          <w:p>
            <w:pPr>
              <w:jc w:val="right"/>
              <w:ind w:right="268"/>
              <w:spacing w:after="0"/>
              <w:rPr>
                <w:sz w:val="20"/>
                <w:szCs w:val="20"/>
                <w:color w:val="auto"/>
              </w:rPr>
            </w:pPr>
            <w:r>
              <w:rPr>
                <w:rFonts w:ascii="Arial" w:cs="Arial" w:eastAsia="Arial" w:hAnsi="Arial"/>
                <w:sz w:val="14"/>
                <w:szCs w:val="14"/>
                <w:color w:val="auto"/>
              </w:rPr>
              <w:t>10,728</w:t>
            </w:r>
          </w:p>
        </w:tc>
        <w:tc>
          <w:tcPr>
            <w:tcW w:w="940" w:type="dxa"/>
            <w:vAlign w:val="bottom"/>
            <w:shd w:val="clear" w:color="auto" w:fill="EAEAEA"/>
          </w:tcPr>
          <w:p>
            <w:pPr>
              <w:jc w:val="right"/>
              <w:ind w:right="48"/>
              <w:spacing w:after="0"/>
              <w:rPr>
                <w:sz w:val="20"/>
                <w:szCs w:val="20"/>
                <w:color w:val="auto"/>
              </w:rPr>
            </w:pPr>
            <w:r>
              <w:rPr>
                <w:rFonts w:ascii="Arial" w:cs="Arial" w:eastAsia="Arial" w:hAnsi="Arial"/>
                <w:sz w:val="14"/>
                <w:szCs w:val="14"/>
                <w:color w:val="auto"/>
              </w:rPr>
              <w:t>1,491,940</w:t>
            </w:r>
          </w:p>
        </w:tc>
      </w:tr>
      <w:tr>
        <w:trPr>
          <w:trHeight w:val="222"/>
        </w:trPr>
        <w:tc>
          <w:tcPr>
            <w:tcW w:w="5600" w:type="dxa"/>
            <w:vAlign w:val="bottom"/>
          </w:tcPr>
          <w:p>
            <w:pPr>
              <w:ind w:left="100"/>
              <w:spacing w:after="0"/>
              <w:rPr>
                <w:sz w:val="20"/>
                <w:szCs w:val="20"/>
                <w:color w:val="auto"/>
              </w:rPr>
            </w:pPr>
            <w:r>
              <w:rPr>
                <w:rFonts w:ascii="Arial" w:cs="Arial" w:eastAsia="Arial" w:hAnsi="Arial"/>
                <w:sz w:val="14"/>
                <w:szCs w:val="14"/>
                <w:b w:val="1"/>
                <w:bCs w:val="1"/>
                <w:color w:val="auto"/>
              </w:rPr>
              <w:t>Neena M. Patil</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268"/>
              <w:spacing w:after="0"/>
              <w:rPr>
                <w:sz w:val="20"/>
                <w:szCs w:val="20"/>
                <w:color w:val="auto"/>
              </w:rPr>
            </w:pPr>
            <w:r>
              <w:rPr>
                <w:rFonts w:ascii="Arial" w:cs="Arial" w:eastAsia="Arial" w:hAnsi="Arial"/>
                <w:sz w:val="14"/>
                <w:szCs w:val="14"/>
                <w:color w:val="auto"/>
              </w:rPr>
              <w:t>9,140</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1,271,198</w:t>
            </w:r>
          </w:p>
        </w:tc>
      </w:tr>
      <w:tr>
        <w:trPr>
          <w:trHeight w:val="237"/>
        </w:trPr>
        <w:tc>
          <w:tcPr>
            <w:tcW w:w="5600" w:type="dxa"/>
            <w:vAlign w:val="bottom"/>
            <w:shd w:val="clear" w:color="auto" w:fill="EAEAEA"/>
          </w:tcPr>
          <w:p>
            <w:pPr>
              <w:ind w:left="100"/>
              <w:spacing w:after="0"/>
              <w:rPr>
                <w:sz w:val="20"/>
                <w:szCs w:val="20"/>
                <w:color w:val="auto"/>
              </w:rPr>
            </w:pPr>
            <w:r>
              <w:rPr>
                <w:rFonts w:ascii="Arial" w:cs="Arial" w:eastAsia="Arial" w:hAnsi="Arial"/>
                <w:sz w:val="14"/>
                <w:szCs w:val="14"/>
                <w:b w:val="1"/>
                <w:bCs w:val="1"/>
                <w:color w:val="auto"/>
              </w:rPr>
              <w:t>Daniel N. Swisher, Jr.</w:t>
            </w:r>
          </w:p>
        </w:tc>
        <w:tc>
          <w:tcPr>
            <w:tcW w:w="1560" w:type="dxa"/>
            <w:vAlign w:val="bottom"/>
            <w:shd w:val="clear" w:color="auto" w:fill="EAEAEA"/>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EAEAEA"/>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shd w:val="clear" w:color="auto" w:fill="EAEAEA"/>
          </w:tcPr>
          <w:p>
            <w:pPr>
              <w:jc w:val="right"/>
              <w:ind w:right="268"/>
              <w:spacing w:after="0"/>
              <w:rPr>
                <w:sz w:val="20"/>
                <w:szCs w:val="20"/>
                <w:color w:val="auto"/>
              </w:rPr>
            </w:pPr>
            <w:r>
              <w:rPr>
                <w:rFonts w:ascii="Arial" w:cs="Arial" w:eastAsia="Arial" w:hAnsi="Arial"/>
                <w:sz w:val="14"/>
                <w:szCs w:val="14"/>
                <w:color w:val="auto"/>
              </w:rPr>
              <w:t>11,647</w:t>
            </w:r>
          </w:p>
        </w:tc>
        <w:tc>
          <w:tcPr>
            <w:tcW w:w="940" w:type="dxa"/>
            <w:vAlign w:val="bottom"/>
            <w:shd w:val="clear" w:color="auto" w:fill="EAEAEA"/>
          </w:tcPr>
          <w:p>
            <w:pPr>
              <w:jc w:val="right"/>
              <w:ind w:right="48"/>
              <w:spacing w:after="0"/>
              <w:rPr>
                <w:sz w:val="20"/>
                <w:szCs w:val="20"/>
                <w:color w:val="auto"/>
              </w:rPr>
            </w:pPr>
            <w:r>
              <w:rPr>
                <w:rFonts w:ascii="Arial" w:cs="Arial" w:eastAsia="Arial" w:hAnsi="Arial"/>
                <w:sz w:val="14"/>
                <w:szCs w:val="14"/>
                <w:color w:val="auto"/>
              </w:rPr>
              <w:t>1,662,957</w:t>
            </w:r>
          </w:p>
        </w:tc>
      </w:tr>
      <w:tr>
        <w:trPr>
          <w:trHeight w:val="223"/>
        </w:trPr>
        <w:tc>
          <w:tcPr>
            <w:tcW w:w="5600" w:type="dxa"/>
            <w:vAlign w:val="bottom"/>
            <w:tcBorders>
              <w:bottom w:val="single" w:sz="8" w:color="852166"/>
            </w:tcBorders>
          </w:tcPr>
          <w:p>
            <w:pPr>
              <w:ind w:left="100"/>
              <w:spacing w:after="0"/>
              <w:rPr>
                <w:sz w:val="20"/>
                <w:szCs w:val="20"/>
                <w:color w:val="auto"/>
              </w:rPr>
            </w:pPr>
            <w:r>
              <w:rPr>
                <w:rFonts w:ascii="Arial" w:cs="Arial" w:eastAsia="Arial" w:hAnsi="Arial"/>
                <w:sz w:val="14"/>
                <w:szCs w:val="14"/>
                <w:b w:val="1"/>
                <w:bCs w:val="1"/>
                <w:color w:val="auto"/>
              </w:rPr>
              <w:t>Kim Sablich</w:t>
            </w:r>
          </w:p>
        </w:tc>
        <w:tc>
          <w:tcPr>
            <w:tcW w:w="1560" w:type="dxa"/>
            <w:vAlign w:val="bottom"/>
            <w:tcBorders>
              <w:bottom w:val="single" w:sz="8" w:color="852166"/>
            </w:tcBorders>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852166"/>
            </w:tcBorders>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852166"/>
            </w:tcBorders>
          </w:tcPr>
          <w:p>
            <w:pPr>
              <w:jc w:val="right"/>
              <w:ind w:right="268"/>
              <w:spacing w:after="0"/>
              <w:rPr>
                <w:sz w:val="20"/>
                <w:szCs w:val="20"/>
                <w:color w:val="auto"/>
              </w:rPr>
            </w:pPr>
            <w:r>
              <w:rPr>
                <w:rFonts w:ascii="Arial" w:cs="Arial" w:eastAsia="Arial" w:hAnsi="Arial"/>
                <w:sz w:val="14"/>
                <w:szCs w:val="14"/>
                <w:color w:val="auto"/>
              </w:rPr>
              <w:t>8,823</w:t>
            </w:r>
          </w:p>
        </w:tc>
        <w:tc>
          <w:tcPr>
            <w:tcW w:w="94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color w:val="auto"/>
              </w:rPr>
              <w:t>1,204,937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-1542415</wp:posOffset>
            </wp:positionV>
            <wp:extent cx="35229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06"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The value realized on vesting is based on the number of shares underlying the RSUs that vested and the closing price of our ordinary shares on the vesting date.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407"/>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79" w:name="page80"/>
    <w:bookmarkEnd w:id="79"/>
    <w:p>
      <w:pPr>
        <w:spacing w:after="0"/>
        <w:rPr>
          <w:sz w:val="20"/>
          <w:szCs w:val="20"/>
          <w:color w:val="auto"/>
        </w:rPr>
      </w:pPr>
      <w:r>
        <w:rPr>
          <w:rFonts w:ascii="Arial" w:cs="Arial" w:eastAsia="Arial" w:hAnsi="Arial"/>
          <w:sz w:val="20"/>
          <w:szCs w:val="20"/>
          <w:b w:val="1"/>
          <w:bCs w:val="1"/>
          <w:color w:val="852166"/>
        </w:rPr>
        <w:t>Potential Payments upon Termination or Change in Control</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Amended and Restated Executive Change in Control and Severance Benefit Plan</w:t>
      </w:r>
    </w:p>
    <w:p>
      <w:pPr>
        <w:spacing w:after="0" w:line="140"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All of our continuing NEOs are eligible for certain severance and change in control benefits under our change in control plan. The change in control plan applies to eligible executive employees of Jazz and provides that, in the event that an executive’s employment terminates due to an involuntary termination without cause or a constructive termination, in each case upon or within 12 months following a change in control (as such terms are defined in the change in control plan and described generally below), and assuming all of the other conditions of the change in control plan are met, each executive who is a participant in the change in control plan (including each of our NEOs) would be entitled to the following benefits under the change in control plan:</w:t>
      </w:r>
    </w:p>
    <w:p>
      <w:pPr>
        <w:spacing w:after="0" w:line="77" w:lineRule="exact"/>
        <w:rPr>
          <w:sz w:val="20"/>
          <w:szCs w:val="20"/>
          <w:color w:val="auto"/>
        </w:rPr>
      </w:pPr>
    </w:p>
    <w:p>
      <w:pPr>
        <w:ind w:left="660" w:right="80" w:hanging="328"/>
        <w:spacing w:after="0" w:line="306" w:lineRule="auto"/>
        <w:tabs>
          <w:tab w:leader="none" w:pos="649" w:val="left"/>
        </w:tabs>
        <w:numPr>
          <w:ilvl w:val="0"/>
          <w:numId w:val="80"/>
        </w:numPr>
        <w:rPr>
          <w:rFonts w:ascii="Arial" w:cs="Arial" w:eastAsia="Arial" w:hAnsi="Arial"/>
          <w:sz w:val="16"/>
          <w:szCs w:val="16"/>
          <w:color w:val="auto"/>
        </w:rPr>
      </w:pPr>
      <w:r>
        <w:rPr>
          <w:rFonts w:ascii="Arial" w:cs="Arial" w:eastAsia="Arial" w:hAnsi="Arial"/>
          <w:sz w:val="16"/>
          <w:szCs w:val="16"/>
          <w:color w:val="auto"/>
        </w:rPr>
        <w:t>A single, lump sum cash severance payment equal to the sum of: (i) the applicable base salary described below, multiplied by the applicable percentage set forth below; plus (ii) the product of (A) the applicable base salary, (B) the applicable bonus percentage described below and (C) the applicable percentage set forth below; plus (iii) the product of (A) the applicable base salary, (B) the applicable bonus percentage and the quotient obtained by dividing the number of full months that an executive is employed in the year of the termination by 12.</w:t>
      </w:r>
    </w:p>
    <w:p>
      <w:pPr>
        <w:spacing w:after="0" w:line="74" w:lineRule="exact"/>
        <w:rPr>
          <w:rFonts w:ascii="Arial" w:cs="Arial" w:eastAsia="Arial" w:hAnsi="Arial"/>
          <w:sz w:val="16"/>
          <w:szCs w:val="16"/>
          <w:color w:val="auto"/>
        </w:rPr>
      </w:pPr>
    </w:p>
    <w:p>
      <w:pPr>
        <w:ind w:left="1300" w:right="120" w:hanging="320"/>
        <w:spacing w:after="0" w:line="306" w:lineRule="auto"/>
        <w:tabs>
          <w:tab w:leader="none" w:pos="1290"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“applicable base salary” is the higher of the executive’s base salary in effect (i) on the date of termination (without giving effect to any reduction in base salary that would constitute grounds for a constructive termination) or (ii) immediately prior to the change in control, without giving effect to any voluntary pay reduction taken by the executive during the 12 months preceding the date of termination or the change in control.</w:t>
      </w:r>
    </w:p>
    <w:p>
      <w:pPr>
        <w:spacing w:after="0" w:line="74" w:lineRule="exact"/>
        <w:rPr>
          <w:rFonts w:ascii="Arial" w:cs="Arial" w:eastAsia="Arial" w:hAnsi="Arial"/>
          <w:sz w:val="16"/>
          <w:szCs w:val="16"/>
          <w:color w:val="auto"/>
        </w:rPr>
      </w:pPr>
    </w:p>
    <w:p>
      <w:pPr>
        <w:ind w:left="1300" w:right="340" w:hanging="320"/>
        <w:spacing w:after="0" w:line="339" w:lineRule="auto"/>
        <w:tabs>
          <w:tab w:leader="none" w:pos="1290"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“applicable percentage” is 200% for our CEO, executive chairperson or president, 150% for senior vice presidents and above and 100% for vice presidents.</w:t>
      </w:r>
    </w:p>
    <w:p>
      <w:pPr>
        <w:spacing w:after="0" w:line="47" w:lineRule="exact"/>
        <w:rPr>
          <w:rFonts w:ascii="Arial" w:cs="Arial" w:eastAsia="Arial" w:hAnsi="Arial"/>
          <w:sz w:val="16"/>
          <w:szCs w:val="16"/>
          <w:color w:val="auto"/>
        </w:rPr>
      </w:pPr>
    </w:p>
    <w:p>
      <w:pPr>
        <w:ind w:left="1300" w:right="180" w:hanging="320"/>
        <w:spacing w:after="0" w:line="304" w:lineRule="auto"/>
        <w:tabs>
          <w:tab w:leader="none" w:pos="1290"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“applicable bonus percentage” is the greater of (i) the highest amount of any annual bonus paid to the executive for either of the last two calendar years prior to (A) the date of termination or (B) the change in control, in each case expressed as a percentage of the executive’s base salary for the applicable year, and (ii) the higher of the executive’s target bonus for the calendar year in which (A) the termination occurs or (B) the change in control occurs, in each case expressed as a percentage of the executive’s base salary for such year.</w:t>
      </w:r>
    </w:p>
    <w:p>
      <w:pPr>
        <w:spacing w:after="0" w:line="76" w:lineRule="exact"/>
        <w:rPr>
          <w:rFonts w:ascii="Arial" w:cs="Arial" w:eastAsia="Arial" w:hAnsi="Arial"/>
          <w:sz w:val="16"/>
          <w:szCs w:val="16"/>
          <w:color w:val="auto"/>
        </w:rPr>
      </w:pPr>
    </w:p>
    <w:p>
      <w:pPr>
        <w:ind w:left="660" w:right="200" w:hanging="328"/>
        <w:spacing w:after="0" w:line="310" w:lineRule="auto"/>
        <w:tabs>
          <w:tab w:leader="none" w:pos="649" w:val="left"/>
        </w:tabs>
        <w:numPr>
          <w:ilvl w:val="0"/>
          <w:numId w:val="80"/>
        </w:numPr>
        <w:rPr>
          <w:rFonts w:ascii="Arial" w:cs="Arial" w:eastAsia="Arial" w:hAnsi="Arial"/>
          <w:sz w:val="16"/>
          <w:szCs w:val="16"/>
          <w:color w:val="auto"/>
        </w:rPr>
      </w:pPr>
      <w:r>
        <w:rPr>
          <w:rFonts w:ascii="Arial" w:cs="Arial" w:eastAsia="Arial" w:hAnsi="Arial"/>
          <w:sz w:val="16"/>
          <w:szCs w:val="16"/>
          <w:color w:val="auto"/>
        </w:rPr>
        <w:t>Full payment of all of the applicable COBRA premiums for any health, dental or vision plan sponsored by us for a period of up to (i) 24 months for our CEO, executive chairperson or president, (ii) 18 months for executive vice presidents and senior vice presidents, and (iii) 12 months for vice presidents, provided that the executive timely elects continued coverage.</w:t>
      </w:r>
    </w:p>
    <w:p>
      <w:pPr>
        <w:spacing w:after="0" w:line="70" w:lineRule="exact"/>
        <w:rPr>
          <w:rFonts w:ascii="Arial" w:cs="Arial" w:eastAsia="Arial" w:hAnsi="Arial"/>
          <w:sz w:val="16"/>
          <w:szCs w:val="16"/>
          <w:color w:val="auto"/>
        </w:rPr>
      </w:pPr>
    </w:p>
    <w:p>
      <w:pPr>
        <w:ind w:left="640" w:hanging="308"/>
        <w:spacing w:after="0"/>
        <w:tabs>
          <w:tab w:leader="none" w:pos="6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Acceleration in full of the vesting and exercisability, as applicable, of outstanding stock options and other equity awards held by the executive.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key terms are defined in the change in control plan:</w:t>
      </w:r>
    </w:p>
    <w:p>
      <w:pPr>
        <w:spacing w:after="0" w:line="154" w:lineRule="exact"/>
        <w:rPr>
          <w:sz w:val="20"/>
          <w:szCs w:val="20"/>
          <w:color w:val="auto"/>
        </w:rPr>
      </w:pPr>
    </w:p>
    <w:p>
      <w:pPr>
        <w:ind w:left="660" w:hanging="328"/>
        <w:spacing w:after="0" w:line="298" w:lineRule="auto"/>
        <w:tabs>
          <w:tab w:leader="none" w:pos="649" w:val="left"/>
        </w:tabs>
        <w:numPr>
          <w:ilvl w:val="0"/>
          <w:numId w:val="81"/>
        </w:numPr>
        <w:rPr>
          <w:rFonts w:ascii="Arial" w:cs="Arial" w:eastAsia="Arial" w:hAnsi="Arial"/>
          <w:sz w:val="16"/>
          <w:szCs w:val="16"/>
          <w:color w:val="auto"/>
        </w:rPr>
      </w:pPr>
      <w:r>
        <w:rPr>
          <w:rFonts w:ascii="Arial" w:cs="Arial" w:eastAsia="Arial" w:hAnsi="Arial"/>
          <w:sz w:val="16"/>
          <w:szCs w:val="16"/>
          <w:color w:val="auto"/>
        </w:rPr>
        <w:t>A “change in control” generally means: (i) a person or group acquires ownership of more than 30% of the combined voting power of our outstanding securities (other than directly from us); (ii) certain compromises or arrangements sanctioned by the Irish courts, certain schemes, contracts or offers that have become binding on all of our shareholders, certain takeover bids, certain offers or reverse takeover transactions, or a reorganization, merger, statutory share exchange, consolidation or similar transaction involving us, after which our shareholders do not own more than 50% of the combined voting power of the surviving entity or its parent in substantially the same proportion as their ownership of our outstanding voting securities immediately before the transaction, or a person or group acquires ownership of more than 30% of the combined voting power of the surviving entity or its parent, or at least a majority of the members of our board of the parent (or the surviving entity, if there is no parent) following such transaction are not incumbent board members (as defined in (v) below) at the time our board approves the transaction; (iii) our shareholders or our board approves a complete dissolution or liquidation of our company, or a complete dissolution or liquidation of our company otherwise occurs (except for a liquidation into a parent company); (iv) a sale, lease, exclusive license or other disposition of all or substantially all of our assets, other than to certain entities; or (v) individuals who were members of our board as of February 10, 2016 (or members of our board approved or recommended by a majority vote of such members still in office), referred to as “incumbent board members,” cease to constitute at least a majority of our board.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76</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5" w:right="359" w:bottom="1440" w:gutter="0" w:footer="0" w:header="0"/>
        </w:sectPr>
      </w:pPr>
    </w:p>
    <w:bookmarkStart w:id="80" w:name="page81"/>
    <w:bookmarkEnd w:id="80"/>
    <w:p>
      <w:pPr>
        <w:ind w:left="660" w:right="40" w:hanging="328"/>
        <w:spacing w:after="0" w:line="300" w:lineRule="auto"/>
        <w:tabs>
          <w:tab w:leader="none" w:pos="649"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 “involuntary termination without cause” generally means an executive’s employment is terminated for any reason other than for the following reasons: (i) the executive’s unauthorized use or disclosure of confidential information or trade secrets which causes material harm to us; (ii) the executive’s material breach of any agreement with us (or the executive’s material violation of any statutory duty owed to us) after an opportunity to cure; (iii) the executive’s material failure to comply with our written policies or rules after an opportunity to cure; (iv) the executive’s conviction or plea of guilty or no contest to any crime involving fraud, dishonesty or moral turpitude; (v) the executive’s gross misconduct; (vi) the executive’s continued failure to perform his or her assigned duties after notification; or (vii) the executive’s failure to reasonably cooperate in good faith with any governmental or internal investigation of us or our directors, officers or employees. An “involuntary termination without cause” also includes an executive’s termination of employment due to death or disability.</w:t>
      </w:r>
    </w:p>
    <w:p>
      <w:pPr>
        <w:spacing w:after="0" w:line="77" w:lineRule="exact"/>
        <w:rPr>
          <w:rFonts w:ascii="Arial" w:cs="Arial" w:eastAsia="Arial" w:hAnsi="Arial"/>
          <w:sz w:val="16"/>
          <w:szCs w:val="16"/>
          <w:color w:val="auto"/>
        </w:rPr>
      </w:pPr>
    </w:p>
    <w:p>
      <w:pPr>
        <w:ind w:left="660" w:right="20" w:hanging="328"/>
        <w:spacing w:after="0" w:line="302" w:lineRule="auto"/>
        <w:tabs>
          <w:tab w:leader="none" w:pos="649" w:val="left"/>
        </w:tabs>
        <w:numPr>
          <w:ilvl w:val="0"/>
          <w:numId w:val="82"/>
        </w:numPr>
        <w:rPr>
          <w:rFonts w:ascii="Arial" w:cs="Arial" w:eastAsia="Arial" w:hAnsi="Arial"/>
          <w:sz w:val="16"/>
          <w:szCs w:val="16"/>
          <w:color w:val="auto"/>
        </w:rPr>
      </w:pPr>
      <w:r>
        <w:rPr>
          <w:rFonts w:ascii="Arial" w:cs="Arial" w:eastAsia="Arial" w:hAnsi="Arial"/>
          <w:sz w:val="16"/>
          <w:szCs w:val="16"/>
          <w:color w:val="auto"/>
        </w:rPr>
        <w:t>A “constructive termination” generally means an executive resigns employment after any of the following actions are taken or events occur without the executive’s written consent: (i) one or more reductions in the executive’s base salary that results in a total reduction in the executive’s base salary, as in effect immediately prior to the change in control or any higher base salary in effect following the change in control, by more than 10%; (ii) a relocation of the executive’s principal place of employment that increases the executive’s one-way commute by more than 35 miles; (iii) a substantial reduction in the executive’s authority, duties or responsibilities that are in effect immediately prior to the change in control, provided that if the executive holds the same position but the size of the executive’s employing entity or business unit has decreased significantly or we or the executive’s employing entity ceases to be a publicly-traded corporation, the executive’s authority, duties and responsibilities will be considered to be substantially reduced; (iv) a reduction in the executive’s title; or (v) a substantial increase in executive’s required business travel as compared with the executive’s required business travel prior to the change in control.</w:t>
      </w:r>
    </w:p>
    <w:p>
      <w:pPr>
        <w:spacing w:after="0" w:line="63"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auto"/>
        </w:rPr>
        <w:t>We benefit by requiring the executive to execute an effective general waiver and release of claims in order to be eligible to receive benefits under the change in control plan. All other benefits (such as life insurance, disability coverage and 401(k) Plan eligibility) will terminate as of the executive’s termination date.</w:t>
      </w:r>
    </w:p>
    <w:p>
      <w:pPr>
        <w:spacing w:after="0" w:line="47"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color w:val="auto"/>
        </w:rPr>
        <w:t>The change in control plan does not provide for the gross up of any excise taxes imposed by section 4999 of the Code. If any of the severance benefits payable under the change in control plan would constitute a “parachute payment” within the meaning of section 280G of the Code, subject to the excise tax imposed by section 4999 of the Code, the change in control plan provides for a best after-tax analysis with respect to such payments, under which the executive will receive whichever of the following two alternative forms of payment would result in executive’s receipt, on an after-tax basis, of the greater amount of the transaction payment notwithstanding that all or some portion of the transaction payment may be subject to the excise tax (i) payment in full of the entire amount of the transaction payment, or (ii) payment of only a part of the transaction payment so that the executive receives the largest payment possible without the imposition of the excise tax.</w:t>
      </w:r>
    </w:p>
    <w:p>
      <w:pPr>
        <w:spacing w:after="0" w:line="75"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The executive would not receive benefits under the change in control plan in certain circumstances, including if (i) the executive voluntarily terminates employment with us to accept employment with another entity that is controlled, directly or indirectly, by us or is otherwise affiliated with us, (ii) the executive does not confirm in writing that he or she is subject to agreements with us relating to proprietary and confidential information and our code of conduct, or (iii) the executive does not return all company property. In addition, benefits would be terminated under the change in control plan if the executive willfully breaches his or her agreements with us relating to proprietary and confidential information or our code of conduct.</w:t>
      </w:r>
    </w:p>
    <w:p>
      <w:pPr>
        <w:spacing w:after="0" w:line="77"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The structure and amount of benefits provided under the change in control plan are intended to balance our goals of attracting and retaining highly qualified individuals, providing the appropriate incentive for such individuals to perform in the best interests of our shareholders and maintaining responsible pay practices. Our compensation committee periodically reviews market data to gain a general understanding of the change in control benefits offered by our competitors and reviews the benefits offered under the change in control plan against such market data to ensure that the benefits under the change in control plan remain appropriate.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Equity Compensation Plans</w:t>
      </w:r>
    </w:p>
    <w:p>
      <w:pPr>
        <w:spacing w:after="0" w:line="140"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color w:val="auto"/>
        </w:rPr>
        <w:t xml:space="preserve">The 2011 Plan and award agreements thereunder provide for potential vesting acceleration upon an executive’s termination in connection with a change in control and, at the discretion of our board, upon certain change in control events, as further described above under the heading </w:t>
      </w:r>
      <w:r>
        <w:rPr>
          <w:rFonts w:ascii="Arial" w:cs="Arial" w:eastAsia="Arial" w:hAnsi="Arial"/>
          <w:sz w:val="16"/>
          <w:szCs w:val="16"/>
          <w:i w:val="1"/>
          <w:iCs w:val="1"/>
          <w:color w:val="auto"/>
        </w:rPr>
        <w:t>“Description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Arrangements—Equity Compensation Arrangements.” </w:t>
      </w:r>
      <w:r>
        <w:rPr>
          <w:rFonts w:ascii="Arial" w:cs="Arial" w:eastAsia="Arial" w:hAnsi="Arial"/>
          <w:sz w:val="16"/>
          <w:szCs w:val="16"/>
          <w:color w:val="auto"/>
        </w:rPr>
        <w:t>In addition, under the terms of the 2011 Plan and the option award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thereunder, the vested portion of stock options granted to the NEOs will generally expire three months after the applicable NEO’s termination of service, subject to extension under limited circumstances such as if the sale of shares during such time was prohibited by our insider trading policy or if exercise would result</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406"/>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1" w:name="page82"/>
    <w:bookmarkEnd w:id="81"/>
    <w:p>
      <w:pPr>
        <w:ind w:right="40"/>
        <w:spacing w:after="0" w:line="306" w:lineRule="auto"/>
        <w:rPr>
          <w:sz w:val="20"/>
          <w:szCs w:val="20"/>
          <w:color w:val="auto"/>
        </w:rPr>
      </w:pPr>
      <w:r>
        <w:rPr>
          <w:rFonts w:ascii="Arial" w:cs="Arial" w:eastAsia="Arial" w:hAnsi="Arial"/>
          <w:sz w:val="16"/>
          <w:szCs w:val="16"/>
          <w:color w:val="auto"/>
        </w:rPr>
        <w:t>in violation of securities registration requirements. We refer to the period following the NEO’s termination during which he or she can continue to exercise his or her vested stock options as the post-termination exercise period. However, in termination situations involving the death or disability of an NEO, the post-termination exercise period is generally extended up to 12 months in connection with a termination due to disability and up to 18 months in connection with a termination due to death. As the value of such extended post-termination exercise periods is not quantifiable, such value is not included in the table below.</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Treatment of 2021, 2022 and 2023 RSUs</w:t>
      </w:r>
    </w:p>
    <w:p>
      <w:pPr>
        <w:spacing w:after="0" w:line="127"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The RSU award agreements applicable to the RSUs granted in 2021, 2022 and 2023 provide for vesting continuation or potential vesting acceleration upon an executive’s death, disability or retirement. If an NEO’s continuous service terminates due to death, such vesting of the RSUs will be accelerated in full, effective as of the date of such termination. If an NEO’s continuous service terminates due to disability, the NEO’s unvested RSUs will continue to vest pursuant to the original vesting schedule as provided in the RSU award grant notice. If, on or after the first anniversary of the date of grant of such RSUs, the NEO’s continuous service terminates due to the NEO’s Regular Retirement or NEO’s Long-Service Retirement (each as defined below), then provided that</w:t>
      </w:r>
    </w:p>
    <w:p>
      <w:pPr>
        <w:spacing w:after="0" w:line="3" w:lineRule="exact"/>
        <w:rPr>
          <w:sz w:val="20"/>
          <w:szCs w:val="20"/>
          <w:color w:val="auto"/>
        </w:rPr>
      </w:pPr>
    </w:p>
    <w:p>
      <w:pPr>
        <w:ind w:firstLine="8"/>
        <w:spacing w:after="0" w:line="319" w:lineRule="auto"/>
        <w:tabs>
          <w:tab w:leader="none" w:pos="189"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NEO has given us at least four months advance written notice of the NEO’s intention to terminate her/his continuous service and (ii) the NEO executes and delivers a non-solicitation agreement satisfactory to us that will apply for a period of 12 months after the termination date, then the RSUs will be treated as follows:</w:t>
      </w:r>
    </w:p>
    <w:p>
      <w:pPr>
        <w:spacing w:after="0" w:line="62" w:lineRule="exact"/>
        <w:rPr>
          <w:rFonts w:ascii="Arial" w:cs="Arial" w:eastAsia="Arial" w:hAnsi="Arial"/>
          <w:sz w:val="16"/>
          <w:szCs w:val="16"/>
          <w:color w:val="auto"/>
        </w:rPr>
      </w:pPr>
    </w:p>
    <w:p>
      <w:pPr>
        <w:ind w:left="660" w:right="20" w:hanging="490"/>
        <w:spacing w:after="0" w:line="300" w:lineRule="auto"/>
        <w:tabs>
          <w:tab w:leader="none" w:pos="597" w:val="left"/>
        </w:tabs>
        <w:numPr>
          <w:ilvl w:val="1"/>
          <w:numId w:val="83"/>
        </w:numPr>
        <w:rPr>
          <w:rFonts w:ascii="Arial" w:cs="Arial" w:eastAsia="Arial" w:hAnsi="Arial"/>
          <w:sz w:val="16"/>
          <w:szCs w:val="16"/>
          <w:color w:val="auto"/>
        </w:rPr>
      </w:pPr>
      <w:r>
        <w:rPr>
          <w:rFonts w:ascii="Arial" w:cs="Arial" w:eastAsia="Arial" w:hAnsi="Arial"/>
          <w:sz w:val="16"/>
          <w:szCs w:val="16"/>
          <w:color w:val="auto"/>
        </w:rPr>
        <w:t>In the case of an NEO’s Regular Retirement, a pro-rata portion of each unvested tranche of RSUs will continue to vest pursuant to the original vesting schedule as provided in the grant notice. For each such unvested tranche of the RSUs, such pro-rata portion will be determined by reference to the number of RSUs in such unvested tranche of the award multiplied by the ratio of (x) the number of calendar days that have elapsed from the vesting commencement date through the date of an NEO’s termination of continuous service divided by (y) the total number of calendar days in such vesting tranche (which, for clarity, will be equal to the number of calendar days that have elapsed from the vesting commencement date through the vesting date for such tranche), and rounded down to the nearest whole RSU. For purposes of the foregoing, “Regular Retirement” means an NEO’s voluntary termination of continuous service, unless circumstances exist at the time of such termination that would constitute cause, following (a) the NEO’s completion of five years of continuous service and (b) the NEO’s attainment of age 55.</w:t>
      </w:r>
    </w:p>
    <w:p>
      <w:pPr>
        <w:spacing w:after="0" w:line="77" w:lineRule="exact"/>
        <w:rPr>
          <w:rFonts w:ascii="Arial" w:cs="Arial" w:eastAsia="Arial" w:hAnsi="Arial"/>
          <w:sz w:val="16"/>
          <w:szCs w:val="16"/>
          <w:color w:val="auto"/>
        </w:rPr>
      </w:pPr>
    </w:p>
    <w:p>
      <w:pPr>
        <w:ind w:left="660" w:right="20" w:hanging="490"/>
        <w:spacing w:after="0" w:line="312" w:lineRule="auto"/>
        <w:tabs>
          <w:tab w:leader="none" w:pos="597" w:val="left"/>
        </w:tabs>
        <w:numPr>
          <w:ilvl w:val="1"/>
          <w:numId w:val="83"/>
        </w:numPr>
        <w:rPr>
          <w:rFonts w:ascii="Arial" w:cs="Arial" w:eastAsia="Arial" w:hAnsi="Arial"/>
          <w:sz w:val="16"/>
          <w:szCs w:val="16"/>
          <w:color w:val="auto"/>
        </w:rPr>
      </w:pPr>
      <w:r>
        <w:rPr>
          <w:rFonts w:ascii="Arial" w:cs="Arial" w:eastAsia="Arial" w:hAnsi="Arial"/>
          <w:sz w:val="16"/>
          <w:szCs w:val="16"/>
          <w:color w:val="auto"/>
        </w:rPr>
        <w:t>In the case of the NEO’s Long-Service Retirement, all of the NEO’s unvested RSUs will continue to vest pursuant to the original vesting schedule as provided in the grant notice. For purposes of the Award, “Long-Service Retirement” means an NEO’s voluntary termination of continuous service, unless circumstances exist at the time of such termination that would constitute cause, following (a) the NEO’s completion of 10 years of continuous service and (b) the NEO’s attainment of age 55.</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Treatment of 2021, 2022 and 2023 PSUs</w:t>
      </w:r>
    </w:p>
    <w:p>
      <w:pPr>
        <w:spacing w:after="0" w:line="140"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The PSU award agreements applicable to the PSUs granted in 2021, 2022 and 2023 provide for vesting schedule adjustments or vesting acceleration benefits upon certain termination and change in control events. If a change in control occurs prior to the last day of the performance period and if the award is assumed or continued or substituted with a similar stock award in connection with such change in control, then the vesting schedule of the award will be revised in a manner as though the greater of (i) the number of target PSUs and (ii) the number of certified PSUs (as determined in accordance with the award agreement), or the CIC PSUs, had been subject solely to a vesting schedule pursuant to which the CIC PSUs would have vested on the last day of the performance period, subject to the NEO’s continuous service through such date. In the event an NEO’s service relationship with us or a successor entity is terminated due to an involuntary termination without cause (and other than due to death or disability) within 12 months following, or one month prior to, the effective date of a change in control (and in each case prior to the last day of the performance period), the CIC PSUs will become vested. If the NEO experiences an involuntary termination without cause or a constructive termination pursuant to the change in control plan prior to the last day of the performance period, the CIC PSUs will become vested.</w:t>
      </w:r>
    </w:p>
    <w:p>
      <w:pPr>
        <w:spacing w:after="0" w:line="84" w:lineRule="exact"/>
        <w:rPr>
          <w:sz w:val="20"/>
          <w:szCs w:val="20"/>
          <w:color w:val="auto"/>
        </w:rPr>
      </w:pPr>
    </w:p>
    <w:p>
      <w:pPr>
        <w:ind w:right="200"/>
        <w:spacing w:after="0" w:line="303" w:lineRule="auto"/>
        <w:rPr>
          <w:sz w:val="20"/>
          <w:szCs w:val="20"/>
          <w:color w:val="auto"/>
        </w:rPr>
      </w:pPr>
      <w:r>
        <w:rPr>
          <w:rFonts w:ascii="Arial" w:cs="Arial" w:eastAsia="Arial" w:hAnsi="Arial"/>
          <w:sz w:val="16"/>
          <w:szCs w:val="16"/>
          <w:color w:val="auto"/>
        </w:rPr>
        <w:t>In addition, if the NEO’s continuous service terminates prior to the last day of the performance period due to death, then a number of PSUs will become vested in an amount equal to (i) the number of target PSUs, multiplied by (ii) a ratio, the numerator of which is the number of calendar days during the performance period that the NEO was in continuous service and the denominator of which is the total number of calendar days in the performance period, with the resulting number rounded up to the nearest whole PSU. If the NEO’s continuous service terminates prior to the last day of the performance period due to the NEO’s disability or retirement (as defined in the PSU award agreement), then effective as of the vesting date, a number of PSUs will become vested in an amount equal to (i) the number of certified PSUs determined in accordance with the award agreement, multiplied by (ii) a ratio, the</w:t>
      </w:r>
    </w:p>
    <w:p>
      <w:pPr>
        <w:spacing w:after="0" w:line="200" w:lineRule="exact"/>
        <w:rPr>
          <w:sz w:val="20"/>
          <w:szCs w:val="20"/>
          <w:color w:val="auto"/>
        </w:rPr>
      </w:pPr>
    </w:p>
    <w:p>
      <w:pPr>
        <w:spacing w:after="0" w:line="369"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78</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2" w:name="page83"/>
    <w:bookmarkEnd w:id="82"/>
    <w:p>
      <w:pPr>
        <w:ind w:right="180"/>
        <w:spacing w:after="0" w:line="306" w:lineRule="auto"/>
        <w:rPr>
          <w:sz w:val="20"/>
          <w:szCs w:val="20"/>
          <w:color w:val="auto"/>
        </w:rPr>
      </w:pPr>
      <w:r>
        <w:rPr>
          <w:rFonts w:ascii="Arial" w:cs="Arial" w:eastAsia="Arial" w:hAnsi="Arial"/>
          <w:sz w:val="16"/>
          <w:szCs w:val="16"/>
          <w:color w:val="auto"/>
        </w:rPr>
        <w:t>numerator of which is the number of calendar days during the performance period that the NEO was in continuous service and the denominator of which is the total number of calendar days in the performance period, with the resulting number rounded up to the nearest whole PSU. With respect to the 2023 PSUs, the performance period for purposes of determining the prorated number of PSUs that will vest upon death, disability or retirement as described in this paragraph means the period commencing on (and including) the date of grant and ending on (and including) December 31, 2025.</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Potential Payments upon Termination or Change in Control Table</w:t>
      </w:r>
    </w:p>
    <w:p>
      <w:pPr>
        <w:spacing w:after="0" w:line="127"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auto"/>
        </w:rPr>
        <w:t>The following table estimates the potential severance payments and benefits under the change in control plan to which the NEOs would have been entitled in connection with specified termination events, calculated as if each NEO’s employment had terminated as of December 29, 2023, which was the last business day of 2023. In addition, the table sets forth the amounts to which the NEOs would have been entitled under the 2011 Plan, if, upon a corporate transaction or change in control transaction, our board exercised its discretion to accelerate the vesting and exercisability of stock options and the vesting of PSU awards and RSU awards, and such event had occurred on December 29, 2023. The table also reflects amounts relating to potential vesting acceleration of the 2021, 2022 and 2023 PSU awards and RSU awards, as described above.</w:t>
      </w:r>
    </w:p>
    <w:p>
      <w:pPr>
        <w:spacing w:after="0" w:line="7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There are no other agreements, arrangements or plans that entitle any NEOs to severance, perquisites or other benefits upon termination of employment or a change in control. For purposes of the table below, we have assumed that none of the potential severance benefits payable under the change in control plan would be subject to the excise tax imposed by section 4999 of the Code and therefore would not be reduced in accordance with the terms of the change in control plan.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PAYMENTS UPON TERMINATION OR CHANGE IN CONTROL AS OF DECEMBER 29, 2023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 w:type="dxa"/>
            <w:vAlign w:val="bottom"/>
            <w:shd w:val="clear" w:color="auto" w:fill="852166"/>
          </w:tcPr>
          <w:p>
            <w:pPr>
              <w:spacing w:after="0"/>
              <w:rPr>
                <w:sz w:val="16"/>
                <w:szCs w:val="16"/>
                <w:color w:val="auto"/>
              </w:rPr>
            </w:pPr>
          </w:p>
        </w:tc>
        <w:tc>
          <w:tcPr>
            <w:tcW w:w="1580" w:type="dxa"/>
            <w:vAlign w:val="bottom"/>
            <w:shd w:val="clear" w:color="auto" w:fill="852166"/>
          </w:tcPr>
          <w:p>
            <w:pPr>
              <w:spacing w:after="0"/>
              <w:rPr>
                <w:sz w:val="16"/>
                <w:szCs w:val="16"/>
                <w:color w:val="auto"/>
              </w:rPr>
            </w:pPr>
          </w:p>
        </w:tc>
        <w:tc>
          <w:tcPr>
            <w:tcW w:w="2920" w:type="dxa"/>
            <w:vAlign w:val="bottom"/>
            <w:shd w:val="clear" w:color="auto" w:fill="852166"/>
          </w:tcPr>
          <w:p>
            <w:pPr>
              <w:spacing w:after="0"/>
              <w:rPr>
                <w:sz w:val="16"/>
                <w:szCs w:val="16"/>
                <w:color w:val="auto"/>
              </w:rPr>
            </w:pPr>
          </w:p>
        </w:tc>
        <w:tc>
          <w:tcPr>
            <w:tcW w:w="80" w:type="dxa"/>
            <w:vAlign w:val="bottom"/>
            <w:shd w:val="clear" w:color="auto" w:fill="852166"/>
          </w:tcPr>
          <w:p>
            <w:pPr>
              <w:spacing w:after="0"/>
              <w:rPr>
                <w:sz w:val="16"/>
                <w:szCs w:val="16"/>
                <w:color w:val="auto"/>
              </w:rPr>
            </w:pPr>
          </w:p>
        </w:tc>
        <w:tc>
          <w:tcPr>
            <w:tcW w:w="1640" w:type="dxa"/>
            <w:vAlign w:val="bottom"/>
            <w:shd w:val="clear" w:color="auto" w:fill="852166"/>
          </w:tcPr>
          <w:p>
            <w:pPr>
              <w:jc w:val="right"/>
              <w:spacing w:after="0"/>
              <w:rPr>
                <w:sz w:val="20"/>
                <w:szCs w:val="20"/>
                <w:color w:val="auto"/>
              </w:rPr>
            </w:pPr>
            <w:r>
              <w:rPr>
                <w:rFonts w:ascii="Arial" w:cs="Arial" w:eastAsia="Arial" w:hAnsi="Arial"/>
                <w:sz w:val="14"/>
                <w:szCs w:val="14"/>
                <w:b w:val="1"/>
                <w:bCs w:val="1"/>
                <w:color w:val="FFFFFF"/>
              </w:rPr>
              <w:t>Involuntary</w:t>
            </w:r>
          </w:p>
        </w:tc>
        <w:tc>
          <w:tcPr>
            <w:tcW w:w="100" w:type="dxa"/>
            <w:vAlign w:val="bottom"/>
            <w:shd w:val="clear" w:color="auto" w:fill="852166"/>
          </w:tcPr>
          <w:p>
            <w:pPr>
              <w:spacing w:after="0"/>
              <w:rPr>
                <w:sz w:val="16"/>
                <w:szCs w:val="16"/>
                <w:color w:val="auto"/>
              </w:rPr>
            </w:pPr>
          </w:p>
        </w:tc>
        <w:tc>
          <w:tcPr>
            <w:tcW w:w="1140" w:type="dxa"/>
            <w:vAlign w:val="bottom"/>
            <w:shd w:val="clear" w:color="auto" w:fill="852166"/>
          </w:tcPr>
          <w:p>
            <w:pPr>
              <w:spacing w:after="0"/>
              <w:rPr>
                <w:sz w:val="16"/>
                <w:szCs w:val="16"/>
                <w:color w:val="auto"/>
              </w:rPr>
            </w:pPr>
          </w:p>
        </w:tc>
        <w:tc>
          <w:tcPr>
            <w:tcW w:w="100" w:type="dxa"/>
            <w:vAlign w:val="bottom"/>
            <w:shd w:val="clear" w:color="auto" w:fill="852166"/>
          </w:tcPr>
          <w:p>
            <w:pPr>
              <w:spacing w:after="0"/>
              <w:rPr>
                <w:sz w:val="16"/>
                <w:szCs w:val="16"/>
                <w:color w:val="auto"/>
              </w:rPr>
            </w:pPr>
          </w:p>
        </w:tc>
        <w:tc>
          <w:tcPr>
            <w:tcW w:w="1100" w:type="dxa"/>
            <w:vAlign w:val="bottom"/>
            <w:shd w:val="clear" w:color="auto" w:fill="852166"/>
          </w:tcPr>
          <w:p>
            <w:pPr>
              <w:spacing w:after="0"/>
              <w:rPr>
                <w:sz w:val="16"/>
                <w:szCs w:val="16"/>
                <w:color w:val="auto"/>
              </w:rPr>
            </w:pPr>
          </w:p>
        </w:tc>
        <w:tc>
          <w:tcPr>
            <w:tcW w:w="100" w:type="dxa"/>
            <w:vAlign w:val="bottom"/>
            <w:shd w:val="clear" w:color="auto" w:fill="852166"/>
          </w:tcPr>
          <w:p>
            <w:pPr>
              <w:spacing w:after="0"/>
              <w:rPr>
                <w:sz w:val="16"/>
                <w:szCs w:val="16"/>
                <w:color w:val="auto"/>
              </w:rPr>
            </w:pPr>
          </w:p>
        </w:tc>
        <w:tc>
          <w:tcPr>
            <w:tcW w:w="1080" w:type="dxa"/>
            <w:vAlign w:val="bottom"/>
            <w:shd w:val="clear" w:color="auto" w:fill="852166"/>
          </w:tcPr>
          <w:p>
            <w:pPr>
              <w:spacing w:after="0"/>
              <w:rPr>
                <w:sz w:val="16"/>
                <w:szCs w:val="16"/>
                <w:color w:val="auto"/>
              </w:rPr>
            </w:pPr>
          </w:p>
        </w:tc>
        <w:tc>
          <w:tcPr>
            <w:tcW w:w="100" w:type="dxa"/>
            <w:vAlign w:val="bottom"/>
            <w:shd w:val="clear" w:color="auto" w:fill="852166"/>
          </w:tcPr>
          <w:p>
            <w:pPr>
              <w:spacing w:after="0"/>
              <w:rPr>
                <w:sz w:val="16"/>
                <w:szCs w:val="16"/>
                <w:color w:val="auto"/>
              </w:rPr>
            </w:pPr>
          </w:p>
        </w:tc>
        <w:tc>
          <w:tcPr>
            <w:tcW w:w="1220" w:type="dxa"/>
            <w:vAlign w:val="bottom"/>
            <w:shd w:val="clear" w:color="auto" w:fill="852166"/>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852166"/>
          </w:tcPr>
          <w:p>
            <w:pPr>
              <w:spacing w:after="0"/>
              <w:rPr>
                <w:sz w:val="14"/>
                <w:szCs w:val="14"/>
                <w:color w:val="auto"/>
              </w:rPr>
            </w:pPr>
          </w:p>
        </w:tc>
        <w:tc>
          <w:tcPr>
            <w:tcW w:w="1580" w:type="dxa"/>
            <w:vAlign w:val="bottom"/>
            <w:shd w:val="clear" w:color="auto" w:fill="852166"/>
          </w:tcPr>
          <w:p>
            <w:pPr>
              <w:spacing w:after="0"/>
              <w:rPr>
                <w:sz w:val="14"/>
                <w:szCs w:val="14"/>
                <w:color w:val="auto"/>
              </w:rPr>
            </w:pPr>
          </w:p>
        </w:tc>
        <w:tc>
          <w:tcPr>
            <w:tcW w:w="2920" w:type="dxa"/>
            <w:vAlign w:val="bottom"/>
            <w:shd w:val="clear" w:color="auto" w:fill="852166"/>
          </w:tcPr>
          <w:p>
            <w:pPr>
              <w:spacing w:after="0"/>
              <w:rPr>
                <w:sz w:val="14"/>
                <w:szCs w:val="14"/>
                <w:color w:val="auto"/>
              </w:rPr>
            </w:pPr>
          </w:p>
        </w:tc>
        <w:tc>
          <w:tcPr>
            <w:tcW w:w="80" w:type="dxa"/>
            <w:vAlign w:val="bottom"/>
            <w:shd w:val="clear" w:color="auto" w:fill="852166"/>
          </w:tcPr>
          <w:p>
            <w:pPr>
              <w:spacing w:after="0"/>
              <w:rPr>
                <w:sz w:val="14"/>
                <w:szCs w:val="14"/>
                <w:color w:val="auto"/>
              </w:rPr>
            </w:pPr>
          </w:p>
        </w:tc>
        <w:tc>
          <w:tcPr>
            <w:tcW w:w="1640" w:type="dxa"/>
            <w:vAlign w:val="bottom"/>
            <w:shd w:val="clear" w:color="auto" w:fill="852166"/>
          </w:tcPr>
          <w:p>
            <w:pPr>
              <w:jc w:val="right"/>
              <w:spacing w:after="0"/>
              <w:rPr>
                <w:sz w:val="20"/>
                <w:szCs w:val="20"/>
                <w:color w:val="auto"/>
              </w:rPr>
            </w:pPr>
            <w:r>
              <w:rPr>
                <w:rFonts w:ascii="Arial" w:cs="Arial" w:eastAsia="Arial" w:hAnsi="Arial"/>
                <w:sz w:val="14"/>
                <w:szCs w:val="14"/>
                <w:b w:val="1"/>
                <w:bCs w:val="1"/>
                <w:color w:val="FFFFFF"/>
              </w:rPr>
              <w:t>Termination Without</w:t>
            </w:r>
          </w:p>
        </w:tc>
        <w:tc>
          <w:tcPr>
            <w:tcW w:w="100" w:type="dxa"/>
            <w:vAlign w:val="bottom"/>
            <w:shd w:val="clear" w:color="auto" w:fill="852166"/>
          </w:tcPr>
          <w:p>
            <w:pPr>
              <w:spacing w:after="0"/>
              <w:rPr>
                <w:sz w:val="14"/>
                <w:szCs w:val="14"/>
                <w:color w:val="auto"/>
              </w:rPr>
            </w:pPr>
          </w:p>
        </w:tc>
        <w:tc>
          <w:tcPr>
            <w:tcW w:w="1140" w:type="dxa"/>
            <w:vAlign w:val="bottom"/>
            <w:shd w:val="clear" w:color="auto" w:fill="852166"/>
          </w:tcPr>
          <w:p>
            <w:pPr>
              <w:spacing w:after="0"/>
              <w:rPr>
                <w:sz w:val="14"/>
                <w:szCs w:val="14"/>
                <w:color w:val="auto"/>
              </w:rPr>
            </w:pPr>
          </w:p>
        </w:tc>
        <w:tc>
          <w:tcPr>
            <w:tcW w:w="100" w:type="dxa"/>
            <w:vAlign w:val="bottom"/>
            <w:shd w:val="clear" w:color="auto" w:fill="852166"/>
          </w:tcPr>
          <w:p>
            <w:pPr>
              <w:spacing w:after="0"/>
              <w:rPr>
                <w:sz w:val="14"/>
                <w:szCs w:val="14"/>
                <w:color w:val="auto"/>
              </w:rPr>
            </w:pPr>
          </w:p>
        </w:tc>
        <w:tc>
          <w:tcPr>
            <w:tcW w:w="1100" w:type="dxa"/>
            <w:vAlign w:val="bottom"/>
            <w:shd w:val="clear" w:color="auto" w:fill="852166"/>
          </w:tcPr>
          <w:p>
            <w:pPr>
              <w:spacing w:after="0"/>
              <w:rPr>
                <w:sz w:val="14"/>
                <w:szCs w:val="14"/>
                <w:color w:val="auto"/>
              </w:rPr>
            </w:pPr>
          </w:p>
        </w:tc>
        <w:tc>
          <w:tcPr>
            <w:tcW w:w="100" w:type="dxa"/>
            <w:vAlign w:val="bottom"/>
            <w:shd w:val="clear" w:color="auto" w:fill="852166"/>
          </w:tcPr>
          <w:p>
            <w:pPr>
              <w:spacing w:after="0"/>
              <w:rPr>
                <w:sz w:val="14"/>
                <w:szCs w:val="14"/>
                <w:color w:val="auto"/>
              </w:rPr>
            </w:pPr>
          </w:p>
        </w:tc>
        <w:tc>
          <w:tcPr>
            <w:tcW w:w="1080" w:type="dxa"/>
            <w:vAlign w:val="bottom"/>
            <w:shd w:val="clear" w:color="auto" w:fill="852166"/>
          </w:tcPr>
          <w:p>
            <w:pPr>
              <w:spacing w:after="0"/>
              <w:rPr>
                <w:sz w:val="14"/>
                <w:szCs w:val="14"/>
                <w:color w:val="auto"/>
              </w:rPr>
            </w:pPr>
          </w:p>
        </w:tc>
        <w:tc>
          <w:tcPr>
            <w:tcW w:w="100" w:type="dxa"/>
            <w:vAlign w:val="bottom"/>
            <w:shd w:val="clear" w:color="auto" w:fill="852166"/>
          </w:tcPr>
          <w:p>
            <w:pPr>
              <w:spacing w:after="0"/>
              <w:rPr>
                <w:sz w:val="14"/>
                <w:szCs w:val="14"/>
                <w:color w:val="auto"/>
              </w:rPr>
            </w:pPr>
          </w:p>
        </w:tc>
        <w:tc>
          <w:tcPr>
            <w:tcW w:w="1220" w:type="dxa"/>
            <w:vAlign w:val="bottom"/>
            <w:shd w:val="clear" w:color="auto" w:fill="852166"/>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 w:type="dxa"/>
            <w:vAlign w:val="bottom"/>
            <w:shd w:val="clear" w:color="auto" w:fill="852166"/>
          </w:tcPr>
          <w:p>
            <w:pPr>
              <w:spacing w:after="0"/>
              <w:rPr>
                <w:sz w:val="15"/>
                <w:szCs w:val="15"/>
                <w:color w:val="auto"/>
              </w:rPr>
            </w:pPr>
          </w:p>
        </w:tc>
        <w:tc>
          <w:tcPr>
            <w:tcW w:w="1580" w:type="dxa"/>
            <w:vAlign w:val="bottom"/>
            <w:shd w:val="clear" w:color="auto" w:fill="852166"/>
          </w:tcPr>
          <w:p>
            <w:pPr>
              <w:spacing w:after="0"/>
              <w:rPr>
                <w:sz w:val="15"/>
                <w:szCs w:val="15"/>
                <w:color w:val="auto"/>
              </w:rPr>
            </w:pPr>
          </w:p>
        </w:tc>
        <w:tc>
          <w:tcPr>
            <w:tcW w:w="2920" w:type="dxa"/>
            <w:vAlign w:val="bottom"/>
            <w:shd w:val="clear" w:color="auto" w:fill="852166"/>
          </w:tcPr>
          <w:p>
            <w:pPr>
              <w:spacing w:after="0"/>
              <w:rPr>
                <w:sz w:val="15"/>
                <w:szCs w:val="15"/>
                <w:color w:val="auto"/>
              </w:rPr>
            </w:pPr>
          </w:p>
        </w:tc>
        <w:tc>
          <w:tcPr>
            <w:tcW w:w="80" w:type="dxa"/>
            <w:vAlign w:val="bottom"/>
            <w:shd w:val="clear" w:color="auto" w:fill="852166"/>
          </w:tcPr>
          <w:p>
            <w:pPr>
              <w:spacing w:after="0"/>
              <w:rPr>
                <w:sz w:val="15"/>
                <w:szCs w:val="15"/>
                <w:color w:val="auto"/>
              </w:rPr>
            </w:pPr>
          </w:p>
        </w:tc>
        <w:tc>
          <w:tcPr>
            <w:tcW w:w="1640" w:type="dxa"/>
            <w:vAlign w:val="bottom"/>
            <w:shd w:val="clear" w:color="auto" w:fill="852166"/>
          </w:tcPr>
          <w:p>
            <w:pPr>
              <w:jc w:val="right"/>
              <w:spacing w:after="0"/>
              <w:rPr>
                <w:sz w:val="20"/>
                <w:szCs w:val="20"/>
                <w:color w:val="auto"/>
              </w:rPr>
            </w:pPr>
            <w:r>
              <w:rPr>
                <w:rFonts w:ascii="Arial" w:cs="Arial" w:eastAsia="Arial" w:hAnsi="Arial"/>
                <w:sz w:val="14"/>
                <w:szCs w:val="14"/>
                <w:b w:val="1"/>
                <w:bCs w:val="1"/>
                <w:color w:val="FFFFFF"/>
              </w:rPr>
              <w:t>Cause or Constructive</w:t>
            </w:r>
          </w:p>
        </w:tc>
        <w:tc>
          <w:tcPr>
            <w:tcW w:w="100" w:type="dxa"/>
            <w:vAlign w:val="bottom"/>
            <w:shd w:val="clear" w:color="auto" w:fill="852166"/>
          </w:tcPr>
          <w:p>
            <w:pPr>
              <w:spacing w:after="0"/>
              <w:rPr>
                <w:sz w:val="15"/>
                <w:szCs w:val="15"/>
                <w:color w:val="auto"/>
              </w:rPr>
            </w:pPr>
          </w:p>
        </w:tc>
        <w:tc>
          <w:tcPr>
            <w:tcW w:w="1140" w:type="dxa"/>
            <w:vAlign w:val="bottom"/>
            <w:shd w:val="clear" w:color="auto" w:fill="852166"/>
          </w:tcPr>
          <w:p>
            <w:pPr>
              <w:spacing w:after="0"/>
              <w:rPr>
                <w:sz w:val="15"/>
                <w:szCs w:val="15"/>
                <w:color w:val="auto"/>
              </w:rPr>
            </w:pPr>
          </w:p>
        </w:tc>
        <w:tc>
          <w:tcPr>
            <w:tcW w:w="100" w:type="dxa"/>
            <w:vAlign w:val="bottom"/>
            <w:shd w:val="clear" w:color="auto" w:fill="852166"/>
          </w:tcPr>
          <w:p>
            <w:pPr>
              <w:spacing w:after="0"/>
              <w:rPr>
                <w:sz w:val="15"/>
                <w:szCs w:val="15"/>
                <w:color w:val="auto"/>
              </w:rPr>
            </w:pPr>
          </w:p>
        </w:tc>
        <w:tc>
          <w:tcPr>
            <w:tcW w:w="1100" w:type="dxa"/>
            <w:vAlign w:val="bottom"/>
            <w:shd w:val="clear" w:color="auto" w:fill="852166"/>
          </w:tcPr>
          <w:p>
            <w:pPr>
              <w:spacing w:after="0"/>
              <w:rPr>
                <w:sz w:val="15"/>
                <w:szCs w:val="15"/>
                <w:color w:val="auto"/>
              </w:rPr>
            </w:pPr>
          </w:p>
        </w:tc>
        <w:tc>
          <w:tcPr>
            <w:tcW w:w="100" w:type="dxa"/>
            <w:vAlign w:val="bottom"/>
            <w:shd w:val="clear" w:color="auto" w:fill="852166"/>
          </w:tcPr>
          <w:p>
            <w:pPr>
              <w:spacing w:after="0"/>
              <w:rPr>
                <w:sz w:val="15"/>
                <w:szCs w:val="15"/>
                <w:color w:val="auto"/>
              </w:rPr>
            </w:pPr>
          </w:p>
        </w:tc>
        <w:tc>
          <w:tcPr>
            <w:tcW w:w="1080" w:type="dxa"/>
            <w:vAlign w:val="bottom"/>
            <w:shd w:val="clear" w:color="auto" w:fill="852166"/>
          </w:tcPr>
          <w:p>
            <w:pPr>
              <w:spacing w:after="0"/>
              <w:rPr>
                <w:sz w:val="15"/>
                <w:szCs w:val="15"/>
                <w:color w:val="auto"/>
              </w:rPr>
            </w:pPr>
          </w:p>
        </w:tc>
        <w:tc>
          <w:tcPr>
            <w:tcW w:w="100" w:type="dxa"/>
            <w:vAlign w:val="bottom"/>
            <w:shd w:val="clear" w:color="auto" w:fill="852166"/>
          </w:tcPr>
          <w:p>
            <w:pPr>
              <w:spacing w:after="0"/>
              <w:rPr>
                <w:sz w:val="15"/>
                <w:szCs w:val="15"/>
                <w:color w:val="auto"/>
              </w:rPr>
            </w:pPr>
          </w:p>
        </w:tc>
        <w:tc>
          <w:tcPr>
            <w:tcW w:w="1220" w:type="dxa"/>
            <w:vAlign w:val="bottom"/>
            <w:shd w:val="clear" w:color="auto" w:fill="852166"/>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 w:type="dxa"/>
            <w:vAlign w:val="bottom"/>
            <w:shd w:val="clear" w:color="auto" w:fill="852166"/>
          </w:tcPr>
          <w:p>
            <w:pPr>
              <w:spacing w:after="0"/>
              <w:rPr>
                <w:sz w:val="15"/>
                <w:szCs w:val="15"/>
                <w:color w:val="auto"/>
              </w:rPr>
            </w:pPr>
          </w:p>
        </w:tc>
        <w:tc>
          <w:tcPr>
            <w:tcW w:w="1580" w:type="dxa"/>
            <w:vAlign w:val="bottom"/>
            <w:shd w:val="clear" w:color="auto" w:fill="852166"/>
          </w:tcPr>
          <w:p>
            <w:pPr>
              <w:spacing w:after="0"/>
              <w:rPr>
                <w:sz w:val="15"/>
                <w:szCs w:val="15"/>
                <w:color w:val="auto"/>
              </w:rPr>
            </w:pPr>
          </w:p>
        </w:tc>
        <w:tc>
          <w:tcPr>
            <w:tcW w:w="2920" w:type="dxa"/>
            <w:vAlign w:val="bottom"/>
            <w:shd w:val="clear" w:color="auto" w:fill="852166"/>
          </w:tcPr>
          <w:p>
            <w:pPr>
              <w:spacing w:after="0"/>
              <w:rPr>
                <w:sz w:val="15"/>
                <w:szCs w:val="15"/>
                <w:color w:val="auto"/>
              </w:rPr>
            </w:pPr>
          </w:p>
        </w:tc>
        <w:tc>
          <w:tcPr>
            <w:tcW w:w="80" w:type="dxa"/>
            <w:vAlign w:val="bottom"/>
            <w:shd w:val="clear" w:color="auto" w:fill="852166"/>
          </w:tcPr>
          <w:p>
            <w:pPr>
              <w:spacing w:after="0"/>
              <w:rPr>
                <w:sz w:val="15"/>
                <w:szCs w:val="15"/>
                <w:color w:val="auto"/>
              </w:rPr>
            </w:pPr>
          </w:p>
        </w:tc>
        <w:tc>
          <w:tcPr>
            <w:tcW w:w="1640" w:type="dxa"/>
            <w:vAlign w:val="bottom"/>
            <w:shd w:val="clear" w:color="auto" w:fill="852166"/>
          </w:tcPr>
          <w:p>
            <w:pPr>
              <w:jc w:val="right"/>
              <w:spacing w:after="0"/>
              <w:rPr>
                <w:sz w:val="20"/>
                <w:szCs w:val="20"/>
                <w:color w:val="auto"/>
              </w:rPr>
            </w:pPr>
            <w:r>
              <w:rPr>
                <w:rFonts w:ascii="Arial" w:cs="Arial" w:eastAsia="Arial" w:hAnsi="Arial"/>
                <w:sz w:val="14"/>
                <w:szCs w:val="14"/>
                <w:b w:val="1"/>
                <w:bCs w:val="1"/>
                <w:color w:val="FFFFFF"/>
              </w:rPr>
              <w:t>Termination in</w:t>
            </w:r>
          </w:p>
        </w:tc>
        <w:tc>
          <w:tcPr>
            <w:tcW w:w="100" w:type="dxa"/>
            <w:vAlign w:val="bottom"/>
            <w:shd w:val="clear" w:color="auto" w:fill="852166"/>
          </w:tcPr>
          <w:p>
            <w:pPr>
              <w:spacing w:after="0"/>
              <w:rPr>
                <w:sz w:val="15"/>
                <w:szCs w:val="15"/>
                <w:color w:val="auto"/>
              </w:rPr>
            </w:pPr>
          </w:p>
        </w:tc>
        <w:tc>
          <w:tcPr>
            <w:tcW w:w="1240" w:type="dxa"/>
            <w:vAlign w:val="bottom"/>
            <w:gridSpan w:val="2"/>
            <w:shd w:val="clear" w:color="auto" w:fill="852166"/>
          </w:tcPr>
          <w:p>
            <w:pPr>
              <w:jc w:val="right"/>
              <w:ind w:right="120"/>
              <w:spacing w:after="0"/>
              <w:rPr>
                <w:sz w:val="20"/>
                <w:szCs w:val="20"/>
                <w:color w:val="auto"/>
              </w:rPr>
            </w:pPr>
            <w:r>
              <w:rPr>
                <w:rFonts w:ascii="Arial" w:cs="Arial" w:eastAsia="Arial" w:hAnsi="Arial"/>
                <w:sz w:val="14"/>
                <w:szCs w:val="14"/>
                <w:b w:val="1"/>
                <w:bCs w:val="1"/>
                <w:color w:val="FFFFFF"/>
              </w:rPr>
              <w:t>Certain</w:t>
            </w:r>
          </w:p>
        </w:tc>
        <w:tc>
          <w:tcPr>
            <w:tcW w:w="1200" w:type="dxa"/>
            <w:vAlign w:val="bottom"/>
            <w:gridSpan w:val="2"/>
            <w:shd w:val="clear" w:color="auto" w:fill="852166"/>
          </w:tcPr>
          <w:p>
            <w:pPr>
              <w:jc w:val="right"/>
              <w:ind w:right="120"/>
              <w:spacing w:after="0"/>
              <w:rPr>
                <w:sz w:val="20"/>
                <w:szCs w:val="20"/>
                <w:color w:val="auto"/>
              </w:rPr>
            </w:pPr>
            <w:r>
              <w:rPr>
                <w:rFonts w:ascii="Arial" w:cs="Arial" w:eastAsia="Arial" w:hAnsi="Arial"/>
                <w:sz w:val="14"/>
                <w:szCs w:val="14"/>
                <w:b w:val="1"/>
                <w:bCs w:val="1"/>
                <w:color w:val="FFFFFF"/>
              </w:rPr>
              <w:t>Death (No</w:t>
            </w:r>
          </w:p>
        </w:tc>
        <w:tc>
          <w:tcPr>
            <w:tcW w:w="1080" w:type="dxa"/>
            <w:vAlign w:val="bottom"/>
            <w:shd w:val="clear" w:color="auto" w:fill="852166"/>
          </w:tcPr>
          <w:p>
            <w:pPr>
              <w:spacing w:after="0"/>
              <w:rPr>
                <w:sz w:val="15"/>
                <w:szCs w:val="15"/>
                <w:color w:val="auto"/>
              </w:rPr>
            </w:pPr>
          </w:p>
        </w:tc>
        <w:tc>
          <w:tcPr>
            <w:tcW w:w="100" w:type="dxa"/>
            <w:vAlign w:val="bottom"/>
            <w:shd w:val="clear" w:color="auto" w:fill="852166"/>
          </w:tcPr>
          <w:p>
            <w:pPr>
              <w:spacing w:after="0"/>
              <w:rPr>
                <w:sz w:val="15"/>
                <w:szCs w:val="15"/>
                <w:color w:val="auto"/>
              </w:rPr>
            </w:pPr>
          </w:p>
        </w:tc>
        <w:tc>
          <w:tcPr>
            <w:tcW w:w="1220" w:type="dxa"/>
            <w:vAlign w:val="bottom"/>
            <w:shd w:val="clear" w:color="auto" w:fill="852166"/>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 w:type="dxa"/>
            <w:vAlign w:val="bottom"/>
            <w:shd w:val="clear" w:color="auto" w:fill="852166"/>
          </w:tcPr>
          <w:p>
            <w:pPr>
              <w:spacing w:after="0"/>
              <w:rPr>
                <w:sz w:val="15"/>
                <w:szCs w:val="15"/>
                <w:color w:val="auto"/>
              </w:rPr>
            </w:pPr>
          </w:p>
        </w:tc>
        <w:tc>
          <w:tcPr>
            <w:tcW w:w="1580" w:type="dxa"/>
            <w:vAlign w:val="bottom"/>
            <w:shd w:val="clear" w:color="auto" w:fill="852166"/>
          </w:tcPr>
          <w:p>
            <w:pPr>
              <w:spacing w:after="0"/>
              <w:rPr>
                <w:sz w:val="15"/>
                <w:szCs w:val="15"/>
                <w:color w:val="auto"/>
              </w:rPr>
            </w:pPr>
          </w:p>
        </w:tc>
        <w:tc>
          <w:tcPr>
            <w:tcW w:w="2920" w:type="dxa"/>
            <w:vAlign w:val="bottom"/>
            <w:shd w:val="clear" w:color="auto" w:fill="852166"/>
          </w:tcPr>
          <w:p>
            <w:pPr>
              <w:spacing w:after="0"/>
              <w:rPr>
                <w:sz w:val="15"/>
                <w:szCs w:val="15"/>
                <w:color w:val="auto"/>
              </w:rPr>
            </w:pPr>
          </w:p>
        </w:tc>
        <w:tc>
          <w:tcPr>
            <w:tcW w:w="80" w:type="dxa"/>
            <w:vAlign w:val="bottom"/>
            <w:shd w:val="clear" w:color="auto" w:fill="852166"/>
          </w:tcPr>
          <w:p>
            <w:pPr>
              <w:spacing w:after="0"/>
              <w:rPr>
                <w:sz w:val="15"/>
                <w:szCs w:val="15"/>
                <w:color w:val="auto"/>
              </w:rPr>
            </w:pPr>
          </w:p>
        </w:tc>
        <w:tc>
          <w:tcPr>
            <w:tcW w:w="1640" w:type="dxa"/>
            <w:vAlign w:val="bottom"/>
            <w:shd w:val="clear" w:color="auto" w:fill="852166"/>
          </w:tcPr>
          <w:p>
            <w:pPr>
              <w:jc w:val="right"/>
              <w:spacing w:after="0"/>
              <w:rPr>
                <w:sz w:val="20"/>
                <w:szCs w:val="20"/>
                <w:color w:val="auto"/>
              </w:rPr>
            </w:pPr>
            <w:r>
              <w:rPr>
                <w:rFonts w:ascii="Arial" w:cs="Arial" w:eastAsia="Arial" w:hAnsi="Arial"/>
                <w:sz w:val="14"/>
                <w:szCs w:val="14"/>
                <w:b w:val="1"/>
                <w:bCs w:val="1"/>
                <w:color w:val="FFFFFF"/>
              </w:rPr>
              <w:t>Connection with a</w:t>
            </w:r>
          </w:p>
        </w:tc>
        <w:tc>
          <w:tcPr>
            <w:tcW w:w="100" w:type="dxa"/>
            <w:vAlign w:val="bottom"/>
            <w:shd w:val="clear" w:color="auto" w:fill="852166"/>
          </w:tcPr>
          <w:p>
            <w:pPr>
              <w:spacing w:after="0"/>
              <w:rPr>
                <w:sz w:val="15"/>
                <w:szCs w:val="15"/>
                <w:color w:val="auto"/>
              </w:rPr>
            </w:pPr>
          </w:p>
        </w:tc>
        <w:tc>
          <w:tcPr>
            <w:tcW w:w="1240" w:type="dxa"/>
            <w:vAlign w:val="bottom"/>
            <w:gridSpan w:val="2"/>
            <w:shd w:val="clear" w:color="auto" w:fill="852166"/>
          </w:tcPr>
          <w:p>
            <w:pPr>
              <w:jc w:val="right"/>
              <w:ind w:right="120"/>
              <w:spacing w:after="0"/>
              <w:rPr>
                <w:sz w:val="20"/>
                <w:szCs w:val="20"/>
                <w:color w:val="auto"/>
              </w:rPr>
            </w:pPr>
            <w:r>
              <w:rPr>
                <w:rFonts w:ascii="Arial" w:cs="Arial" w:eastAsia="Arial" w:hAnsi="Arial"/>
                <w:sz w:val="14"/>
                <w:szCs w:val="14"/>
                <w:b w:val="1"/>
                <w:bCs w:val="1"/>
                <w:color w:val="FFFFFF"/>
              </w:rPr>
              <w:t>Corporate</w:t>
            </w:r>
          </w:p>
        </w:tc>
        <w:tc>
          <w:tcPr>
            <w:tcW w:w="1200" w:type="dxa"/>
            <w:vAlign w:val="bottom"/>
            <w:gridSpan w:val="2"/>
            <w:shd w:val="clear" w:color="auto" w:fill="852166"/>
          </w:tcPr>
          <w:p>
            <w:pPr>
              <w:jc w:val="right"/>
              <w:ind w:right="120"/>
              <w:spacing w:after="0"/>
              <w:rPr>
                <w:sz w:val="20"/>
                <w:szCs w:val="20"/>
                <w:color w:val="auto"/>
              </w:rPr>
            </w:pPr>
            <w:r>
              <w:rPr>
                <w:rFonts w:ascii="Arial" w:cs="Arial" w:eastAsia="Arial" w:hAnsi="Arial"/>
                <w:sz w:val="14"/>
                <w:szCs w:val="14"/>
                <w:b w:val="1"/>
                <w:bCs w:val="1"/>
                <w:color w:val="FFFFFF"/>
              </w:rPr>
              <w:t>Change of</w:t>
            </w:r>
          </w:p>
        </w:tc>
        <w:tc>
          <w:tcPr>
            <w:tcW w:w="1180" w:type="dxa"/>
            <w:vAlign w:val="bottom"/>
            <w:gridSpan w:val="2"/>
            <w:shd w:val="clear" w:color="auto" w:fill="852166"/>
          </w:tcPr>
          <w:p>
            <w:pPr>
              <w:jc w:val="right"/>
              <w:ind w:right="120"/>
              <w:spacing w:after="0"/>
              <w:rPr>
                <w:sz w:val="20"/>
                <w:szCs w:val="20"/>
                <w:color w:val="auto"/>
              </w:rPr>
            </w:pPr>
            <w:r>
              <w:rPr>
                <w:rFonts w:ascii="Arial" w:cs="Arial" w:eastAsia="Arial" w:hAnsi="Arial"/>
                <w:sz w:val="14"/>
                <w:szCs w:val="14"/>
                <w:b w:val="1"/>
                <w:bCs w:val="1"/>
                <w:color w:val="FFFFFF"/>
              </w:rPr>
              <w:t>Disability (No</w:t>
            </w:r>
          </w:p>
        </w:tc>
        <w:tc>
          <w:tcPr>
            <w:tcW w:w="1220" w:type="dxa"/>
            <w:vAlign w:val="bottom"/>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Retirement (No</w:t>
            </w:r>
          </w:p>
        </w:tc>
        <w:tc>
          <w:tcPr>
            <w:tcW w:w="0" w:type="dxa"/>
            <w:vAlign w:val="bottom"/>
          </w:tcPr>
          <w:p>
            <w:pPr>
              <w:spacing w:after="0"/>
              <w:rPr>
                <w:sz w:val="1"/>
                <w:szCs w:val="1"/>
                <w:color w:val="auto"/>
              </w:rPr>
            </w:pPr>
          </w:p>
        </w:tc>
      </w:tr>
      <w:tr>
        <w:trPr>
          <w:trHeight w:val="173"/>
        </w:trPr>
        <w:tc>
          <w:tcPr>
            <w:tcW w:w="80" w:type="dxa"/>
            <w:vAlign w:val="bottom"/>
            <w:shd w:val="clear" w:color="auto" w:fill="852166"/>
          </w:tcPr>
          <w:p>
            <w:pPr>
              <w:spacing w:after="0"/>
              <w:rPr>
                <w:sz w:val="15"/>
                <w:szCs w:val="15"/>
                <w:color w:val="auto"/>
              </w:rPr>
            </w:pPr>
          </w:p>
        </w:tc>
        <w:tc>
          <w:tcPr>
            <w:tcW w:w="1580" w:type="dxa"/>
            <w:vAlign w:val="bottom"/>
            <w:shd w:val="clear" w:color="auto" w:fill="852166"/>
          </w:tcPr>
          <w:p>
            <w:pPr>
              <w:spacing w:after="0"/>
              <w:rPr>
                <w:sz w:val="15"/>
                <w:szCs w:val="15"/>
                <w:color w:val="auto"/>
              </w:rPr>
            </w:pPr>
          </w:p>
        </w:tc>
        <w:tc>
          <w:tcPr>
            <w:tcW w:w="2920" w:type="dxa"/>
            <w:vAlign w:val="bottom"/>
            <w:shd w:val="clear" w:color="auto" w:fill="852166"/>
          </w:tcPr>
          <w:p>
            <w:pPr>
              <w:spacing w:after="0"/>
              <w:rPr>
                <w:sz w:val="15"/>
                <w:szCs w:val="15"/>
                <w:color w:val="auto"/>
              </w:rPr>
            </w:pPr>
          </w:p>
        </w:tc>
        <w:tc>
          <w:tcPr>
            <w:tcW w:w="80" w:type="dxa"/>
            <w:vAlign w:val="bottom"/>
            <w:shd w:val="clear" w:color="auto" w:fill="852166"/>
          </w:tcPr>
          <w:p>
            <w:pPr>
              <w:spacing w:after="0"/>
              <w:rPr>
                <w:sz w:val="15"/>
                <w:szCs w:val="15"/>
                <w:color w:val="auto"/>
              </w:rPr>
            </w:pPr>
          </w:p>
        </w:tc>
        <w:tc>
          <w:tcPr>
            <w:tcW w:w="1640" w:type="dxa"/>
            <w:vAlign w:val="bottom"/>
            <w:shd w:val="clear" w:color="auto" w:fill="852166"/>
          </w:tcPr>
          <w:p>
            <w:pPr>
              <w:jc w:val="right"/>
              <w:spacing w:after="0"/>
              <w:rPr>
                <w:sz w:val="20"/>
                <w:szCs w:val="20"/>
                <w:color w:val="auto"/>
              </w:rPr>
            </w:pPr>
            <w:r>
              <w:rPr>
                <w:rFonts w:ascii="Arial" w:cs="Arial" w:eastAsia="Arial" w:hAnsi="Arial"/>
                <w:sz w:val="14"/>
                <w:szCs w:val="14"/>
                <w:b w:val="1"/>
                <w:bCs w:val="1"/>
                <w:color w:val="FFFFFF"/>
              </w:rPr>
              <w:t>Change of Control</w:t>
            </w:r>
          </w:p>
        </w:tc>
        <w:tc>
          <w:tcPr>
            <w:tcW w:w="100" w:type="dxa"/>
            <w:vAlign w:val="bottom"/>
            <w:shd w:val="clear" w:color="auto" w:fill="852166"/>
          </w:tcPr>
          <w:p>
            <w:pPr>
              <w:spacing w:after="0"/>
              <w:rPr>
                <w:sz w:val="15"/>
                <w:szCs w:val="15"/>
                <w:color w:val="auto"/>
              </w:rPr>
            </w:pPr>
          </w:p>
        </w:tc>
        <w:tc>
          <w:tcPr>
            <w:tcW w:w="1240" w:type="dxa"/>
            <w:vAlign w:val="bottom"/>
            <w:gridSpan w:val="2"/>
            <w:shd w:val="clear" w:color="auto" w:fill="852166"/>
          </w:tcPr>
          <w:p>
            <w:pPr>
              <w:jc w:val="right"/>
              <w:ind w:right="120"/>
              <w:spacing w:after="0"/>
              <w:rPr>
                <w:sz w:val="20"/>
                <w:szCs w:val="20"/>
                <w:color w:val="auto"/>
              </w:rPr>
            </w:pPr>
            <w:r>
              <w:rPr>
                <w:rFonts w:ascii="Arial" w:cs="Arial" w:eastAsia="Arial" w:hAnsi="Arial"/>
                <w:sz w:val="14"/>
                <w:szCs w:val="14"/>
                <w:b w:val="1"/>
                <w:bCs w:val="1"/>
                <w:color w:val="FFFFFF"/>
              </w:rPr>
              <w:t>Transactions</w:t>
            </w:r>
          </w:p>
        </w:tc>
        <w:tc>
          <w:tcPr>
            <w:tcW w:w="1200" w:type="dxa"/>
            <w:vAlign w:val="bottom"/>
            <w:gridSpan w:val="2"/>
            <w:shd w:val="clear" w:color="auto" w:fill="852166"/>
          </w:tcPr>
          <w:p>
            <w:pPr>
              <w:jc w:val="right"/>
              <w:ind w:right="120"/>
              <w:spacing w:after="0"/>
              <w:rPr>
                <w:sz w:val="20"/>
                <w:szCs w:val="20"/>
                <w:color w:val="auto"/>
              </w:rPr>
            </w:pPr>
            <w:r>
              <w:rPr>
                <w:rFonts w:ascii="Arial" w:cs="Arial" w:eastAsia="Arial" w:hAnsi="Arial"/>
                <w:sz w:val="14"/>
                <w:szCs w:val="14"/>
                <w:b w:val="1"/>
                <w:bCs w:val="1"/>
                <w:color w:val="FFFFFF"/>
              </w:rPr>
              <w:t>Control)</w:t>
            </w:r>
          </w:p>
        </w:tc>
        <w:tc>
          <w:tcPr>
            <w:tcW w:w="1180" w:type="dxa"/>
            <w:vAlign w:val="bottom"/>
            <w:gridSpan w:val="2"/>
            <w:shd w:val="clear" w:color="auto" w:fill="852166"/>
          </w:tcPr>
          <w:p>
            <w:pPr>
              <w:jc w:val="right"/>
              <w:ind w:right="120"/>
              <w:spacing w:after="0"/>
              <w:rPr>
                <w:sz w:val="20"/>
                <w:szCs w:val="20"/>
                <w:color w:val="auto"/>
              </w:rPr>
            </w:pPr>
            <w:r>
              <w:rPr>
                <w:rFonts w:ascii="Arial" w:cs="Arial" w:eastAsia="Arial" w:hAnsi="Arial"/>
                <w:sz w:val="14"/>
                <w:szCs w:val="14"/>
                <w:b w:val="1"/>
                <w:bCs w:val="1"/>
                <w:color w:val="FFFFFF"/>
              </w:rPr>
              <w:t>Change of</w:t>
            </w:r>
          </w:p>
        </w:tc>
        <w:tc>
          <w:tcPr>
            <w:tcW w:w="1220" w:type="dxa"/>
            <w:vAlign w:val="bottom"/>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Change of</w:t>
            </w:r>
          </w:p>
        </w:tc>
        <w:tc>
          <w:tcPr>
            <w:tcW w:w="0" w:type="dxa"/>
            <w:vAlign w:val="bottom"/>
          </w:tcPr>
          <w:p>
            <w:pPr>
              <w:spacing w:after="0"/>
              <w:rPr>
                <w:sz w:val="1"/>
                <w:szCs w:val="1"/>
                <w:color w:val="auto"/>
              </w:rPr>
            </w:pPr>
          </w:p>
        </w:tc>
      </w:tr>
      <w:tr>
        <w:trPr>
          <w:trHeight w:val="248"/>
        </w:trPr>
        <w:tc>
          <w:tcPr>
            <w:tcW w:w="80" w:type="dxa"/>
            <w:vAlign w:val="bottom"/>
            <w:tcBorders>
              <w:bottom w:val="single" w:sz="8" w:color="852166"/>
            </w:tcBorders>
            <w:shd w:val="clear" w:color="auto" w:fill="852166"/>
          </w:tcPr>
          <w:p>
            <w:pPr>
              <w:spacing w:after="0"/>
              <w:rPr>
                <w:sz w:val="21"/>
                <w:szCs w:val="21"/>
                <w:color w:val="auto"/>
              </w:rPr>
            </w:pPr>
          </w:p>
        </w:tc>
        <w:tc>
          <w:tcPr>
            <w:tcW w:w="1580" w:type="dxa"/>
            <w:vAlign w:val="bottom"/>
            <w:tcBorders>
              <w:bottom w:val="single" w:sz="8" w:color="852166"/>
            </w:tcBorders>
            <w:shd w:val="clear" w:color="auto" w:fill="852166"/>
          </w:tcPr>
          <w:p>
            <w:pPr>
              <w:ind w:left="20"/>
              <w:spacing w:after="0"/>
              <w:rPr>
                <w:sz w:val="20"/>
                <w:szCs w:val="20"/>
                <w:color w:val="auto"/>
              </w:rPr>
            </w:pPr>
            <w:r>
              <w:rPr>
                <w:rFonts w:ascii="Arial" w:cs="Arial" w:eastAsia="Arial" w:hAnsi="Arial"/>
                <w:sz w:val="14"/>
                <w:szCs w:val="14"/>
                <w:b w:val="1"/>
                <w:bCs w:val="1"/>
                <w:color w:val="FFFFFF"/>
              </w:rPr>
              <w:t>Name</w:t>
            </w:r>
          </w:p>
        </w:tc>
        <w:tc>
          <w:tcPr>
            <w:tcW w:w="2920" w:type="dxa"/>
            <w:vAlign w:val="bottom"/>
            <w:tcBorders>
              <w:bottom w:val="single" w:sz="8" w:color="852166"/>
            </w:tcBorders>
            <w:shd w:val="clear" w:color="auto" w:fill="852166"/>
          </w:tcPr>
          <w:p>
            <w:pPr>
              <w:ind w:left="20"/>
              <w:spacing w:after="0"/>
              <w:rPr>
                <w:sz w:val="20"/>
                <w:szCs w:val="20"/>
                <w:color w:val="auto"/>
              </w:rPr>
            </w:pPr>
            <w:r>
              <w:rPr>
                <w:rFonts w:ascii="Arial" w:cs="Arial" w:eastAsia="Arial" w:hAnsi="Arial"/>
                <w:sz w:val="14"/>
                <w:szCs w:val="14"/>
                <w:b w:val="1"/>
                <w:bCs w:val="1"/>
                <w:color w:val="FFFFFF"/>
              </w:rPr>
              <w:t>Benefit</w:t>
            </w:r>
          </w:p>
        </w:tc>
        <w:tc>
          <w:tcPr>
            <w:tcW w:w="1720" w:type="dxa"/>
            <w:vAlign w:val="bottom"/>
            <w:tcBorders>
              <w:bottom w:val="single" w:sz="8" w:color="852166"/>
            </w:tcBorders>
            <w:gridSpan w:val="2"/>
            <w:shd w:val="clear" w:color="auto" w:fill="852166"/>
          </w:tcPr>
          <w:p>
            <w:pPr>
              <w:jc w:val="right"/>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(1)</w:t>
            </w:r>
          </w:p>
        </w:tc>
        <w:tc>
          <w:tcPr>
            <w:tcW w:w="1240" w:type="dxa"/>
            <w:vAlign w:val="bottom"/>
            <w:tcBorders>
              <w:bottom w:val="single" w:sz="8" w:color="852166"/>
            </w:tcBorders>
            <w:gridSpan w:val="2"/>
            <w:shd w:val="clear" w:color="auto" w:fill="852166"/>
          </w:tcPr>
          <w:p>
            <w:pPr>
              <w:jc w:val="right"/>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(2)</w:t>
            </w:r>
          </w:p>
        </w:tc>
        <w:tc>
          <w:tcPr>
            <w:tcW w:w="100" w:type="dxa"/>
            <w:vAlign w:val="bottom"/>
            <w:tcBorders>
              <w:bottom w:val="single" w:sz="8" w:color="852166"/>
            </w:tcBorders>
            <w:shd w:val="clear" w:color="auto" w:fill="852166"/>
          </w:tcPr>
          <w:p>
            <w:pPr>
              <w:spacing w:after="0"/>
              <w:rPr>
                <w:sz w:val="21"/>
                <w:szCs w:val="21"/>
                <w:color w:val="auto"/>
              </w:rPr>
            </w:pPr>
          </w:p>
        </w:tc>
        <w:tc>
          <w:tcPr>
            <w:tcW w:w="1100" w:type="dxa"/>
            <w:vAlign w:val="bottom"/>
            <w:tcBorders>
              <w:bottom w:val="single" w:sz="8" w:color="852166"/>
            </w:tcBorders>
            <w:shd w:val="clear" w:color="auto" w:fill="852166"/>
          </w:tcPr>
          <w:p>
            <w:pPr>
              <w:jc w:val="right"/>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(3)</w:t>
            </w:r>
          </w:p>
        </w:tc>
        <w:tc>
          <w:tcPr>
            <w:tcW w:w="100" w:type="dxa"/>
            <w:vAlign w:val="bottom"/>
            <w:tcBorders>
              <w:bottom w:val="single" w:sz="8" w:color="852166"/>
            </w:tcBorders>
            <w:shd w:val="clear" w:color="auto" w:fill="852166"/>
          </w:tcPr>
          <w:p>
            <w:pPr>
              <w:spacing w:after="0"/>
              <w:rPr>
                <w:sz w:val="21"/>
                <w:szCs w:val="21"/>
                <w:color w:val="auto"/>
              </w:rPr>
            </w:pPr>
          </w:p>
        </w:tc>
        <w:tc>
          <w:tcPr>
            <w:tcW w:w="1180" w:type="dxa"/>
            <w:vAlign w:val="bottom"/>
            <w:tcBorders>
              <w:bottom w:val="single" w:sz="8" w:color="852166"/>
            </w:tcBorders>
            <w:gridSpan w:val="2"/>
            <w:shd w:val="clear" w:color="auto" w:fill="852166"/>
          </w:tcPr>
          <w:p>
            <w:pPr>
              <w:jc w:val="right"/>
              <w:ind w:right="120"/>
              <w:spacing w:after="0"/>
              <w:rPr>
                <w:sz w:val="20"/>
                <w:szCs w:val="20"/>
                <w:color w:val="auto"/>
              </w:rPr>
            </w:pPr>
            <w:r>
              <w:rPr>
                <w:rFonts w:ascii="Arial" w:cs="Arial" w:eastAsia="Arial" w:hAnsi="Arial"/>
                <w:sz w:val="14"/>
                <w:szCs w:val="14"/>
                <w:b w:val="1"/>
                <w:bCs w:val="1"/>
                <w:color w:val="FFFFFF"/>
              </w:rPr>
              <w:t>Control) ($)</w:t>
            </w:r>
            <w:r>
              <w:rPr>
                <w:rFonts w:ascii="Arial" w:cs="Arial" w:eastAsia="Arial" w:hAnsi="Arial"/>
                <w:sz w:val="9"/>
                <w:szCs w:val="9"/>
                <w:b w:val="1"/>
                <w:bCs w:val="1"/>
                <w:color w:val="FFFFFF"/>
              </w:rPr>
              <w:t>(4)</w:t>
            </w:r>
          </w:p>
        </w:tc>
        <w:tc>
          <w:tcPr>
            <w:tcW w:w="1220" w:type="dxa"/>
            <w:vAlign w:val="bottom"/>
            <w:tcBorders>
              <w:bottom w:val="single" w:sz="8" w:color="852166"/>
            </w:tcBorders>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Control) ($)</w:t>
            </w:r>
            <w:r>
              <w:rPr>
                <w:rFonts w:ascii="Arial" w:cs="Arial" w:eastAsia="Arial" w:hAnsi="Arial"/>
                <w:sz w:val="9"/>
                <w:szCs w:val="9"/>
                <w:b w:val="1"/>
                <w:bCs w:val="1"/>
                <w:color w:val="FFFFFF"/>
              </w:rPr>
              <w:t>(5)</w:t>
            </w: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920" w:type="dxa"/>
            <w:vAlign w:val="bottom"/>
          </w:tcPr>
          <w:p>
            <w:pPr>
              <w:ind w:left="20"/>
              <w:spacing w:after="0"/>
              <w:rPr>
                <w:sz w:val="20"/>
                <w:szCs w:val="20"/>
                <w:color w:val="auto"/>
              </w:rPr>
            </w:pPr>
            <w:r>
              <w:rPr>
                <w:rFonts w:ascii="Arial" w:cs="Arial" w:eastAsia="Arial" w:hAnsi="Arial"/>
                <w:sz w:val="14"/>
                <w:szCs w:val="14"/>
                <w:color w:val="auto"/>
              </w:rPr>
              <w:t>Lump Sum Cash Severance Payment</w:t>
            </w: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6,173,440</w:t>
            </w:r>
          </w:p>
        </w:tc>
        <w:tc>
          <w:tcPr>
            <w:tcW w:w="10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92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gridSpan w:val="2"/>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gridSpan w:val="2"/>
          </w:tcPr>
          <w:p>
            <w:pPr>
              <w:spacing w:after="0"/>
              <w:rPr>
                <w:sz w:val="6"/>
                <w:szCs w:val="6"/>
                <w:color w:val="auto"/>
              </w:rPr>
            </w:pPr>
          </w:p>
        </w:tc>
        <w:tc>
          <w:tcPr>
            <w:tcW w:w="1200" w:type="dxa"/>
            <w:vAlign w:val="bottom"/>
            <w:tcBorders>
              <w:bottom w:val="single" w:sz="8" w:color="auto"/>
            </w:tcBorders>
            <w:gridSpan w:val="2"/>
          </w:tcPr>
          <w:p>
            <w:pPr>
              <w:spacing w:after="0"/>
              <w:rPr>
                <w:sz w:val="6"/>
                <w:szCs w:val="6"/>
                <w:color w:val="auto"/>
              </w:rPr>
            </w:pPr>
          </w:p>
        </w:tc>
        <w:tc>
          <w:tcPr>
            <w:tcW w:w="1180" w:type="dxa"/>
            <w:vAlign w:val="bottom"/>
            <w:tcBorders>
              <w:bottom w:val="single" w:sz="8" w:color="auto"/>
            </w:tcBorders>
            <w:gridSpan w:val="2"/>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1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Bruce C. Cozadd</w:t>
            </w:r>
          </w:p>
        </w:tc>
        <w:tc>
          <w:tcPr>
            <w:tcW w:w="2920" w:type="dxa"/>
            <w:vAlign w:val="bottom"/>
          </w:tcPr>
          <w:p>
            <w:pPr>
              <w:ind w:left="20"/>
              <w:spacing w:after="0"/>
              <w:rPr>
                <w:sz w:val="20"/>
                <w:szCs w:val="20"/>
                <w:color w:val="auto"/>
              </w:rPr>
            </w:pPr>
            <w:r>
              <w:rPr>
                <w:rFonts w:ascii="Arial" w:cs="Arial" w:eastAsia="Arial" w:hAnsi="Arial"/>
                <w:sz w:val="14"/>
                <w:szCs w:val="14"/>
                <w:color w:val="auto"/>
              </w:rPr>
              <w:t>COBRA Payments</w:t>
            </w: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89,689</w:t>
            </w:r>
          </w:p>
        </w:tc>
        <w:tc>
          <w:tcPr>
            <w:tcW w:w="10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2920" w:type="dxa"/>
            <w:vAlign w:val="bottom"/>
            <w:vMerge w:val="restart"/>
          </w:tcPr>
          <w:p>
            <w:pPr>
              <w:ind w:left="20"/>
              <w:spacing w:after="0"/>
              <w:rPr>
                <w:sz w:val="20"/>
                <w:szCs w:val="20"/>
                <w:color w:val="auto"/>
              </w:rPr>
            </w:pPr>
            <w:r>
              <w:rPr>
                <w:rFonts w:ascii="Arial" w:cs="Arial" w:eastAsia="Arial" w:hAnsi="Arial"/>
                <w:sz w:val="14"/>
                <w:szCs w:val="14"/>
                <w:color w:val="auto"/>
              </w:rPr>
              <w:t>Vesting Acceleration</w:t>
            </w:r>
            <w:r>
              <w:rPr>
                <w:rFonts w:ascii="Arial" w:cs="Arial" w:eastAsia="Arial" w:hAnsi="Arial"/>
                <w:sz w:val="18"/>
                <w:szCs w:val="18"/>
                <w:color w:val="auto"/>
                <w:vertAlign w:val="superscript"/>
              </w:rPr>
              <w:t>(6)</w:t>
            </w:r>
          </w:p>
        </w:tc>
        <w:tc>
          <w:tcPr>
            <w:tcW w:w="1720" w:type="dxa"/>
            <w:vAlign w:val="bottom"/>
            <w:gridSpan w:val="2"/>
            <w:vMerge w:val="restart"/>
          </w:tcPr>
          <w:p>
            <w:pPr>
              <w:jc w:val="right"/>
              <w:spacing w:after="0"/>
              <w:rPr>
                <w:sz w:val="20"/>
                <w:szCs w:val="20"/>
                <w:color w:val="auto"/>
              </w:rPr>
            </w:pPr>
            <w:r>
              <w:rPr>
                <w:rFonts w:ascii="Arial" w:cs="Arial" w:eastAsia="Arial" w:hAnsi="Arial"/>
                <w:sz w:val="14"/>
                <w:szCs w:val="14"/>
                <w:color w:val="auto"/>
              </w:rPr>
              <w:t>28,525,891</w:t>
            </w: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color w:val="auto"/>
              </w:rPr>
              <w:t>28,525,891</w:t>
            </w:r>
          </w:p>
        </w:tc>
        <w:tc>
          <w:tcPr>
            <w:tcW w:w="100" w:type="dxa"/>
            <w:vAlign w:val="bottom"/>
          </w:tcPr>
          <w:p>
            <w:pPr>
              <w:spacing w:after="0"/>
              <w:rPr>
                <w:sz w:val="6"/>
                <w:szCs w:val="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21,237,407</w:t>
            </w:r>
          </w:p>
        </w:tc>
        <w:tc>
          <w:tcPr>
            <w:tcW w:w="100" w:type="dxa"/>
            <w:vAlign w:val="bottom"/>
          </w:tcPr>
          <w:p>
            <w:pPr>
              <w:spacing w:after="0"/>
              <w:rPr>
                <w:sz w:val="6"/>
                <w:szCs w:val="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11,677,743</w:t>
            </w:r>
          </w:p>
        </w:tc>
        <w:tc>
          <w:tcPr>
            <w:tcW w:w="100" w:type="dxa"/>
            <w:vAlign w:val="bottom"/>
          </w:tcPr>
          <w:p>
            <w:pPr>
              <w:spacing w:after="0"/>
              <w:rPr>
                <w:sz w:val="6"/>
                <w:szCs w:val="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11,677,743</w:t>
            </w: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920" w:type="dxa"/>
            <w:vAlign w:val="bottom"/>
            <w:vMerge w:val="continue"/>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920" w:type="dxa"/>
            <w:vAlign w:val="bottom"/>
            <w:tcBorders>
              <w:bottom w:val="single" w:sz="8" w:color="852166"/>
            </w:tcBorders>
          </w:tcPr>
          <w:p>
            <w:pPr>
              <w:spacing w:after="0"/>
              <w:rPr>
                <w:sz w:val="2"/>
                <w:szCs w:val="2"/>
                <w:color w:val="auto"/>
              </w:rPr>
            </w:pPr>
          </w:p>
        </w:tc>
        <w:tc>
          <w:tcPr>
            <w:tcW w:w="1720" w:type="dxa"/>
            <w:vAlign w:val="bottom"/>
            <w:tcBorders>
              <w:bottom w:val="single" w:sz="8" w:color="852166"/>
            </w:tcBorders>
            <w:gridSpan w:val="2"/>
          </w:tcPr>
          <w:p>
            <w:pPr>
              <w:spacing w:after="0"/>
              <w:rPr>
                <w:sz w:val="2"/>
                <w:szCs w:val="2"/>
                <w:color w:val="auto"/>
              </w:rPr>
            </w:pPr>
          </w:p>
        </w:tc>
        <w:tc>
          <w:tcPr>
            <w:tcW w:w="1240" w:type="dxa"/>
            <w:vAlign w:val="bottom"/>
            <w:tcBorders>
              <w:bottom w:val="single" w:sz="8" w:color="852166"/>
            </w:tcBorders>
            <w:gridSpan w:val="2"/>
          </w:tcPr>
          <w:p>
            <w:pPr>
              <w:spacing w:after="0"/>
              <w:rPr>
                <w:sz w:val="2"/>
                <w:szCs w:val="2"/>
                <w:color w:val="auto"/>
              </w:rPr>
            </w:pPr>
          </w:p>
        </w:tc>
        <w:tc>
          <w:tcPr>
            <w:tcW w:w="100" w:type="dxa"/>
            <w:vAlign w:val="bottom"/>
            <w:tcBorders>
              <w:bottom w:val="single" w:sz="8" w:color="852166"/>
            </w:tcBorders>
          </w:tcPr>
          <w:p>
            <w:pPr>
              <w:spacing w:after="0"/>
              <w:rPr>
                <w:sz w:val="2"/>
                <w:szCs w:val="2"/>
                <w:color w:val="auto"/>
              </w:rPr>
            </w:pPr>
          </w:p>
        </w:tc>
        <w:tc>
          <w:tcPr>
            <w:tcW w:w="1100" w:type="dxa"/>
            <w:vAlign w:val="bottom"/>
            <w:tcBorders>
              <w:bottom w:val="single" w:sz="8" w:color="852166"/>
            </w:tcBorders>
          </w:tcPr>
          <w:p>
            <w:pPr>
              <w:spacing w:after="0"/>
              <w:rPr>
                <w:sz w:val="2"/>
                <w:szCs w:val="2"/>
                <w:color w:val="auto"/>
              </w:rPr>
            </w:pPr>
          </w:p>
        </w:tc>
        <w:tc>
          <w:tcPr>
            <w:tcW w:w="100" w:type="dxa"/>
            <w:vAlign w:val="bottom"/>
            <w:tcBorders>
              <w:bottom w:val="single" w:sz="8" w:color="852166"/>
            </w:tcBorders>
          </w:tcPr>
          <w:p>
            <w:pPr>
              <w:spacing w:after="0"/>
              <w:rPr>
                <w:sz w:val="2"/>
                <w:szCs w:val="2"/>
                <w:color w:val="auto"/>
              </w:rPr>
            </w:pPr>
          </w:p>
        </w:tc>
        <w:tc>
          <w:tcPr>
            <w:tcW w:w="1080" w:type="dxa"/>
            <w:vAlign w:val="bottom"/>
            <w:tcBorders>
              <w:bottom w:val="single" w:sz="8" w:color="852166"/>
            </w:tcBorders>
          </w:tcPr>
          <w:p>
            <w:pPr>
              <w:spacing w:after="0"/>
              <w:rPr>
                <w:sz w:val="2"/>
                <w:szCs w:val="2"/>
                <w:color w:val="auto"/>
              </w:rPr>
            </w:pPr>
          </w:p>
        </w:tc>
        <w:tc>
          <w:tcPr>
            <w:tcW w:w="100" w:type="dxa"/>
            <w:vAlign w:val="bottom"/>
            <w:tcBorders>
              <w:bottom w:val="single" w:sz="8" w:color="852166"/>
            </w:tcBorders>
          </w:tcPr>
          <w:p>
            <w:pPr>
              <w:spacing w:after="0"/>
              <w:rPr>
                <w:sz w:val="2"/>
                <w:szCs w:val="2"/>
                <w:color w:val="auto"/>
              </w:rPr>
            </w:pPr>
          </w:p>
        </w:tc>
        <w:tc>
          <w:tcPr>
            <w:tcW w:w="1220" w:type="dxa"/>
            <w:vAlign w:val="bottom"/>
            <w:tcBorders>
              <w:bottom w:val="single" w:sz="8" w:color="852166"/>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Benefit Total</w:t>
            </w: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rPr>
              <w:t>34,789,020</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28,525,891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21,237,407</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11,677,743</w:t>
            </w:r>
          </w:p>
        </w:tc>
        <w:tc>
          <w:tcPr>
            <w:tcW w:w="10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rPr>
              <w:t>11,677,743</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Borders>
              <w:bottom w:val="single" w:sz="8" w:color="852166"/>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852166"/>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852166"/>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852166"/>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852166"/>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EAEAEA"/>
            </w:tcBorders>
          </w:tcPr>
          <w:p>
            <w:pPr>
              <w:spacing w:after="0" w:line="20" w:lineRule="exact"/>
              <w:rPr>
                <w:sz w:val="1"/>
                <w:szCs w:val="1"/>
                <w:color w:val="auto"/>
              </w:rPr>
            </w:pPr>
          </w:p>
        </w:tc>
        <w:tc>
          <w:tcPr>
            <w:tcW w:w="1580" w:type="dxa"/>
            <w:vAlign w:val="bottom"/>
            <w:tcBorders>
              <w:bottom w:val="single" w:sz="8" w:color="EAEAEA"/>
            </w:tcBorders>
          </w:tcPr>
          <w:p>
            <w:pPr>
              <w:spacing w:after="0" w:line="20" w:lineRule="exact"/>
              <w:rPr>
                <w:sz w:val="1"/>
                <w:szCs w:val="1"/>
                <w:color w:val="auto"/>
              </w:rPr>
            </w:pPr>
          </w:p>
        </w:tc>
        <w:tc>
          <w:tcPr>
            <w:tcW w:w="2920" w:type="dxa"/>
            <w:vAlign w:val="bottom"/>
            <w:tcBorders>
              <w:bottom w:val="single" w:sz="8" w:color="EAEAEA"/>
            </w:tcBorders>
          </w:tcPr>
          <w:p>
            <w:pPr>
              <w:spacing w:after="0" w:line="20" w:lineRule="exact"/>
              <w:rPr>
                <w:sz w:val="1"/>
                <w:szCs w:val="1"/>
                <w:color w:val="auto"/>
              </w:rPr>
            </w:pPr>
          </w:p>
        </w:tc>
        <w:tc>
          <w:tcPr>
            <w:tcW w:w="80" w:type="dxa"/>
            <w:vAlign w:val="bottom"/>
            <w:tcBorders>
              <w:bottom w:val="single" w:sz="8" w:color="EAEAEA"/>
            </w:tcBorders>
          </w:tcPr>
          <w:p>
            <w:pPr>
              <w:spacing w:after="0" w:line="20" w:lineRule="exact"/>
              <w:rPr>
                <w:sz w:val="1"/>
                <w:szCs w:val="1"/>
                <w:color w:val="auto"/>
              </w:rPr>
            </w:pPr>
          </w:p>
        </w:tc>
        <w:tc>
          <w:tcPr>
            <w:tcW w:w="1640" w:type="dxa"/>
            <w:vAlign w:val="bottom"/>
            <w:tcBorders>
              <w:bottom w:val="single" w:sz="8" w:color="852166"/>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1140" w:type="dxa"/>
            <w:vAlign w:val="bottom"/>
            <w:tcBorders>
              <w:bottom w:val="single" w:sz="8" w:color="852166"/>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1100" w:type="dxa"/>
            <w:vAlign w:val="bottom"/>
            <w:tcBorders>
              <w:bottom w:val="single" w:sz="8" w:color="852166"/>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1080" w:type="dxa"/>
            <w:vAlign w:val="bottom"/>
            <w:tcBorders>
              <w:bottom w:val="single" w:sz="8" w:color="852166"/>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1220" w:type="dxa"/>
            <w:vAlign w:val="bottom"/>
            <w:tcBorders>
              <w:bottom w:val="single" w:sz="8" w:color="85216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0" w:type="dxa"/>
            <w:vAlign w:val="bottom"/>
            <w:shd w:val="clear" w:color="auto" w:fill="EAEAEA"/>
          </w:tcPr>
          <w:p>
            <w:pPr>
              <w:spacing w:after="0"/>
              <w:rPr>
                <w:sz w:val="19"/>
                <w:szCs w:val="19"/>
                <w:color w:val="auto"/>
              </w:rPr>
            </w:pPr>
          </w:p>
        </w:tc>
        <w:tc>
          <w:tcPr>
            <w:tcW w:w="1580" w:type="dxa"/>
            <w:vAlign w:val="bottom"/>
            <w:shd w:val="clear" w:color="auto" w:fill="EAEAEA"/>
          </w:tcPr>
          <w:p>
            <w:pPr>
              <w:spacing w:after="0"/>
              <w:rPr>
                <w:sz w:val="19"/>
                <w:szCs w:val="19"/>
                <w:color w:val="auto"/>
              </w:rPr>
            </w:pPr>
          </w:p>
        </w:tc>
        <w:tc>
          <w:tcPr>
            <w:tcW w:w="2920" w:type="dxa"/>
            <w:vAlign w:val="bottom"/>
            <w:shd w:val="clear" w:color="auto" w:fill="EAEAEA"/>
          </w:tcPr>
          <w:p>
            <w:pPr>
              <w:ind w:left="20"/>
              <w:spacing w:after="0"/>
              <w:rPr>
                <w:sz w:val="20"/>
                <w:szCs w:val="20"/>
                <w:color w:val="auto"/>
              </w:rPr>
            </w:pPr>
            <w:r>
              <w:rPr>
                <w:rFonts w:ascii="Arial" w:cs="Arial" w:eastAsia="Arial" w:hAnsi="Arial"/>
                <w:sz w:val="14"/>
                <w:szCs w:val="14"/>
                <w:color w:val="auto"/>
              </w:rPr>
              <w:t>Lump Sum Cash Severance Payment</w:t>
            </w:r>
          </w:p>
        </w:tc>
        <w:tc>
          <w:tcPr>
            <w:tcW w:w="1720" w:type="dxa"/>
            <w:vAlign w:val="bottom"/>
            <w:gridSpan w:val="2"/>
            <w:shd w:val="clear" w:color="auto" w:fill="EAEAEA"/>
          </w:tcPr>
          <w:p>
            <w:pPr>
              <w:jc w:val="right"/>
              <w:spacing w:after="0"/>
              <w:rPr>
                <w:sz w:val="20"/>
                <w:szCs w:val="20"/>
                <w:color w:val="auto"/>
              </w:rPr>
            </w:pPr>
            <w:r>
              <w:rPr>
                <w:rFonts w:ascii="Arial" w:cs="Arial" w:eastAsia="Arial" w:hAnsi="Arial"/>
                <w:sz w:val="14"/>
                <w:szCs w:val="14"/>
                <w:color w:val="auto"/>
              </w:rPr>
              <w:t>3,400,000</w:t>
            </w:r>
          </w:p>
        </w:tc>
        <w:tc>
          <w:tcPr>
            <w:tcW w:w="100" w:type="dxa"/>
            <w:vAlign w:val="bottom"/>
            <w:shd w:val="clear" w:color="auto" w:fill="EAEAEA"/>
          </w:tcPr>
          <w:p>
            <w:pPr>
              <w:spacing w:after="0"/>
              <w:rPr>
                <w:sz w:val="19"/>
                <w:szCs w:val="19"/>
                <w:color w:val="auto"/>
              </w:rPr>
            </w:pPr>
          </w:p>
        </w:tc>
        <w:tc>
          <w:tcPr>
            <w:tcW w:w="1240" w:type="dxa"/>
            <w:vAlign w:val="bottom"/>
            <w:gridSpan w:val="2"/>
            <w:shd w:val="clear" w:color="auto" w:fill="EAEAEA"/>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EAEAEA"/>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EAEAEA"/>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shd w:val="clear" w:color="auto" w:fill="EAEAEA"/>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EAEAEA"/>
            </w:tcBorders>
            <w:shd w:val="clear" w:color="auto" w:fill="EAEAEA"/>
          </w:tcPr>
          <w:p>
            <w:pPr>
              <w:spacing w:after="0"/>
              <w:rPr>
                <w:sz w:val="5"/>
                <w:szCs w:val="5"/>
                <w:color w:val="auto"/>
              </w:rPr>
            </w:pPr>
          </w:p>
        </w:tc>
        <w:tc>
          <w:tcPr>
            <w:tcW w:w="1580" w:type="dxa"/>
            <w:vAlign w:val="bottom"/>
            <w:tcBorders>
              <w:bottom w:val="single" w:sz="8" w:color="EAEAEA"/>
            </w:tcBorders>
            <w:shd w:val="clear" w:color="auto" w:fill="EAEAEA"/>
          </w:tcPr>
          <w:p>
            <w:pPr>
              <w:spacing w:after="0"/>
              <w:rPr>
                <w:sz w:val="5"/>
                <w:szCs w:val="5"/>
                <w:color w:val="auto"/>
              </w:rPr>
            </w:pPr>
          </w:p>
        </w:tc>
        <w:tc>
          <w:tcPr>
            <w:tcW w:w="2920" w:type="dxa"/>
            <w:vAlign w:val="bottom"/>
            <w:tcBorders>
              <w:bottom w:val="single" w:sz="8" w:color="auto"/>
            </w:tcBorders>
            <w:shd w:val="clear" w:color="auto" w:fill="EAEAEA"/>
          </w:tcPr>
          <w:p>
            <w:pPr>
              <w:spacing w:after="0"/>
              <w:rPr>
                <w:sz w:val="5"/>
                <w:szCs w:val="5"/>
                <w:color w:val="auto"/>
              </w:rPr>
            </w:pPr>
          </w:p>
        </w:tc>
        <w:tc>
          <w:tcPr>
            <w:tcW w:w="80" w:type="dxa"/>
            <w:vAlign w:val="bottom"/>
            <w:tcBorders>
              <w:bottom w:val="single" w:sz="8" w:color="auto"/>
            </w:tcBorders>
            <w:shd w:val="clear" w:color="auto" w:fill="EAEAEA"/>
          </w:tcPr>
          <w:p>
            <w:pPr>
              <w:spacing w:after="0"/>
              <w:rPr>
                <w:sz w:val="5"/>
                <w:szCs w:val="5"/>
                <w:color w:val="auto"/>
              </w:rPr>
            </w:pPr>
          </w:p>
        </w:tc>
        <w:tc>
          <w:tcPr>
            <w:tcW w:w="1640" w:type="dxa"/>
            <w:vAlign w:val="bottom"/>
            <w:tcBorders>
              <w:bottom w:val="single" w:sz="8" w:color="auto"/>
            </w:tcBorders>
            <w:shd w:val="clear" w:color="auto" w:fill="EAEAEA"/>
          </w:tcPr>
          <w:p>
            <w:pPr>
              <w:spacing w:after="0"/>
              <w:rPr>
                <w:sz w:val="5"/>
                <w:szCs w:val="5"/>
                <w:color w:val="auto"/>
              </w:rPr>
            </w:pPr>
          </w:p>
        </w:tc>
        <w:tc>
          <w:tcPr>
            <w:tcW w:w="100" w:type="dxa"/>
            <w:vAlign w:val="bottom"/>
            <w:tcBorders>
              <w:bottom w:val="single" w:sz="8" w:color="auto"/>
            </w:tcBorders>
            <w:shd w:val="clear" w:color="auto" w:fill="EAEAEA"/>
          </w:tcPr>
          <w:p>
            <w:pPr>
              <w:spacing w:after="0"/>
              <w:rPr>
                <w:sz w:val="5"/>
                <w:szCs w:val="5"/>
                <w:color w:val="auto"/>
              </w:rPr>
            </w:pPr>
          </w:p>
        </w:tc>
        <w:tc>
          <w:tcPr>
            <w:tcW w:w="1140" w:type="dxa"/>
            <w:vAlign w:val="bottom"/>
            <w:tcBorders>
              <w:bottom w:val="single" w:sz="8" w:color="auto"/>
            </w:tcBorders>
            <w:shd w:val="clear" w:color="auto" w:fill="EAEAEA"/>
          </w:tcPr>
          <w:p>
            <w:pPr>
              <w:spacing w:after="0"/>
              <w:rPr>
                <w:sz w:val="5"/>
                <w:szCs w:val="5"/>
                <w:color w:val="auto"/>
              </w:rPr>
            </w:pPr>
          </w:p>
        </w:tc>
        <w:tc>
          <w:tcPr>
            <w:tcW w:w="100" w:type="dxa"/>
            <w:vAlign w:val="bottom"/>
            <w:tcBorders>
              <w:bottom w:val="single" w:sz="8" w:color="auto"/>
            </w:tcBorders>
            <w:shd w:val="clear" w:color="auto" w:fill="EAEAEA"/>
          </w:tcPr>
          <w:p>
            <w:pPr>
              <w:spacing w:after="0"/>
              <w:rPr>
                <w:sz w:val="5"/>
                <w:szCs w:val="5"/>
                <w:color w:val="auto"/>
              </w:rPr>
            </w:pPr>
          </w:p>
        </w:tc>
        <w:tc>
          <w:tcPr>
            <w:tcW w:w="1100" w:type="dxa"/>
            <w:vAlign w:val="bottom"/>
            <w:tcBorders>
              <w:bottom w:val="single" w:sz="8" w:color="auto"/>
            </w:tcBorders>
            <w:shd w:val="clear" w:color="auto" w:fill="EAEAEA"/>
          </w:tcPr>
          <w:p>
            <w:pPr>
              <w:spacing w:after="0"/>
              <w:rPr>
                <w:sz w:val="5"/>
                <w:szCs w:val="5"/>
                <w:color w:val="auto"/>
              </w:rPr>
            </w:pPr>
          </w:p>
        </w:tc>
        <w:tc>
          <w:tcPr>
            <w:tcW w:w="100" w:type="dxa"/>
            <w:vAlign w:val="bottom"/>
            <w:tcBorders>
              <w:bottom w:val="single" w:sz="8" w:color="auto"/>
            </w:tcBorders>
            <w:shd w:val="clear" w:color="auto" w:fill="EAEAEA"/>
          </w:tcPr>
          <w:p>
            <w:pPr>
              <w:spacing w:after="0"/>
              <w:rPr>
                <w:sz w:val="5"/>
                <w:szCs w:val="5"/>
                <w:color w:val="auto"/>
              </w:rPr>
            </w:pPr>
          </w:p>
        </w:tc>
        <w:tc>
          <w:tcPr>
            <w:tcW w:w="1080" w:type="dxa"/>
            <w:vAlign w:val="bottom"/>
            <w:tcBorders>
              <w:bottom w:val="single" w:sz="8" w:color="auto"/>
            </w:tcBorders>
            <w:shd w:val="clear" w:color="auto" w:fill="EAEAEA"/>
          </w:tcPr>
          <w:p>
            <w:pPr>
              <w:spacing w:after="0"/>
              <w:rPr>
                <w:sz w:val="5"/>
                <w:szCs w:val="5"/>
                <w:color w:val="auto"/>
              </w:rPr>
            </w:pPr>
          </w:p>
        </w:tc>
        <w:tc>
          <w:tcPr>
            <w:tcW w:w="100" w:type="dxa"/>
            <w:vAlign w:val="bottom"/>
            <w:tcBorders>
              <w:bottom w:val="single" w:sz="8" w:color="auto"/>
            </w:tcBorders>
            <w:shd w:val="clear" w:color="auto" w:fill="EAEAEA"/>
          </w:tcPr>
          <w:p>
            <w:pPr>
              <w:spacing w:after="0"/>
              <w:rPr>
                <w:sz w:val="5"/>
                <w:szCs w:val="5"/>
                <w:color w:val="auto"/>
              </w:rPr>
            </w:pPr>
          </w:p>
        </w:tc>
        <w:tc>
          <w:tcPr>
            <w:tcW w:w="1220" w:type="dxa"/>
            <w:vAlign w:val="bottom"/>
            <w:tcBorders>
              <w:bottom w:val="single" w:sz="8" w:color="auto"/>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EAEAEA"/>
          </w:tcPr>
          <w:p>
            <w:pPr>
              <w:spacing w:after="0"/>
              <w:rPr>
                <w:sz w:val="21"/>
                <w:szCs w:val="21"/>
                <w:color w:val="auto"/>
              </w:rPr>
            </w:pPr>
          </w:p>
        </w:tc>
        <w:tc>
          <w:tcPr>
            <w:tcW w:w="1580" w:type="dxa"/>
            <w:vAlign w:val="bottom"/>
            <w:vMerge w:val="restart"/>
            <w:shd w:val="clear" w:color="auto" w:fill="EAEAEA"/>
          </w:tcPr>
          <w:p>
            <w:pPr>
              <w:ind w:left="20"/>
              <w:spacing w:after="0"/>
              <w:rPr>
                <w:sz w:val="20"/>
                <w:szCs w:val="20"/>
                <w:color w:val="auto"/>
              </w:rPr>
            </w:pPr>
            <w:r>
              <w:rPr>
                <w:rFonts w:ascii="Arial" w:cs="Arial" w:eastAsia="Arial" w:hAnsi="Arial"/>
                <w:sz w:val="14"/>
                <w:szCs w:val="14"/>
                <w:b w:val="1"/>
                <w:bCs w:val="1"/>
                <w:color w:val="auto"/>
              </w:rPr>
              <w:t>Renée Galá</w:t>
            </w:r>
          </w:p>
        </w:tc>
        <w:tc>
          <w:tcPr>
            <w:tcW w:w="2920" w:type="dxa"/>
            <w:vAlign w:val="bottom"/>
            <w:shd w:val="clear" w:color="auto" w:fill="EAEAEA"/>
          </w:tcPr>
          <w:p>
            <w:pPr>
              <w:ind w:left="20"/>
              <w:spacing w:after="0"/>
              <w:rPr>
                <w:sz w:val="20"/>
                <w:szCs w:val="20"/>
                <w:color w:val="auto"/>
              </w:rPr>
            </w:pPr>
            <w:r>
              <w:rPr>
                <w:rFonts w:ascii="Arial" w:cs="Arial" w:eastAsia="Arial" w:hAnsi="Arial"/>
                <w:sz w:val="14"/>
                <w:szCs w:val="14"/>
                <w:color w:val="auto"/>
              </w:rPr>
              <w:t>COBRA Payments</w:t>
            </w:r>
          </w:p>
        </w:tc>
        <w:tc>
          <w:tcPr>
            <w:tcW w:w="80" w:type="dxa"/>
            <w:vAlign w:val="bottom"/>
            <w:shd w:val="clear" w:color="auto" w:fill="EAEAEA"/>
          </w:tcPr>
          <w:p>
            <w:pPr>
              <w:spacing w:after="0"/>
              <w:rPr>
                <w:sz w:val="21"/>
                <w:szCs w:val="21"/>
                <w:color w:val="auto"/>
              </w:rPr>
            </w:pPr>
          </w:p>
        </w:tc>
        <w:tc>
          <w:tcPr>
            <w:tcW w:w="16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89,689</w:t>
            </w:r>
          </w:p>
        </w:tc>
        <w:tc>
          <w:tcPr>
            <w:tcW w:w="100" w:type="dxa"/>
            <w:vAlign w:val="bottom"/>
            <w:shd w:val="clear" w:color="auto" w:fill="EAEAEA"/>
          </w:tcPr>
          <w:p>
            <w:pPr>
              <w:spacing w:after="0"/>
              <w:rPr>
                <w:sz w:val="21"/>
                <w:szCs w:val="21"/>
                <w:color w:val="auto"/>
              </w:rPr>
            </w:pPr>
          </w:p>
        </w:tc>
        <w:tc>
          <w:tcPr>
            <w:tcW w:w="1240" w:type="dxa"/>
            <w:vAlign w:val="bottom"/>
            <w:gridSpan w:val="2"/>
            <w:shd w:val="clear" w:color="auto" w:fill="EAEAEA"/>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EAEAEA"/>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EAEAEA"/>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shd w:val="clear" w:color="auto" w:fill="EAEAEA"/>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EAEAEA"/>
            </w:tcBorders>
            <w:shd w:val="clear" w:color="auto" w:fill="EAEAEA"/>
          </w:tcPr>
          <w:p>
            <w:pPr>
              <w:spacing w:after="0"/>
              <w:rPr>
                <w:sz w:val="5"/>
                <w:szCs w:val="5"/>
                <w:color w:val="auto"/>
              </w:rPr>
            </w:pPr>
          </w:p>
        </w:tc>
        <w:tc>
          <w:tcPr>
            <w:tcW w:w="1580" w:type="dxa"/>
            <w:vAlign w:val="bottom"/>
            <w:tcBorders>
              <w:bottom w:val="single" w:sz="8" w:color="EAEAEA"/>
            </w:tcBorders>
            <w:vMerge w:val="continue"/>
            <w:shd w:val="clear" w:color="auto" w:fill="EAEAEA"/>
          </w:tcPr>
          <w:p>
            <w:pPr>
              <w:spacing w:after="0"/>
              <w:rPr>
                <w:sz w:val="5"/>
                <w:szCs w:val="5"/>
                <w:color w:val="auto"/>
              </w:rPr>
            </w:pPr>
          </w:p>
        </w:tc>
        <w:tc>
          <w:tcPr>
            <w:tcW w:w="2920" w:type="dxa"/>
            <w:vAlign w:val="bottom"/>
            <w:tcBorders>
              <w:bottom w:val="single" w:sz="8" w:color="auto"/>
            </w:tcBorders>
            <w:shd w:val="clear" w:color="auto" w:fill="EAEAEA"/>
          </w:tcPr>
          <w:p>
            <w:pPr>
              <w:spacing w:after="0"/>
              <w:rPr>
                <w:sz w:val="5"/>
                <w:szCs w:val="5"/>
                <w:color w:val="auto"/>
              </w:rPr>
            </w:pPr>
          </w:p>
        </w:tc>
        <w:tc>
          <w:tcPr>
            <w:tcW w:w="80" w:type="dxa"/>
            <w:vAlign w:val="bottom"/>
            <w:tcBorders>
              <w:bottom w:val="single" w:sz="8" w:color="auto"/>
            </w:tcBorders>
            <w:shd w:val="clear" w:color="auto" w:fill="EAEAEA"/>
          </w:tcPr>
          <w:p>
            <w:pPr>
              <w:spacing w:after="0"/>
              <w:rPr>
                <w:sz w:val="5"/>
                <w:szCs w:val="5"/>
                <w:color w:val="auto"/>
              </w:rPr>
            </w:pPr>
          </w:p>
        </w:tc>
        <w:tc>
          <w:tcPr>
            <w:tcW w:w="1640" w:type="dxa"/>
            <w:vAlign w:val="bottom"/>
            <w:tcBorders>
              <w:bottom w:val="single" w:sz="8" w:color="auto"/>
            </w:tcBorders>
            <w:shd w:val="clear" w:color="auto" w:fill="EAEAEA"/>
          </w:tcPr>
          <w:p>
            <w:pPr>
              <w:spacing w:after="0"/>
              <w:rPr>
                <w:sz w:val="5"/>
                <w:szCs w:val="5"/>
                <w:color w:val="auto"/>
              </w:rPr>
            </w:pPr>
          </w:p>
        </w:tc>
        <w:tc>
          <w:tcPr>
            <w:tcW w:w="100" w:type="dxa"/>
            <w:vAlign w:val="bottom"/>
            <w:tcBorders>
              <w:bottom w:val="single" w:sz="8" w:color="auto"/>
            </w:tcBorders>
            <w:shd w:val="clear" w:color="auto" w:fill="EAEAEA"/>
          </w:tcPr>
          <w:p>
            <w:pPr>
              <w:spacing w:after="0"/>
              <w:rPr>
                <w:sz w:val="5"/>
                <w:szCs w:val="5"/>
                <w:color w:val="auto"/>
              </w:rPr>
            </w:pPr>
          </w:p>
        </w:tc>
        <w:tc>
          <w:tcPr>
            <w:tcW w:w="1140" w:type="dxa"/>
            <w:vAlign w:val="bottom"/>
            <w:tcBorders>
              <w:bottom w:val="single" w:sz="8" w:color="auto"/>
            </w:tcBorders>
            <w:shd w:val="clear" w:color="auto" w:fill="EAEAEA"/>
          </w:tcPr>
          <w:p>
            <w:pPr>
              <w:spacing w:after="0"/>
              <w:rPr>
                <w:sz w:val="5"/>
                <w:szCs w:val="5"/>
                <w:color w:val="auto"/>
              </w:rPr>
            </w:pPr>
          </w:p>
        </w:tc>
        <w:tc>
          <w:tcPr>
            <w:tcW w:w="100" w:type="dxa"/>
            <w:vAlign w:val="bottom"/>
            <w:tcBorders>
              <w:bottom w:val="single" w:sz="8" w:color="auto"/>
            </w:tcBorders>
            <w:shd w:val="clear" w:color="auto" w:fill="EAEAEA"/>
          </w:tcPr>
          <w:p>
            <w:pPr>
              <w:spacing w:after="0"/>
              <w:rPr>
                <w:sz w:val="5"/>
                <w:szCs w:val="5"/>
                <w:color w:val="auto"/>
              </w:rPr>
            </w:pPr>
          </w:p>
        </w:tc>
        <w:tc>
          <w:tcPr>
            <w:tcW w:w="1100" w:type="dxa"/>
            <w:vAlign w:val="bottom"/>
            <w:tcBorders>
              <w:bottom w:val="single" w:sz="8" w:color="auto"/>
            </w:tcBorders>
            <w:shd w:val="clear" w:color="auto" w:fill="EAEAEA"/>
          </w:tcPr>
          <w:p>
            <w:pPr>
              <w:spacing w:after="0"/>
              <w:rPr>
                <w:sz w:val="5"/>
                <w:szCs w:val="5"/>
                <w:color w:val="auto"/>
              </w:rPr>
            </w:pPr>
          </w:p>
        </w:tc>
        <w:tc>
          <w:tcPr>
            <w:tcW w:w="100" w:type="dxa"/>
            <w:vAlign w:val="bottom"/>
            <w:tcBorders>
              <w:bottom w:val="single" w:sz="8" w:color="auto"/>
            </w:tcBorders>
            <w:shd w:val="clear" w:color="auto" w:fill="EAEAEA"/>
          </w:tcPr>
          <w:p>
            <w:pPr>
              <w:spacing w:after="0"/>
              <w:rPr>
                <w:sz w:val="5"/>
                <w:szCs w:val="5"/>
                <w:color w:val="auto"/>
              </w:rPr>
            </w:pPr>
          </w:p>
        </w:tc>
        <w:tc>
          <w:tcPr>
            <w:tcW w:w="1080" w:type="dxa"/>
            <w:vAlign w:val="bottom"/>
            <w:tcBorders>
              <w:bottom w:val="single" w:sz="8" w:color="auto"/>
            </w:tcBorders>
            <w:shd w:val="clear" w:color="auto" w:fill="EAEAEA"/>
          </w:tcPr>
          <w:p>
            <w:pPr>
              <w:spacing w:after="0"/>
              <w:rPr>
                <w:sz w:val="5"/>
                <w:szCs w:val="5"/>
                <w:color w:val="auto"/>
              </w:rPr>
            </w:pPr>
          </w:p>
        </w:tc>
        <w:tc>
          <w:tcPr>
            <w:tcW w:w="100" w:type="dxa"/>
            <w:vAlign w:val="bottom"/>
            <w:tcBorders>
              <w:bottom w:val="single" w:sz="8" w:color="auto"/>
            </w:tcBorders>
            <w:shd w:val="clear" w:color="auto" w:fill="EAEAEA"/>
          </w:tcPr>
          <w:p>
            <w:pPr>
              <w:spacing w:after="0"/>
              <w:rPr>
                <w:sz w:val="5"/>
                <w:szCs w:val="5"/>
                <w:color w:val="auto"/>
              </w:rPr>
            </w:pPr>
          </w:p>
        </w:tc>
        <w:tc>
          <w:tcPr>
            <w:tcW w:w="1220" w:type="dxa"/>
            <w:vAlign w:val="bottom"/>
            <w:tcBorders>
              <w:bottom w:val="single" w:sz="8" w:color="auto"/>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80" w:type="dxa"/>
            <w:vAlign w:val="bottom"/>
            <w:shd w:val="clear" w:color="auto" w:fill="EAEAEA"/>
          </w:tcPr>
          <w:p>
            <w:pPr>
              <w:spacing w:after="0"/>
              <w:rPr>
                <w:sz w:val="6"/>
                <w:szCs w:val="6"/>
                <w:color w:val="auto"/>
              </w:rPr>
            </w:pPr>
          </w:p>
        </w:tc>
        <w:tc>
          <w:tcPr>
            <w:tcW w:w="1580" w:type="dxa"/>
            <w:vAlign w:val="bottom"/>
            <w:vMerge w:val="continue"/>
            <w:shd w:val="clear" w:color="auto" w:fill="EAEAEA"/>
          </w:tcPr>
          <w:p>
            <w:pPr>
              <w:spacing w:after="0"/>
              <w:rPr>
                <w:sz w:val="6"/>
                <w:szCs w:val="6"/>
                <w:color w:val="auto"/>
              </w:rPr>
            </w:pPr>
          </w:p>
        </w:tc>
        <w:tc>
          <w:tcPr>
            <w:tcW w:w="2920" w:type="dxa"/>
            <w:vAlign w:val="bottom"/>
            <w:vMerge w:val="restart"/>
            <w:shd w:val="clear" w:color="auto" w:fill="EAEAEA"/>
          </w:tcPr>
          <w:p>
            <w:pPr>
              <w:ind w:left="20"/>
              <w:spacing w:after="0"/>
              <w:rPr>
                <w:sz w:val="20"/>
                <w:szCs w:val="20"/>
                <w:color w:val="auto"/>
              </w:rPr>
            </w:pPr>
            <w:r>
              <w:rPr>
                <w:rFonts w:ascii="Arial" w:cs="Arial" w:eastAsia="Arial" w:hAnsi="Arial"/>
                <w:sz w:val="14"/>
                <w:szCs w:val="14"/>
                <w:color w:val="auto"/>
              </w:rPr>
              <w:t>Vesting Acceleration</w:t>
            </w:r>
            <w:r>
              <w:rPr>
                <w:rFonts w:ascii="Arial" w:cs="Arial" w:eastAsia="Arial" w:hAnsi="Arial"/>
                <w:sz w:val="18"/>
                <w:szCs w:val="18"/>
                <w:color w:val="auto"/>
                <w:vertAlign w:val="superscript"/>
              </w:rPr>
              <w:t>(6)</w:t>
            </w:r>
          </w:p>
        </w:tc>
        <w:tc>
          <w:tcPr>
            <w:tcW w:w="80" w:type="dxa"/>
            <w:vAlign w:val="bottom"/>
            <w:shd w:val="clear" w:color="auto" w:fill="EAEAEA"/>
          </w:tcPr>
          <w:p>
            <w:pPr>
              <w:spacing w:after="0"/>
              <w:rPr>
                <w:sz w:val="6"/>
                <w:szCs w:val="6"/>
                <w:color w:val="auto"/>
              </w:rPr>
            </w:pPr>
          </w:p>
        </w:tc>
        <w:tc>
          <w:tcPr>
            <w:tcW w:w="1640" w:type="dxa"/>
            <w:vAlign w:val="bottom"/>
            <w:vMerge w:val="restart"/>
            <w:shd w:val="clear" w:color="auto" w:fill="EAEAEA"/>
          </w:tcPr>
          <w:p>
            <w:pPr>
              <w:jc w:val="right"/>
              <w:spacing w:after="0"/>
              <w:rPr>
                <w:sz w:val="20"/>
                <w:szCs w:val="20"/>
                <w:color w:val="auto"/>
              </w:rPr>
            </w:pPr>
            <w:r>
              <w:rPr>
                <w:rFonts w:ascii="Arial" w:cs="Arial" w:eastAsia="Arial" w:hAnsi="Arial"/>
                <w:sz w:val="14"/>
                <w:szCs w:val="14"/>
                <w:color w:val="auto"/>
              </w:rPr>
              <w:t>8,220,300</w:t>
            </w:r>
          </w:p>
        </w:tc>
        <w:tc>
          <w:tcPr>
            <w:tcW w:w="1240" w:type="dxa"/>
            <w:vAlign w:val="bottom"/>
            <w:gridSpan w:val="2"/>
            <w:vMerge w:val="restart"/>
            <w:shd w:val="clear" w:color="auto" w:fill="EAEAEA"/>
          </w:tcPr>
          <w:p>
            <w:pPr>
              <w:jc w:val="right"/>
              <w:spacing w:after="0"/>
              <w:rPr>
                <w:sz w:val="20"/>
                <w:szCs w:val="20"/>
                <w:color w:val="auto"/>
              </w:rPr>
            </w:pPr>
            <w:r>
              <w:rPr>
                <w:rFonts w:ascii="Arial" w:cs="Arial" w:eastAsia="Arial" w:hAnsi="Arial"/>
                <w:sz w:val="14"/>
                <w:szCs w:val="14"/>
                <w:color w:val="auto"/>
              </w:rPr>
              <w:t>8,220,300</w:t>
            </w:r>
          </w:p>
        </w:tc>
        <w:tc>
          <w:tcPr>
            <w:tcW w:w="100" w:type="dxa"/>
            <w:vAlign w:val="bottom"/>
            <w:shd w:val="clear" w:color="auto" w:fill="EAEAEA"/>
          </w:tcPr>
          <w:p>
            <w:pPr>
              <w:spacing w:after="0"/>
              <w:rPr>
                <w:sz w:val="6"/>
                <w:szCs w:val="6"/>
                <w:color w:val="auto"/>
              </w:rPr>
            </w:pPr>
          </w:p>
        </w:tc>
        <w:tc>
          <w:tcPr>
            <w:tcW w:w="1100" w:type="dxa"/>
            <w:vAlign w:val="bottom"/>
            <w:vMerge w:val="restart"/>
            <w:shd w:val="clear" w:color="auto" w:fill="EAEAEA"/>
          </w:tcPr>
          <w:p>
            <w:pPr>
              <w:jc w:val="right"/>
              <w:spacing w:after="0"/>
              <w:rPr>
                <w:sz w:val="20"/>
                <w:szCs w:val="20"/>
                <w:color w:val="auto"/>
              </w:rPr>
            </w:pPr>
            <w:r>
              <w:rPr>
                <w:rFonts w:ascii="Arial" w:cs="Arial" w:eastAsia="Arial" w:hAnsi="Arial"/>
                <w:sz w:val="14"/>
                <w:szCs w:val="14"/>
                <w:color w:val="auto"/>
              </w:rPr>
              <w:t>5,963,596</w:t>
            </w:r>
          </w:p>
        </w:tc>
        <w:tc>
          <w:tcPr>
            <w:tcW w:w="100" w:type="dxa"/>
            <w:vAlign w:val="bottom"/>
            <w:shd w:val="clear" w:color="auto" w:fill="EAEAEA"/>
          </w:tcPr>
          <w:p>
            <w:pPr>
              <w:spacing w:after="0"/>
              <w:rPr>
                <w:sz w:val="6"/>
                <w:szCs w:val="6"/>
                <w:color w:val="auto"/>
              </w:rPr>
            </w:pPr>
          </w:p>
        </w:tc>
        <w:tc>
          <w:tcPr>
            <w:tcW w:w="1080" w:type="dxa"/>
            <w:vAlign w:val="bottom"/>
            <w:vMerge w:val="restart"/>
            <w:shd w:val="clear" w:color="auto" w:fill="EAEAEA"/>
          </w:tcPr>
          <w:p>
            <w:pPr>
              <w:jc w:val="right"/>
              <w:spacing w:after="0"/>
              <w:rPr>
                <w:sz w:val="20"/>
                <w:szCs w:val="20"/>
                <w:color w:val="auto"/>
              </w:rPr>
            </w:pPr>
            <w:r>
              <w:rPr>
                <w:rFonts w:ascii="Arial" w:cs="Arial" w:eastAsia="Arial" w:hAnsi="Arial"/>
                <w:sz w:val="14"/>
                <w:szCs w:val="14"/>
                <w:color w:val="auto"/>
              </w:rPr>
              <w:t>3,371,430</w:t>
            </w:r>
          </w:p>
        </w:tc>
        <w:tc>
          <w:tcPr>
            <w:tcW w:w="100" w:type="dxa"/>
            <w:vAlign w:val="bottom"/>
            <w:shd w:val="clear" w:color="auto" w:fill="EAEAEA"/>
          </w:tcPr>
          <w:p>
            <w:pPr>
              <w:spacing w:after="0"/>
              <w:rPr>
                <w:sz w:val="6"/>
                <w:szCs w:val="6"/>
                <w:color w:val="auto"/>
              </w:rPr>
            </w:pPr>
          </w:p>
        </w:tc>
        <w:tc>
          <w:tcPr>
            <w:tcW w:w="1220" w:type="dxa"/>
            <w:vAlign w:val="bottom"/>
            <w:vMerge w:val="restart"/>
            <w:shd w:val="clear" w:color="auto" w:fill="EAEAEA"/>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2"/>
        </w:trPr>
        <w:tc>
          <w:tcPr>
            <w:tcW w:w="80" w:type="dxa"/>
            <w:vAlign w:val="bottom"/>
            <w:tcBorders>
              <w:bottom w:val="single" w:sz="8" w:color="EAEAEA"/>
            </w:tcBorders>
            <w:shd w:val="clear" w:color="auto" w:fill="EAEAEA"/>
          </w:tcPr>
          <w:p>
            <w:pPr>
              <w:spacing w:after="0"/>
              <w:rPr>
                <w:sz w:val="20"/>
                <w:szCs w:val="20"/>
                <w:color w:val="auto"/>
              </w:rPr>
            </w:pPr>
          </w:p>
        </w:tc>
        <w:tc>
          <w:tcPr>
            <w:tcW w:w="1580" w:type="dxa"/>
            <w:vAlign w:val="bottom"/>
            <w:tcBorders>
              <w:bottom w:val="single" w:sz="8" w:color="EAEAEA"/>
            </w:tcBorders>
            <w:shd w:val="clear" w:color="auto" w:fill="EAEAEA"/>
          </w:tcPr>
          <w:p>
            <w:pPr>
              <w:spacing w:after="0"/>
              <w:rPr>
                <w:sz w:val="20"/>
                <w:szCs w:val="20"/>
                <w:color w:val="auto"/>
              </w:rPr>
            </w:pPr>
          </w:p>
        </w:tc>
        <w:tc>
          <w:tcPr>
            <w:tcW w:w="2920" w:type="dxa"/>
            <w:vAlign w:val="bottom"/>
            <w:tcBorders>
              <w:bottom w:val="single" w:sz="8" w:color="EAEAEA"/>
            </w:tcBorders>
            <w:vMerge w:val="continue"/>
            <w:shd w:val="clear" w:color="auto" w:fill="EAEAEA"/>
          </w:tcPr>
          <w:p>
            <w:pPr>
              <w:spacing w:after="0"/>
              <w:rPr>
                <w:sz w:val="20"/>
                <w:szCs w:val="20"/>
                <w:color w:val="auto"/>
              </w:rPr>
            </w:pPr>
          </w:p>
        </w:tc>
        <w:tc>
          <w:tcPr>
            <w:tcW w:w="80" w:type="dxa"/>
            <w:vAlign w:val="bottom"/>
            <w:tcBorders>
              <w:bottom w:val="single" w:sz="8" w:color="EAEAEA"/>
            </w:tcBorders>
            <w:shd w:val="clear" w:color="auto" w:fill="EAEAEA"/>
          </w:tcPr>
          <w:p>
            <w:pPr>
              <w:spacing w:after="0"/>
              <w:rPr>
                <w:sz w:val="20"/>
                <w:szCs w:val="20"/>
                <w:color w:val="auto"/>
              </w:rPr>
            </w:pPr>
          </w:p>
        </w:tc>
        <w:tc>
          <w:tcPr>
            <w:tcW w:w="1640" w:type="dxa"/>
            <w:vAlign w:val="bottom"/>
            <w:tcBorders>
              <w:bottom w:val="single" w:sz="8" w:color="EAEAEA"/>
            </w:tcBorders>
            <w:vMerge w:val="continue"/>
            <w:shd w:val="clear" w:color="auto" w:fill="EAEAEA"/>
          </w:tcPr>
          <w:p>
            <w:pPr>
              <w:spacing w:after="0"/>
              <w:rPr>
                <w:sz w:val="20"/>
                <w:szCs w:val="20"/>
                <w:color w:val="auto"/>
              </w:rPr>
            </w:pPr>
          </w:p>
        </w:tc>
        <w:tc>
          <w:tcPr>
            <w:tcW w:w="1240" w:type="dxa"/>
            <w:vAlign w:val="bottom"/>
            <w:tcBorders>
              <w:bottom w:val="single" w:sz="8" w:color="EAEAEA"/>
            </w:tcBorders>
            <w:gridSpan w:val="2"/>
            <w:vMerge w:val="continue"/>
            <w:shd w:val="clear" w:color="auto" w:fill="EAEAEA"/>
          </w:tcPr>
          <w:p>
            <w:pPr>
              <w:spacing w:after="0"/>
              <w:rPr>
                <w:sz w:val="20"/>
                <w:szCs w:val="20"/>
                <w:color w:val="auto"/>
              </w:rPr>
            </w:pPr>
          </w:p>
        </w:tc>
        <w:tc>
          <w:tcPr>
            <w:tcW w:w="100" w:type="dxa"/>
            <w:vAlign w:val="bottom"/>
            <w:tcBorders>
              <w:bottom w:val="single" w:sz="8" w:color="EAEAEA"/>
            </w:tcBorders>
            <w:shd w:val="clear" w:color="auto" w:fill="EAEAEA"/>
          </w:tcPr>
          <w:p>
            <w:pPr>
              <w:spacing w:after="0"/>
              <w:rPr>
                <w:sz w:val="20"/>
                <w:szCs w:val="20"/>
                <w:color w:val="auto"/>
              </w:rPr>
            </w:pPr>
          </w:p>
        </w:tc>
        <w:tc>
          <w:tcPr>
            <w:tcW w:w="1100" w:type="dxa"/>
            <w:vAlign w:val="bottom"/>
            <w:tcBorders>
              <w:bottom w:val="single" w:sz="8" w:color="EAEAEA"/>
            </w:tcBorders>
            <w:vMerge w:val="continue"/>
            <w:shd w:val="clear" w:color="auto" w:fill="EAEAEA"/>
          </w:tcPr>
          <w:p>
            <w:pPr>
              <w:spacing w:after="0"/>
              <w:rPr>
                <w:sz w:val="20"/>
                <w:szCs w:val="20"/>
                <w:color w:val="auto"/>
              </w:rPr>
            </w:pPr>
          </w:p>
        </w:tc>
        <w:tc>
          <w:tcPr>
            <w:tcW w:w="100" w:type="dxa"/>
            <w:vAlign w:val="bottom"/>
            <w:tcBorders>
              <w:bottom w:val="single" w:sz="8" w:color="EAEAEA"/>
            </w:tcBorders>
            <w:shd w:val="clear" w:color="auto" w:fill="EAEAEA"/>
          </w:tcPr>
          <w:p>
            <w:pPr>
              <w:spacing w:after="0"/>
              <w:rPr>
                <w:sz w:val="20"/>
                <w:szCs w:val="20"/>
                <w:color w:val="auto"/>
              </w:rPr>
            </w:pPr>
          </w:p>
        </w:tc>
        <w:tc>
          <w:tcPr>
            <w:tcW w:w="1080" w:type="dxa"/>
            <w:vAlign w:val="bottom"/>
            <w:tcBorders>
              <w:bottom w:val="single" w:sz="8" w:color="EAEAEA"/>
            </w:tcBorders>
            <w:vMerge w:val="continue"/>
            <w:shd w:val="clear" w:color="auto" w:fill="EAEAEA"/>
          </w:tcPr>
          <w:p>
            <w:pPr>
              <w:spacing w:after="0"/>
              <w:rPr>
                <w:sz w:val="20"/>
                <w:szCs w:val="20"/>
                <w:color w:val="auto"/>
              </w:rPr>
            </w:pPr>
          </w:p>
        </w:tc>
        <w:tc>
          <w:tcPr>
            <w:tcW w:w="100" w:type="dxa"/>
            <w:vAlign w:val="bottom"/>
            <w:tcBorders>
              <w:bottom w:val="single" w:sz="8" w:color="EAEAEA"/>
            </w:tcBorders>
            <w:shd w:val="clear" w:color="auto" w:fill="EAEAEA"/>
          </w:tcPr>
          <w:p>
            <w:pPr>
              <w:spacing w:after="0"/>
              <w:rPr>
                <w:sz w:val="20"/>
                <w:szCs w:val="20"/>
                <w:color w:val="auto"/>
              </w:rPr>
            </w:pPr>
          </w:p>
        </w:tc>
        <w:tc>
          <w:tcPr>
            <w:tcW w:w="1220" w:type="dxa"/>
            <w:vAlign w:val="bottom"/>
            <w:tcBorders>
              <w:bottom w:val="single" w:sz="8" w:color="EAEAEA"/>
            </w:tcBorders>
            <w:vMerge w:val="continue"/>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80" w:type="dxa"/>
            <w:vAlign w:val="bottom"/>
            <w:tcBorders>
              <w:top w:val="single" w:sz="8" w:color="EAEAEA"/>
              <w:bottom w:val="single" w:sz="8" w:color="EAEAEA"/>
            </w:tcBorders>
            <w:shd w:val="clear" w:color="auto" w:fill="EAEAEA"/>
          </w:tcPr>
          <w:p>
            <w:pPr>
              <w:spacing w:after="0"/>
              <w:rPr>
                <w:sz w:val="24"/>
                <w:szCs w:val="24"/>
                <w:color w:val="auto"/>
              </w:rPr>
            </w:pPr>
          </w:p>
        </w:tc>
        <w:tc>
          <w:tcPr>
            <w:tcW w:w="1580" w:type="dxa"/>
            <w:vAlign w:val="bottom"/>
            <w:tcBorders>
              <w:top w:val="single" w:sz="8" w:color="EAEAEA"/>
              <w:bottom w:val="single" w:sz="8" w:color="EAEAEA"/>
            </w:tcBorders>
            <w:shd w:val="clear" w:color="auto" w:fill="EAEAEA"/>
          </w:tcPr>
          <w:p>
            <w:pPr>
              <w:spacing w:after="0"/>
              <w:rPr>
                <w:sz w:val="24"/>
                <w:szCs w:val="24"/>
                <w:color w:val="auto"/>
              </w:rPr>
            </w:pPr>
          </w:p>
        </w:tc>
        <w:tc>
          <w:tcPr>
            <w:tcW w:w="2920" w:type="dxa"/>
            <w:vAlign w:val="bottom"/>
            <w:tcBorders>
              <w:top w:val="single" w:sz="8" w:color="852166"/>
              <w:bottom w:val="single" w:sz="8" w:color="EAEAEA"/>
            </w:tcBorders>
            <w:shd w:val="clear" w:color="auto" w:fill="EAEAEA"/>
          </w:tcPr>
          <w:p>
            <w:pPr>
              <w:ind w:left="20"/>
              <w:spacing w:after="0"/>
              <w:rPr>
                <w:sz w:val="20"/>
                <w:szCs w:val="20"/>
                <w:color w:val="auto"/>
              </w:rPr>
            </w:pPr>
            <w:r>
              <w:rPr>
                <w:rFonts w:ascii="Arial" w:cs="Arial" w:eastAsia="Arial" w:hAnsi="Arial"/>
                <w:sz w:val="14"/>
                <w:szCs w:val="14"/>
                <w:b w:val="1"/>
                <w:bCs w:val="1"/>
                <w:color w:val="auto"/>
              </w:rPr>
              <w:t>Benefit Total</w:t>
            </w:r>
          </w:p>
        </w:tc>
        <w:tc>
          <w:tcPr>
            <w:tcW w:w="80" w:type="dxa"/>
            <w:vAlign w:val="bottom"/>
            <w:tcBorders>
              <w:top w:val="single" w:sz="8" w:color="852166"/>
              <w:bottom w:val="single" w:sz="8" w:color="EAEAEA"/>
            </w:tcBorders>
            <w:shd w:val="clear" w:color="auto" w:fill="EAEAEA"/>
          </w:tcPr>
          <w:p>
            <w:pPr>
              <w:spacing w:after="0"/>
              <w:rPr>
                <w:sz w:val="24"/>
                <w:szCs w:val="24"/>
                <w:color w:val="auto"/>
              </w:rPr>
            </w:pPr>
          </w:p>
        </w:tc>
        <w:tc>
          <w:tcPr>
            <w:tcW w:w="1640" w:type="dxa"/>
            <w:vAlign w:val="bottom"/>
            <w:tcBorders>
              <w:top w:val="single" w:sz="8" w:color="852166"/>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auto"/>
              </w:rPr>
              <w:t>11,709,989</w:t>
            </w:r>
          </w:p>
        </w:tc>
        <w:tc>
          <w:tcPr>
            <w:tcW w:w="1240" w:type="dxa"/>
            <w:vAlign w:val="bottom"/>
            <w:tcBorders>
              <w:top w:val="single" w:sz="8" w:color="852166"/>
              <w:bottom w:val="single" w:sz="8" w:color="EAEAEA"/>
            </w:tcBorders>
            <w:gridSpan w:val="2"/>
            <w:shd w:val="clear" w:color="auto" w:fill="EAEAEA"/>
          </w:tcPr>
          <w:p>
            <w:pPr>
              <w:jc w:val="right"/>
              <w:spacing w:after="0"/>
              <w:rPr>
                <w:sz w:val="20"/>
                <w:szCs w:val="20"/>
                <w:color w:val="auto"/>
              </w:rPr>
            </w:pPr>
            <w:r>
              <w:rPr>
                <w:rFonts w:ascii="Arial" w:cs="Arial" w:eastAsia="Arial" w:hAnsi="Arial"/>
                <w:sz w:val="14"/>
                <w:szCs w:val="14"/>
                <w:b w:val="1"/>
                <w:bCs w:val="1"/>
                <w:color w:val="auto"/>
              </w:rPr>
              <w:t>8,220,300</w:t>
            </w:r>
          </w:p>
        </w:tc>
        <w:tc>
          <w:tcPr>
            <w:tcW w:w="100" w:type="dxa"/>
            <w:vAlign w:val="bottom"/>
            <w:tcBorders>
              <w:top w:val="single" w:sz="8" w:color="852166"/>
              <w:bottom w:val="single" w:sz="8" w:color="EAEAEA"/>
            </w:tcBorders>
            <w:shd w:val="clear" w:color="auto" w:fill="EAEAEA"/>
          </w:tcPr>
          <w:p>
            <w:pPr>
              <w:spacing w:after="0"/>
              <w:rPr>
                <w:sz w:val="24"/>
                <w:szCs w:val="24"/>
                <w:color w:val="auto"/>
              </w:rPr>
            </w:pPr>
          </w:p>
        </w:tc>
        <w:tc>
          <w:tcPr>
            <w:tcW w:w="1100" w:type="dxa"/>
            <w:vAlign w:val="bottom"/>
            <w:tcBorders>
              <w:top w:val="single" w:sz="8" w:color="852166"/>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auto"/>
              </w:rPr>
              <w:t>5,963,596</w:t>
            </w:r>
          </w:p>
        </w:tc>
        <w:tc>
          <w:tcPr>
            <w:tcW w:w="100" w:type="dxa"/>
            <w:vAlign w:val="bottom"/>
            <w:tcBorders>
              <w:top w:val="single" w:sz="8" w:color="852166"/>
              <w:bottom w:val="single" w:sz="8" w:color="EAEAEA"/>
            </w:tcBorders>
            <w:shd w:val="clear" w:color="auto" w:fill="EAEAEA"/>
          </w:tcPr>
          <w:p>
            <w:pPr>
              <w:spacing w:after="0"/>
              <w:rPr>
                <w:sz w:val="24"/>
                <w:szCs w:val="24"/>
                <w:color w:val="auto"/>
              </w:rPr>
            </w:pPr>
          </w:p>
        </w:tc>
        <w:tc>
          <w:tcPr>
            <w:tcW w:w="1080" w:type="dxa"/>
            <w:vAlign w:val="bottom"/>
            <w:tcBorders>
              <w:top w:val="single" w:sz="8" w:color="852166"/>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auto"/>
              </w:rPr>
              <w:t>3,371,430</w:t>
            </w:r>
          </w:p>
        </w:tc>
        <w:tc>
          <w:tcPr>
            <w:tcW w:w="100" w:type="dxa"/>
            <w:vAlign w:val="bottom"/>
            <w:tcBorders>
              <w:top w:val="single" w:sz="8" w:color="852166"/>
              <w:bottom w:val="single" w:sz="8" w:color="EAEAEA"/>
            </w:tcBorders>
            <w:shd w:val="clear" w:color="auto" w:fill="EAEAEA"/>
          </w:tcPr>
          <w:p>
            <w:pPr>
              <w:spacing w:after="0"/>
              <w:rPr>
                <w:sz w:val="24"/>
                <w:szCs w:val="24"/>
                <w:color w:val="auto"/>
              </w:rPr>
            </w:pPr>
          </w:p>
        </w:tc>
        <w:tc>
          <w:tcPr>
            <w:tcW w:w="1220" w:type="dxa"/>
            <w:vAlign w:val="bottom"/>
            <w:tcBorders>
              <w:top w:val="single" w:sz="8" w:color="852166"/>
              <w:bottom w:val="single" w:sz="8" w:color="EAEAEA"/>
            </w:tcBorders>
            <w:shd w:val="clear" w:color="auto" w:fill="EAEAEA"/>
          </w:tcPr>
          <w:p>
            <w:pPr>
              <w:jc w:val="right"/>
              <w:ind w:right="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80" w:type="dxa"/>
            <w:vAlign w:val="bottom"/>
            <w:tcBorders>
              <w:top w:val="single" w:sz="8" w:color="EAEAEA"/>
            </w:tcBorders>
          </w:tcPr>
          <w:p>
            <w:pPr>
              <w:spacing w:after="0" w:line="20" w:lineRule="exact"/>
              <w:rPr>
                <w:sz w:val="1"/>
                <w:szCs w:val="1"/>
                <w:color w:val="auto"/>
              </w:rPr>
            </w:pPr>
          </w:p>
        </w:tc>
        <w:tc>
          <w:tcPr>
            <w:tcW w:w="1580" w:type="dxa"/>
            <w:vAlign w:val="bottom"/>
            <w:tcBorders>
              <w:top w:val="single" w:sz="8" w:color="EAEAEA"/>
            </w:tcBorders>
          </w:tcPr>
          <w:p>
            <w:pPr>
              <w:spacing w:after="0" w:line="20" w:lineRule="exact"/>
              <w:rPr>
                <w:sz w:val="1"/>
                <w:szCs w:val="1"/>
                <w:color w:val="auto"/>
              </w:rPr>
            </w:pPr>
          </w:p>
        </w:tc>
        <w:tc>
          <w:tcPr>
            <w:tcW w:w="2920" w:type="dxa"/>
            <w:vAlign w:val="bottom"/>
            <w:tcBorders>
              <w:top w:val="single" w:sz="8" w:color="EAEAEA"/>
              <w:bottom w:val="single" w:sz="8" w:color="EAEAEA"/>
            </w:tcBorders>
            <w:vMerge w:val="restart"/>
          </w:tcPr>
          <w:p>
            <w:pPr>
              <w:ind w:left="20"/>
              <w:spacing w:after="0"/>
              <w:rPr>
                <w:sz w:val="20"/>
                <w:szCs w:val="20"/>
                <w:color w:val="auto"/>
              </w:rPr>
            </w:pPr>
            <w:r>
              <w:rPr>
                <w:rFonts w:ascii="Arial" w:cs="Arial" w:eastAsia="Arial" w:hAnsi="Arial"/>
                <w:sz w:val="14"/>
                <w:szCs w:val="14"/>
                <w:color w:val="auto"/>
              </w:rPr>
              <w:t>Lump Sum Cash Severance Payment</w:t>
            </w:r>
          </w:p>
        </w:tc>
        <w:tc>
          <w:tcPr>
            <w:tcW w:w="80" w:type="dxa"/>
            <w:vAlign w:val="bottom"/>
            <w:tcBorders>
              <w:top w:val="single" w:sz="8" w:color="EAEAEA"/>
            </w:tcBorders>
          </w:tcPr>
          <w:p>
            <w:pPr>
              <w:spacing w:after="0" w:line="20" w:lineRule="exact"/>
              <w:rPr>
                <w:sz w:val="1"/>
                <w:szCs w:val="1"/>
                <w:color w:val="auto"/>
              </w:rPr>
            </w:pPr>
          </w:p>
        </w:tc>
        <w:tc>
          <w:tcPr>
            <w:tcW w:w="1640" w:type="dxa"/>
            <w:vAlign w:val="bottom"/>
            <w:tcBorders>
              <w:top w:val="single" w:sz="8" w:color="852166"/>
              <w:bottom w:val="single" w:sz="8" w:color="852166"/>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140" w:type="dxa"/>
            <w:vAlign w:val="bottom"/>
            <w:tcBorders>
              <w:top w:val="single" w:sz="8" w:color="852166"/>
              <w:bottom w:val="single" w:sz="8" w:color="852166"/>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100" w:type="dxa"/>
            <w:vAlign w:val="bottom"/>
            <w:tcBorders>
              <w:top w:val="single" w:sz="8" w:color="852166"/>
              <w:bottom w:val="single" w:sz="8" w:color="852166"/>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080" w:type="dxa"/>
            <w:vAlign w:val="bottom"/>
            <w:tcBorders>
              <w:top w:val="single" w:sz="8" w:color="852166"/>
              <w:bottom w:val="single" w:sz="8" w:color="852166"/>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220" w:type="dxa"/>
            <w:vAlign w:val="bottom"/>
            <w:tcBorders>
              <w:top w:val="single" w:sz="8" w:color="852166"/>
              <w:bottom w:val="single" w:sz="8" w:color="85216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920" w:type="dxa"/>
            <w:vAlign w:val="bottom"/>
            <w:vMerge w:val="continue"/>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1,116,466</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gridSpan w:val="2"/>
          </w:tcPr>
          <w:p>
            <w:pPr>
              <w:spacing w:after="0"/>
              <w:rPr>
                <w:sz w:val="5"/>
                <w:szCs w:val="5"/>
                <w:color w:val="auto"/>
              </w:rPr>
            </w:pPr>
          </w:p>
        </w:tc>
        <w:tc>
          <w:tcPr>
            <w:tcW w:w="1200" w:type="dxa"/>
            <w:vAlign w:val="bottom"/>
            <w:tcBorders>
              <w:bottom w:val="single" w:sz="8" w:color="auto"/>
            </w:tcBorders>
            <w:gridSpan w:val="2"/>
          </w:tcPr>
          <w:p>
            <w:pPr>
              <w:spacing w:after="0"/>
              <w:rPr>
                <w:sz w:val="5"/>
                <w:szCs w:val="5"/>
                <w:color w:val="auto"/>
              </w:rPr>
            </w:pPr>
          </w:p>
        </w:tc>
        <w:tc>
          <w:tcPr>
            <w:tcW w:w="1180" w:type="dxa"/>
            <w:vAlign w:val="bottom"/>
            <w:tcBorders>
              <w:bottom w:val="single" w:sz="8" w:color="auto"/>
            </w:tcBorders>
            <w:gridSpan w:val="2"/>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1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Patricia Carr</w:t>
            </w:r>
          </w:p>
        </w:tc>
        <w:tc>
          <w:tcPr>
            <w:tcW w:w="2920" w:type="dxa"/>
            <w:vAlign w:val="bottom"/>
          </w:tcPr>
          <w:p>
            <w:pPr>
              <w:ind w:left="20"/>
              <w:spacing w:after="0"/>
              <w:rPr>
                <w:sz w:val="20"/>
                <w:szCs w:val="20"/>
                <w:color w:val="auto"/>
              </w:rPr>
            </w:pPr>
            <w:r>
              <w:rPr>
                <w:rFonts w:ascii="Arial" w:cs="Arial" w:eastAsia="Arial" w:hAnsi="Arial"/>
                <w:sz w:val="14"/>
                <w:szCs w:val="14"/>
                <w:color w:val="auto"/>
              </w:rPr>
              <w:t>Health Continuation Coverage</w:t>
            </w: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2,739</w:t>
            </w:r>
          </w:p>
        </w:tc>
        <w:tc>
          <w:tcPr>
            <w:tcW w:w="10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2920" w:type="dxa"/>
            <w:vAlign w:val="bottom"/>
            <w:vMerge w:val="restart"/>
          </w:tcPr>
          <w:p>
            <w:pPr>
              <w:ind w:left="20"/>
              <w:spacing w:after="0"/>
              <w:rPr>
                <w:sz w:val="20"/>
                <w:szCs w:val="20"/>
                <w:color w:val="auto"/>
              </w:rPr>
            </w:pPr>
            <w:r>
              <w:rPr>
                <w:rFonts w:ascii="Arial" w:cs="Arial" w:eastAsia="Arial" w:hAnsi="Arial"/>
                <w:sz w:val="14"/>
                <w:szCs w:val="14"/>
                <w:color w:val="auto"/>
              </w:rPr>
              <w:t>Vesting Acceleration</w:t>
            </w:r>
            <w:r>
              <w:rPr>
                <w:rFonts w:ascii="Arial" w:cs="Arial" w:eastAsia="Arial" w:hAnsi="Arial"/>
                <w:sz w:val="18"/>
                <w:szCs w:val="18"/>
                <w:color w:val="auto"/>
                <w:vertAlign w:val="superscript"/>
              </w:rPr>
              <w:t>(6)</w:t>
            </w:r>
          </w:p>
        </w:tc>
        <w:tc>
          <w:tcPr>
            <w:tcW w:w="1720" w:type="dxa"/>
            <w:vAlign w:val="bottom"/>
            <w:gridSpan w:val="2"/>
            <w:vMerge w:val="restart"/>
          </w:tcPr>
          <w:p>
            <w:pPr>
              <w:jc w:val="right"/>
              <w:spacing w:after="0"/>
              <w:rPr>
                <w:sz w:val="20"/>
                <w:szCs w:val="20"/>
                <w:color w:val="auto"/>
              </w:rPr>
            </w:pPr>
            <w:r>
              <w:rPr>
                <w:rFonts w:ascii="Arial" w:cs="Arial" w:eastAsia="Arial" w:hAnsi="Arial"/>
                <w:sz w:val="14"/>
                <w:szCs w:val="14"/>
                <w:color w:val="auto"/>
              </w:rPr>
              <w:t>1,579,173</w:t>
            </w: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color w:val="auto"/>
              </w:rPr>
              <w:t>1,579,173</w:t>
            </w:r>
          </w:p>
        </w:tc>
        <w:tc>
          <w:tcPr>
            <w:tcW w:w="100" w:type="dxa"/>
            <w:vAlign w:val="bottom"/>
          </w:tcPr>
          <w:p>
            <w:pPr>
              <w:spacing w:after="0"/>
              <w:rPr>
                <w:sz w:val="6"/>
                <w:szCs w:val="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1,168,828</w:t>
            </w:r>
          </w:p>
        </w:tc>
        <w:tc>
          <w:tcPr>
            <w:tcW w:w="100" w:type="dxa"/>
            <w:vAlign w:val="bottom"/>
          </w:tcPr>
          <w:p>
            <w:pPr>
              <w:spacing w:after="0"/>
              <w:rPr>
                <w:sz w:val="6"/>
                <w:szCs w:val="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656,328</w:t>
            </w:r>
          </w:p>
        </w:tc>
        <w:tc>
          <w:tcPr>
            <w:tcW w:w="100" w:type="dxa"/>
            <w:vAlign w:val="bottom"/>
          </w:tcPr>
          <w:p>
            <w:pPr>
              <w:spacing w:after="0"/>
              <w:rPr>
                <w:sz w:val="6"/>
                <w:szCs w:val="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920" w:type="dxa"/>
            <w:vAlign w:val="bottom"/>
            <w:vMerge w:val="continue"/>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920" w:type="dxa"/>
            <w:vAlign w:val="bottom"/>
            <w:tcBorders>
              <w:bottom w:val="single" w:sz="8" w:color="852166"/>
            </w:tcBorders>
          </w:tcPr>
          <w:p>
            <w:pPr>
              <w:spacing w:after="0"/>
              <w:rPr>
                <w:sz w:val="2"/>
                <w:szCs w:val="2"/>
                <w:color w:val="auto"/>
              </w:rPr>
            </w:pPr>
          </w:p>
        </w:tc>
        <w:tc>
          <w:tcPr>
            <w:tcW w:w="1720" w:type="dxa"/>
            <w:vAlign w:val="bottom"/>
            <w:tcBorders>
              <w:bottom w:val="single" w:sz="8" w:color="852166"/>
            </w:tcBorders>
            <w:gridSpan w:val="2"/>
          </w:tcPr>
          <w:p>
            <w:pPr>
              <w:spacing w:after="0"/>
              <w:rPr>
                <w:sz w:val="2"/>
                <w:szCs w:val="2"/>
                <w:color w:val="auto"/>
              </w:rPr>
            </w:pPr>
          </w:p>
        </w:tc>
        <w:tc>
          <w:tcPr>
            <w:tcW w:w="1240" w:type="dxa"/>
            <w:vAlign w:val="bottom"/>
            <w:tcBorders>
              <w:bottom w:val="single" w:sz="8" w:color="852166"/>
            </w:tcBorders>
            <w:gridSpan w:val="2"/>
          </w:tcPr>
          <w:p>
            <w:pPr>
              <w:spacing w:after="0"/>
              <w:rPr>
                <w:sz w:val="2"/>
                <w:szCs w:val="2"/>
                <w:color w:val="auto"/>
              </w:rPr>
            </w:pPr>
          </w:p>
        </w:tc>
        <w:tc>
          <w:tcPr>
            <w:tcW w:w="100" w:type="dxa"/>
            <w:vAlign w:val="bottom"/>
            <w:tcBorders>
              <w:bottom w:val="single" w:sz="8" w:color="852166"/>
            </w:tcBorders>
          </w:tcPr>
          <w:p>
            <w:pPr>
              <w:spacing w:after="0"/>
              <w:rPr>
                <w:sz w:val="2"/>
                <w:szCs w:val="2"/>
                <w:color w:val="auto"/>
              </w:rPr>
            </w:pPr>
          </w:p>
        </w:tc>
        <w:tc>
          <w:tcPr>
            <w:tcW w:w="1100" w:type="dxa"/>
            <w:vAlign w:val="bottom"/>
            <w:tcBorders>
              <w:bottom w:val="single" w:sz="8" w:color="852166"/>
            </w:tcBorders>
          </w:tcPr>
          <w:p>
            <w:pPr>
              <w:spacing w:after="0"/>
              <w:rPr>
                <w:sz w:val="2"/>
                <w:szCs w:val="2"/>
                <w:color w:val="auto"/>
              </w:rPr>
            </w:pPr>
          </w:p>
        </w:tc>
        <w:tc>
          <w:tcPr>
            <w:tcW w:w="100" w:type="dxa"/>
            <w:vAlign w:val="bottom"/>
            <w:tcBorders>
              <w:bottom w:val="single" w:sz="8" w:color="852166"/>
            </w:tcBorders>
          </w:tcPr>
          <w:p>
            <w:pPr>
              <w:spacing w:after="0"/>
              <w:rPr>
                <w:sz w:val="2"/>
                <w:szCs w:val="2"/>
                <w:color w:val="auto"/>
              </w:rPr>
            </w:pPr>
          </w:p>
        </w:tc>
        <w:tc>
          <w:tcPr>
            <w:tcW w:w="1080" w:type="dxa"/>
            <w:vAlign w:val="bottom"/>
            <w:tcBorders>
              <w:bottom w:val="single" w:sz="8" w:color="852166"/>
            </w:tcBorders>
          </w:tcPr>
          <w:p>
            <w:pPr>
              <w:spacing w:after="0"/>
              <w:rPr>
                <w:sz w:val="2"/>
                <w:szCs w:val="2"/>
                <w:color w:val="auto"/>
              </w:rPr>
            </w:pPr>
          </w:p>
        </w:tc>
        <w:tc>
          <w:tcPr>
            <w:tcW w:w="100" w:type="dxa"/>
            <w:vAlign w:val="bottom"/>
            <w:tcBorders>
              <w:bottom w:val="single" w:sz="8" w:color="852166"/>
            </w:tcBorders>
          </w:tcPr>
          <w:p>
            <w:pPr>
              <w:spacing w:after="0"/>
              <w:rPr>
                <w:sz w:val="2"/>
                <w:szCs w:val="2"/>
                <w:color w:val="auto"/>
              </w:rPr>
            </w:pPr>
          </w:p>
        </w:tc>
        <w:tc>
          <w:tcPr>
            <w:tcW w:w="1220" w:type="dxa"/>
            <w:vAlign w:val="bottom"/>
            <w:tcBorders>
              <w:bottom w:val="single" w:sz="8" w:color="852166"/>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Benefit Total</w:t>
            </w: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2,698,378</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1,579,173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1,168,828</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656,328</w:t>
            </w:r>
          </w:p>
        </w:tc>
        <w:tc>
          <w:tcPr>
            <w:tcW w:w="10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EAEAEA"/>
            </w:tcBorders>
          </w:tcPr>
          <w:p>
            <w:pPr>
              <w:spacing w:after="0" w:line="20" w:lineRule="exact"/>
              <w:rPr>
                <w:sz w:val="1"/>
                <w:szCs w:val="1"/>
                <w:color w:val="auto"/>
              </w:rPr>
            </w:pPr>
          </w:p>
        </w:tc>
        <w:tc>
          <w:tcPr>
            <w:tcW w:w="1580" w:type="dxa"/>
            <w:vAlign w:val="bottom"/>
            <w:tcBorders>
              <w:bottom w:val="single" w:sz="8" w:color="EAEAEA"/>
            </w:tcBorders>
          </w:tcPr>
          <w:p>
            <w:pPr>
              <w:spacing w:after="0" w:line="20" w:lineRule="exact"/>
              <w:rPr>
                <w:sz w:val="1"/>
                <w:szCs w:val="1"/>
                <w:color w:val="auto"/>
              </w:rPr>
            </w:pPr>
          </w:p>
        </w:tc>
        <w:tc>
          <w:tcPr>
            <w:tcW w:w="2920" w:type="dxa"/>
            <w:vAlign w:val="bottom"/>
            <w:tcBorders>
              <w:bottom w:val="single" w:sz="8" w:color="EAEAEA"/>
            </w:tcBorders>
          </w:tcPr>
          <w:p>
            <w:pPr>
              <w:spacing w:after="0" w:line="20" w:lineRule="exact"/>
              <w:rPr>
                <w:sz w:val="1"/>
                <w:szCs w:val="1"/>
                <w:color w:val="auto"/>
              </w:rPr>
            </w:pPr>
          </w:p>
        </w:tc>
        <w:tc>
          <w:tcPr>
            <w:tcW w:w="80" w:type="dxa"/>
            <w:vAlign w:val="bottom"/>
            <w:tcBorders>
              <w:bottom w:val="single" w:sz="8" w:color="EAEAEA"/>
            </w:tcBorders>
          </w:tcPr>
          <w:p>
            <w:pPr>
              <w:spacing w:after="0" w:line="20" w:lineRule="exact"/>
              <w:rPr>
                <w:sz w:val="1"/>
                <w:szCs w:val="1"/>
                <w:color w:val="auto"/>
              </w:rPr>
            </w:pPr>
          </w:p>
        </w:tc>
        <w:tc>
          <w:tcPr>
            <w:tcW w:w="1640" w:type="dxa"/>
            <w:vAlign w:val="bottom"/>
            <w:tcBorders>
              <w:top w:val="single" w:sz="8" w:color="852166"/>
              <w:bottom w:val="single" w:sz="8" w:color="852166"/>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1140" w:type="dxa"/>
            <w:vAlign w:val="bottom"/>
            <w:tcBorders>
              <w:top w:val="single" w:sz="8" w:color="852166"/>
              <w:bottom w:val="single" w:sz="8" w:color="852166"/>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1100" w:type="dxa"/>
            <w:vAlign w:val="bottom"/>
            <w:tcBorders>
              <w:top w:val="single" w:sz="8" w:color="852166"/>
              <w:bottom w:val="single" w:sz="8" w:color="852166"/>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1080" w:type="dxa"/>
            <w:vAlign w:val="bottom"/>
            <w:tcBorders>
              <w:top w:val="single" w:sz="8" w:color="852166"/>
              <w:bottom w:val="single" w:sz="8" w:color="852166"/>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1220" w:type="dxa"/>
            <w:vAlign w:val="bottom"/>
            <w:tcBorders>
              <w:top w:val="single" w:sz="8" w:color="852166"/>
              <w:bottom w:val="single" w:sz="8" w:color="85216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0" w:type="dxa"/>
            <w:vAlign w:val="bottom"/>
            <w:shd w:val="clear" w:color="auto" w:fill="EAEAEA"/>
          </w:tcPr>
          <w:p>
            <w:pPr>
              <w:spacing w:after="0"/>
              <w:rPr>
                <w:sz w:val="19"/>
                <w:szCs w:val="19"/>
                <w:color w:val="auto"/>
              </w:rPr>
            </w:pPr>
          </w:p>
        </w:tc>
        <w:tc>
          <w:tcPr>
            <w:tcW w:w="1580" w:type="dxa"/>
            <w:vAlign w:val="bottom"/>
            <w:shd w:val="clear" w:color="auto" w:fill="EAEAEA"/>
          </w:tcPr>
          <w:p>
            <w:pPr>
              <w:spacing w:after="0"/>
              <w:rPr>
                <w:sz w:val="19"/>
                <w:szCs w:val="19"/>
                <w:color w:val="auto"/>
              </w:rPr>
            </w:pPr>
          </w:p>
        </w:tc>
        <w:tc>
          <w:tcPr>
            <w:tcW w:w="2920" w:type="dxa"/>
            <w:vAlign w:val="bottom"/>
            <w:shd w:val="clear" w:color="auto" w:fill="EAEAEA"/>
          </w:tcPr>
          <w:p>
            <w:pPr>
              <w:ind w:left="20"/>
              <w:spacing w:after="0"/>
              <w:rPr>
                <w:sz w:val="20"/>
                <w:szCs w:val="20"/>
                <w:color w:val="auto"/>
              </w:rPr>
            </w:pPr>
            <w:r>
              <w:rPr>
                <w:rFonts w:ascii="Arial" w:cs="Arial" w:eastAsia="Arial" w:hAnsi="Arial"/>
                <w:sz w:val="14"/>
                <w:szCs w:val="14"/>
                <w:color w:val="auto"/>
              </w:rPr>
              <w:t>Lump Sum Cash Severance Payment</w:t>
            </w:r>
          </w:p>
        </w:tc>
        <w:tc>
          <w:tcPr>
            <w:tcW w:w="1720" w:type="dxa"/>
            <w:vAlign w:val="bottom"/>
            <w:gridSpan w:val="2"/>
            <w:shd w:val="clear" w:color="auto" w:fill="EAEAEA"/>
          </w:tcPr>
          <w:p>
            <w:pPr>
              <w:jc w:val="right"/>
              <w:spacing w:after="0"/>
              <w:rPr>
                <w:sz w:val="20"/>
                <w:szCs w:val="20"/>
                <w:color w:val="auto"/>
              </w:rPr>
            </w:pPr>
            <w:r>
              <w:rPr>
                <w:rFonts w:ascii="Arial" w:cs="Arial" w:eastAsia="Arial" w:hAnsi="Arial"/>
                <w:sz w:val="14"/>
                <w:szCs w:val="14"/>
                <w:color w:val="auto"/>
              </w:rPr>
              <w:t>2,182,500</w:t>
            </w:r>
          </w:p>
        </w:tc>
        <w:tc>
          <w:tcPr>
            <w:tcW w:w="100" w:type="dxa"/>
            <w:vAlign w:val="bottom"/>
            <w:shd w:val="clear" w:color="auto" w:fill="EAEAEA"/>
          </w:tcPr>
          <w:p>
            <w:pPr>
              <w:spacing w:after="0"/>
              <w:rPr>
                <w:sz w:val="19"/>
                <w:szCs w:val="19"/>
                <w:color w:val="auto"/>
              </w:rPr>
            </w:pPr>
          </w:p>
        </w:tc>
        <w:tc>
          <w:tcPr>
            <w:tcW w:w="1240" w:type="dxa"/>
            <w:vAlign w:val="bottom"/>
            <w:gridSpan w:val="2"/>
            <w:shd w:val="clear" w:color="auto" w:fill="EAEAEA"/>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EAEAEA"/>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EAEAEA"/>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shd w:val="clear" w:color="auto" w:fill="EAEAEA"/>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EAEAEA"/>
            </w:tcBorders>
            <w:shd w:val="clear" w:color="auto" w:fill="EAEAEA"/>
          </w:tcPr>
          <w:p>
            <w:pPr>
              <w:spacing w:after="0"/>
              <w:rPr>
                <w:sz w:val="5"/>
                <w:szCs w:val="5"/>
                <w:color w:val="auto"/>
              </w:rPr>
            </w:pPr>
          </w:p>
        </w:tc>
        <w:tc>
          <w:tcPr>
            <w:tcW w:w="1580" w:type="dxa"/>
            <w:vAlign w:val="bottom"/>
            <w:tcBorders>
              <w:bottom w:val="single" w:sz="8" w:color="EAEAEA"/>
            </w:tcBorders>
            <w:shd w:val="clear" w:color="auto" w:fill="EAEAEA"/>
          </w:tcPr>
          <w:p>
            <w:pPr>
              <w:spacing w:after="0"/>
              <w:rPr>
                <w:sz w:val="5"/>
                <w:szCs w:val="5"/>
                <w:color w:val="auto"/>
              </w:rPr>
            </w:pPr>
          </w:p>
        </w:tc>
        <w:tc>
          <w:tcPr>
            <w:tcW w:w="2920" w:type="dxa"/>
            <w:vAlign w:val="bottom"/>
            <w:tcBorders>
              <w:bottom w:val="single" w:sz="8" w:color="auto"/>
            </w:tcBorders>
            <w:shd w:val="clear" w:color="auto" w:fill="EAEAEA"/>
          </w:tcPr>
          <w:p>
            <w:pPr>
              <w:spacing w:after="0"/>
              <w:rPr>
                <w:sz w:val="5"/>
                <w:szCs w:val="5"/>
                <w:color w:val="auto"/>
              </w:rPr>
            </w:pPr>
          </w:p>
        </w:tc>
        <w:tc>
          <w:tcPr>
            <w:tcW w:w="1720" w:type="dxa"/>
            <w:vAlign w:val="bottom"/>
            <w:tcBorders>
              <w:bottom w:val="single" w:sz="8" w:color="auto"/>
            </w:tcBorders>
            <w:gridSpan w:val="2"/>
            <w:shd w:val="clear" w:color="auto" w:fill="EAEAEA"/>
          </w:tcPr>
          <w:p>
            <w:pPr>
              <w:spacing w:after="0"/>
              <w:rPr>
                <w:sz w:val="5"/>
                <w:szCs w:val="5"/>
                <w:color w:val="auto"/>
              </w:rPr>
            </w:pPr>
          </w:p>
        </w:tc>
        <w:tc>
          <w:tcPr>
            <w:tcW w:w="100" w:type="dxa"/>
            <w:vAlign w:val="bottom"/>
            <w:tcBorders>
              <w:bottom w:val="single" w:sz="8" w:color="auto"/>
            </w:tcBorders>
            <w:shd w:val="clear" w:color="auto" w:fill="EAEAEA"/>
          </w:tcPr>
          <w:p>
            <w:pPr>
              <w:spacing w:after="0"/>
              <w:rPr>
                <w:sz w:val="5"/>
                <w:szCs w:val="5"/>
                <w:color w:val="auto"/>
              </w:rPr>
            </w:pPr>
          </w:p>
        </w:tc>
        <w:tc>
          <w:tcPr>
            <w:tcW w:w="1140" w:type="dxa"/>
            <w:vAlign w:val="bottom"/>
            <w:tcBorders>
              <w:bottom w:val="single" w:sz="8" w:color="auto"/>
            </w:tcBorders>
            <w:shd w:val="clear" w:color="auto" w:fill="EAEAEA"/>
          </w:tcPr>
          <w:p>
            <w:pPr>
              <w:spacing w:after="0"/>
              <w:rPr>
                <w:sz w:val="5"/>
                <w:szCs w:val="5"/>
                <w:color w:val="auto"/>
              </w:rPr>
            </w:pPr>
          </w:p>
        </w:tc>
        <w:tc>
          <w:tcPr>
            <w:tcW w:w="100" w:type="dxa"/>
            <w:vAlign w:val="bottom"/>
            <w:tcBorders>
              <w:bottom w:val="single" w:sz="8" w:color="auto"/>
            </w:tcBorders>
            <w:shd w:val="clear" w:color="auto" w:fill="EAEAEA"/>
          </w:tcPr>
          <w:p>
            <w:pPr>
              <w:spacing w:after="0"/>
              <w:rPr>
                <w:sz w:val="5"/>
                <w:szCs w:val="5"/>
                <w:color w:val="auto"/>
              </w:rPr>
            </w:pPr>
          </w:p>
        </w:tc>
        <w:tc>
          <w:tcPr>
            <w:tcW w:w="1100" w:type="dxa"/>
            <w:vAlign w:val="bottom"/>
            <w:tcBorders>
              <w:bottom w:val="single" w:sz="8" w:color="auto"/>
            </w:tcBorders>
            <w:shd w:val="clear" w:color="auto" w:fill="EAEAEA"/>
          </w:tcPr>
          <w:p>
            <w:pPr>
              <w:spacing w:after="0"/>
              <w:rPr>
                <w:sz w:val="5"/>
                <w:szCs w:val="5"/>
                <w:color w:val="auto"/>
              </w:rPr>
            </w:pPr>
          </w:p>
        </w:tc>
        <w:tc>
          <w:tcPr>
            <w:tcW w:w="100" w:type="dxa"/>
            <w:vAlign w:val="bottom"/>
            <w:tcBorders>
              <w:bottom w:val="single" w:sz="8" w:color="auto"/>
            </w:tcBorders>
            <w:shd w:val="clear" w:color="auto" w:fill="EAEAEA"/>
          </w:tcPr>
          <w:p>
            <w:pPr>
              <w:spacing w:after="0"/>
              <w:rPr>
                <w:sz w:val="5"/>
                <w:szCs w:val="5"/>
                <w:color w:val="auto"/>
              </w:rPr>
            </w:pPr>
          </w:p>
        </w:tc>
        <w:tc>
          <w:tcPr>
            <w:tcW w:w="1080" w:type="dxa"/>
            <w:vAlign w:val="bottom"/>
            <w:tcBorders>
              <w:bottom w:val="single" w:sz="8" w:color="auto"/>
            </w:tcBorders>
            <w:shd w:val="clear" w:color="auto" w:fill="EAEAEA"/>
          </w:tcPr>
          <w:p>
            <w:pPr>
              <w:spacing w:after="0"/>
              <w:rPr>
                <w:sz w:val="5"/>
                <w:szCs w:val="5"/>
                <w:color w:val="auto"/>
              </w:rPr>
            </w:pPr>
          </w:p>
        </w:tc>
        <w:tc>
          <w:tcPr>
            <w:tcW w:w="100" w:type="dxa"/>
            <w:vAlign w:val="bottom"/>
            <w:tcBorders>
              <w:bottom w:val="single" w:sz="8" w:color="auto"/>
            </w:tcBorders>
            <w:shd w:val="clear" w:color="auto" w:fill="EAEAEA"/>
          </w:tcPr>
          <w:p>
            <w:pPr>
              <w:spacing w:after="0"/>
              <w:rPr>
                <w:sz w:val="5"/>
                <w:szCs w:val="5"/>
                <w:color w:val="auto"/>
              </w:rPr>
            </w:pPr>
          </w:p>
        </w:tc>
        <w:tc>
          <w:tcPr>
            <w:tcW w:w="1220" w:type="dxa"/>
            <w:vAlign w:val="bottom"/>
            <w:tcBorders>
              <w:bottom w:val="single" w:sz="8" w:color="auto"/>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EAEAEA"/>
          </w:tcPr>
          <w:p>
            <w:pPr>
              <w:spacing w:after="0"/>
              <w:rPr>
                <w:sz w:val="21"/>
                <w:szCs w:val="21"/>
                <w:color w:val="auto"/>
              </w:rPr>
            </w:pPr>
          </w:p>
        </w:tc>
        <w:tc>
          <w:tcPr>
            <w:tcW w:w="1580" w:type="dxa"/>
            <w:vAlign w:val="bottom"/>
            <w:vMerge w:val="restart"/>
            <w:shd w:val="clear" w:color="auto" w:fill="EAEAEA"/>
          </w:tcPr>
          <w:p>
            <w:pPr>
              <w:ind w:left="20"/>
              <w:spacing w:after="0"/>
              <w:rPr>
                <w:sz w:val="20"/>
                <w:szCs w:val="20"/>
                <w:color w:val="auto"/>
              </w:rPr>
            </w:pPr>
            <w:r>
              <w:rPr>
                <w:rFonts w:ascii="Arial" w:cs="Arial" w:eastAsia="Arial" w:hAnsi="Arial"/>
                <w:sz w:val="14"/>
                <w:szCs w:val="14"/>
                <w:b w:val="1"/>
                <w:bCs w:val="1"/>
                <w:color w:val="auto"/>
              </w:rPr>
              <w:t>Robert Iannone,</w:t>
            </w:r>
          </w:p>
        </w:tc>
        <w:tc>
          <w:tcPr>
            <w:tcW w:w="2920" w:type="dxa"/>
            <w:vAlign w:val="bottom"/>
            <w:shd w:val="clear" w:color="auto" w:fill="EAEAEA"/>
          </w:tcPr>
          <w:p>
            <w:pPr>
              <w:ind w:left="20"/>
              <w:spacing w:after="0"/>
              <w:rPr>
                <w:sz w:val="20"/>
                <w:szCs w:val="20"/>
                <w:color w:val="auto"/>
              </w:rPr>
            </w:pPr>
            <w:r>
              <w:rPr>
                <w:rFonts w:ascii="Arial" w:cs="Arial" w:eastAsia="Arial" w:hAnsi="Arial"/>
                <w:sz w:val="14"/>
                <w:szCs w:val="14"/>
                <w:color w:val="auto"/>
              </w:rPr>
              <w:t>COBRA Payments</w:t>
            </w:r>
          </w:p>
        </w:tc>
        <w:tc>
          <w:tcPr>
            <w:tcW w:w="80" w:type="dxa"/>
            <w:vAlign w:val="bottom"/>
            <w:shd w:val="clear" w:color="auto" w:fill="EAEAEA"/>
          </w:tcPr>
          <w:p>
            <w:pPr>
              <w:spacing w:after="0"/>
              <w:rPr>
                <w:sz w:val="21"/>
                <w:szCs w:val="21"/>
                <w:color w:val="auto"/>
              </w:rPr>
            </w:pPr>
          </w:p>
        </w:tc>
        <w:tc>
          <w:tcPr>
            <w:tcW w:w="16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58,973</w:t>
            </w:r>
          </w:p>
        </w:tc>
        <w:tc>
          <w:tcPr>
            <w:tcW w:w="100" w:type="dxa"/>
            <w:vAlign w:val="bottom"/>
            <w:shd w:val="clear" w:color="auto" w:fill="EAEAEA"/>
          </w:tcPr>
          <w:p>
            <w:pPr>
              <w:spacing w:after="0"/>
              <w:rPr>
                <w:sz w:val="21"/>
                <w:szCs w:val="21"/>
                <w:color w:val="auto"/>
              </w:rPr>
            </w:pPr>
          </w:p>
        </w:tc>
        <w:tc>
          <w:tcPr>
            <w:tcW w:w="1240" w:type="dxa"/>
            <w:vAlign w:val="bottom"/>
            <w:gridSpan w:val="2"/>
            <w:shd w:val="clear" w:color="auto" w:fill="EAEAEA"/>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EAEAEA"/>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EAEAEA"/>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shd w:val="clear" w:color="auto" w:fill="EAEAEA"/>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EAEAEA"/>
            </w:tcBorders>
            <w:shd w:val="clear" w:color="auto" w:fill="EAEAEA"/>
          </w:tcPr>
          <w:p>
            <w:pPr>
              <w:spacing w:after="0"/>
              <w:rPr>
                <w:sz w:val="5"/>
                <w:szCs w:val="5"/>
                <w:color w:val="auto"/>
              </w:rPr>
            </w:pPr>
          </w:p>
        </w:tc>
        <w:tc>
          <w:tcPr>
            <w:tcW w:w="1580" w:type="dxa"/>
            <w:vAlign w:val="bottom"/>
            <w:tcBorders>
              <w:bottom w:val="single" w:sz="8" w:color="EAEAEA"/>
            </w:tcBorders>
            <w:vMerge w:val="continue"/>
            <w:shd w:val="clear" w:color="auto" w:fill="EAEAEA"/>
          </w:tcPr>
          <w:p>
            <w:pPr>
              <w:spacing w:after="0"/>
              <w:rPr>
                <w:sz w:val="5"/>
                <w:szCs w:val="5"/>
                <w:color w:val="auto"/>
              </w:rPr>
            </w:pPr>
          </w:p>
        </w:tc>
        <w:tc>
          <w:tcPr>
            <w:tcW w:w="2920" w:type="dxa"/>
            <w:vAlign w:val="bottom"/>
            <w:tcBorders>
              <w:bottom w:val="single" w:sz="8" w:color="auto"/>
            </w:tcBorders>
            <w:shd w:val="clear" w:color="auto" w:fill="EAEAEA"/>
          </w:tcPr>
          <w:p>
            <w:pPr>
              <w:spacing w:after="0"/>
              <w:rPr>
                <w:sz w:val="5"/>
                <w:szCs w:val="5"/>
                <w:color w:val="auto"/>
              </w:rPr>
            </w:pPr>
          </w:p>
        </w:tc>
        <w:tc>
          <w:tcPr>
            <w:tcW w:w="80" w:type="dxa"/>
            <w:vAlign w:val="bottom"/>
            <w:tcBorders>
              <w:bottom w:val="single" w:sz="8" w:color="auto"/>
            </w:tcBorders>
            <w:shd w:val="clear" w:color="auto" w:fill="EAEAEA"/>
          </w:tcPr>
          <w:p>
            <w:pPr>
              <w:spacing w:after="0"/>
              <w:rPr>
                <w:sz w:val="5"/>
                <w:szCs w:val="5"/>
                <w:color w:val="auto"/>
              </w:rPr>
            </w:pPr>
          </w:p>
        </w:tc>
        <w:tc>
          <w:tcPr>
            <w:tcW w:w="1640" w:type="dxa"/>
            <w:vAlign w:val="bottom"/>
            <w:tcBorders>
              <w:bottom w:val="single" w:sz="8" w:color="auto"/>
            </w:tcBorders>
            <w:shd w:val="clear" w:color="auto" w:fill="EAEAEA"/>
          </w:tcPr>
          <w:p>
            <w:pPr>
              <w:spacing w:after="0"/>
              <w:rPr>
                <w:sz w:val="5"/>
                <w:szCs w:val="5"/>
                <w:color w:val="auto"/>
              </w:rPr>
            </w:pPr>
          </w:p>
        </w:tc>
        <w:tc>
          <w:tcPr>
            <w:tcW w:w="100" w:type="dxa"/>
            <w:vAlign w:val="bottom"/>
            <w:tcBorders>
              <w:bottom w:val="single" w:sz="8" w:color="auto"/>
            </w:tcBorders>
            <w:shd w:val="clear" w:color="auto" w:fill="EAEAEA"/>
          </w:tcPr>
          <w:p>
            <w:pPr>
              <w:spacing w:after="0"/>
              <w:rPr>
                <w:sz w:val="5"/>
                <w:szCs w:val="5"/>
                <w:color w:val="auto"/>
              </w:rPr>
            </w:pPr>
          </w:p>
        </w:tc>
        <w:tc>
          <w:tcPr>
            <w:tcW w:w="1140" w:type="dxa"/>
            <w:vAlign w:val="bottom"/>
            <w:tcBorders>
              <w:bottom w:val="single" w:sz="8" w:color="auto"/>
            </w:tcBorders>
            <w:shd w:val="clear" w:color="auto" w:fill="EAEAEA"/>
          </w:tcPr>
          <w:p>
            <w:pPr>
              <w:spacing w:after="0"/>
              <w:rPr>
                <w:sz w:val="5"/>
                <w:szCs w:val="5"/>
                <w:color w:val="auto"/>
              </w:rPr>
            </w:pPr>
          </w:p>
        </w:tc>
        <w:tc>
          <w:tcPr>
            <w:tcW w:w="100" w:type="dxa"/>
            <w:vAlign w:val="bottom"/>
            <w:tcBorders>
              <w:bottom w:val="single" w:sz="8" w:color="auto"/>
            </w:tcBorders>
            <w:shd w:val="clear" w:color="auto" w:fill="EAEAEA"/>
          </w:tcPr>
          <w:p>
            <w:pPr>
              <w:spacing w:after="0"/>
              <w:rPr>
                <w:sz w:val="5"/>
                <w:szCs w:val="5"/>
                <w:color w:val="auto"/>
              </w:rPr>
            </w:pPr>
          </w:p>
        </w:tc>
        <w:tc>
          <w:tcPr>
            <w:tcW w:w="1100" w:type="dxa"/>
            <w:vAlign w:val="bottom"/>
            <w:tcBorders>
              <w:bottom w:val="single" w:sz="8" w:color="auto"/>
            </w:tcBorders>
            <w:shd w:val="clear" w:color="auto" w:fill="EAEAEA"/>
          </w:tcPr>
          <w:p>
            <w:pPr>
              <w:spacing w:after="0"/>
              <w:rPr>
                <w:sz w:val="5"/>
                <w:szCs w:val="5"/>
                <w:color w:val="auto"/>
              </w:rPr>
            </w:pPr>
          </w:p>
        </w:tc>
        <w:tc>
          <w:tcPr>
            <w:tcW w:w="100" w:type="dxa"/>
            <w:vAlign w:val="bottom"/>
            <w:tcBorders>
              <w:bottom w:val="single" w:sz="8" w:color="auto"/>
            </w:tcBorders>
            <w:shd w:val="clear" w:color="auto" w:fill="EAEAEA"/>
          </w:tcPr>
          <w:p>
            <w:pPr>
              <w:spacing w:after="0"/>
              <w:rPr>
                <w:sz w:val="5"/>
                <w:szCs w:val="5"/>
                <w:color w:val="auto"/>
              </w:rPr>
            </w:pPr>
          </w:p>
        </w:tc>
        <w:tc>
          <w:tcPr>
            <w:tcW w:w="1080" w:type="dxa"/>
            <w:vAlign w:val="bottom"/>
            <w:tcBorders>
              <w:bottom w:val="single" w:sz="8" w:color="auto"/>
            </w:tcBorders>
            <w:shd w:val="clear" w:color="auto" w:fill="EAEAEA"/>
          </w:tcPr>
          <w:p>
            <w:pPr>
              <w:spacing w:after="0"/>
              <w:rPr>
                <w:sz w:val="5"/>
                <w:szCs w:val="5"/>
                <w:color w:val="auto"/>
              </w:rPr>
            </w:pPr>
          </w:p>
        </w:tc>
        <w:tc>
          <w:tcPr>
            <w:tcW w:w="100" w:type="dxa"/>
            <w:vAlign w:val="bottom"/>
            <w:tcBorders>
              <w:bottom w:val="single" w:sz="8" w:color="auto"/>
            </w:tcBorders>
            <w:shd w:val="clear" w:color="auto" w:fill="EAEAEA"/>
          </w:tcPr>
          <w:p>
            <w:pPr>
              <w:spacing w:after="0"/>
              <w:rPr>
                <w:sz w:val="5"/>
                <w:szCs w:val="5"/>
                <w:color w:val="auto"/>
              </w:rPr>
            </w:pPr>
          </w:p>
        </w:tc>
        <w:tc>
          <w:tcPr>
            <w:tcW w:w="1220" w:type="dxa"/>
            <w:vAlign w:val="bottom"/>
            <w:tcBorders>
              <w:bottom w:val="single" w:sz="8" w:color="auto"/>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80" w:type="dxa"/>
            <w:vAlign w:val="bottom"/>
            <w:tcBorders>
              <w:bottom w:val="single" w:sz="8" w:color="EAEAEA"/>
            </w:tcBorders>
            <w:shd w:val="clear" w:color="auto" w:fill="EAEAEA"/>
          </w:tcPr>
          <w:p>
            <w:pPr>
              <w:spacing w:after="0"/>
              <w:rPr>
                <w:sz w:val="24"/>
                <w:szCs w:val="24"/>
                <w:color w:val="auto"/>
              </w:rPr>
            </w:pPr>
          </w:p>
        </w:tc>
        <w:tc>
          <w:tcPr>
            <w:tcW w:w="158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4"/>
                <w:szCs w:val="14"/>
                <w:b w:val="1"/>
                <w:bCs w:val="1"/>
                <w:color w:val="auto"/>
              </w:rPr>
              <w:t>M.D., M.S.C.E</w:t>
            </w:r>
          </w:p>
        </w:tc>
        <w:tc>
          <w:tcPr>
            <w:tcW w:w="292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4"/>
                <w:szCs w:val="14"/>
                <w:color w:val="auto"/>
              </w:rPr>
              <w:t>Vesting Acceleration</w:t>
            </w:r>
            <w:r>
              <w:rPr>
                <w:rFonts w:ascii="Arial" w:cs="Arial" w:eastAsia="Arial" w:hAnsi="Arial"/>
                <w:sz w:val="18"/>
                <w:szCs w:val="18"/>
                <w:color w:val="auto"/>
                <w:vertAlign w:val="superscript"/>
              </w:rPr>
              <w:t>(6)</w:t>
            </w:r>
          </w:p>
        </w:tc>
        <w:tc>
          <w:tcPr>
            <w:tcW w:w="80" w:type="dxa"/>
            <w:vAlign w:val="bottom"/>
            <w:tcBorders>
              <w:bottom w:val="single" w:sz="8" w:color="EAEAEA"/>
            </w:tcBorders>
            <w:shd w:val="clear" w:color="auto" w:fill="EAEAEA"/>
          </w:tcPr>
          <w:p>
            <w:pPr>
              <w:spacing w:after="0"/>
              <w:rPr>
                <w:sz w:val="24"/>
                <w:szCs w:val="24"/>
                <w:color w:val="auto"/>
              </w:rPr>
            </w:pPr>
          </w:p>
        </w:tc>
        <w:tc>
          <w:tcPr>
            <w:tcW w:w="16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7,384,367</w:t>
            </w:r>
          </w:p>
        </w:tc>
        <w:tc>
          <w:tcPr>
            <w:tcW w:w="1240" w:type="dxa"/>
            <w:vAlign w:val="bottom"/>
            <w:tcBorders>
              <w:bottom w:val="single" w:sz="8" w:color="EAEAEA"/>
            </w:tcBorders>
            <w:gridSpan w:val="2"/>
            <w:shd w:val="clear" w:color="auto" w:fill="EAEAEA"/>
          </w:tcPr>
          <w:p>
            <w:pPr>
              <w:jc w:val="right"/>
              <w:spacing w:after="0"/>
              <w:rPr>
                <w:sz w:val="20"/>
                <w:szCs w:val="20"/>
                <w:color w:val="auto"/>
              </w:rPr>
            </w:pPr>
            <w:r>
              <w:rPr>
                <w:rFonts w:ascii="Arial" w:cs="Arial" w:eastAsia="Arial" w:hAnsi="Arial"/>
                <w:sz w:val="14"/>
                <w:szCs w:val="14"/>
                <w:color w:val="auto"/>
              </w:rPr>
              <w:t>7,384,367</w:t>
            </w:r>
          </w:p>
        </w:tc>
        <w:tc>
          <w:tcPr>
            <w:tcW w:w="100" w:type="dxa"/>
            <w:vAlign w:val="bottom"/>
            <w:tcBorders>
              <w:bottom w:val="single" w:sz="8" w:color="EAEAEA"/>
            </w:tcBorders>
            <w:shd w:val="clear" w:color="auto" w:fill="EAEAEA"/>
          </w:tcPr>
          <w:p>
            <w:pPr>
              <w:spacing w:after="0"/>
              <w:rPr>
                <w:sz w:val="24"/>
                <w:szCs w:val="24"/>
                <w:color w:val="auto"/>
              </w:rPr>
            </w:pPr>
          </w:p>
        </w:tc>
        <w:tc>
          <w:tcPr>
            <w:tcW w:w="11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5,463,590</w:t>
            </w:r>
          </w:p>
        </w:tc>
        <w:tc>
          <w:tcPr>
            <w:tcW w:w="100" w:type="dxa"/>
            <w:vAlign w:val="bottom"/>
            <w:tcBorders>
              <w:bottom w:val="single" w:sz="8" w:color="EAEAEA"/>
            </w:tcBorders>
            <w:shd w:val="clear" w:color="auto" w:fill="EAEAEA"/>
          </w:tcPr>
          <w:p>
            <w:pPr>
              <w:spacing w:after="0"/>
              <w:rPr>
                <w:sz w:val="24"/>
                <w:szCs w:val="24"/>
                <w:color w:val="auto"/>
              </w:rPr>
            </w:pPr>
          </w:p>
        </w:tc>
        <w:tc>
          <w:tcPr>
            <w:tcW w:w="10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3,105,012</w:t>
            </w:r>
          </w:p>
        </w:tc>
        <w:tc>
          <w:tcPr>
            <w:tcW w:w="100" w:type="dxa"/>
            <w:vAlign w:val="bottom"/>
            <w:tcBorders>
              <w:bottom w:val="single" w:sz="8" w:color="EAEAEA"/>
            </w:tcBorders>
            <w:shd w:val="clear" w:color="auto" w:fill="EAEAEA"/>
          </w:tcPr>
          <w:p>
            <w:pPr>
              <w:spacing w:after="0"/>
              <w:rPr>
                <w:sz w:val="24"/>
                <w:szCs w:val="24"/>
                <w:color w:val="auto"/>
              </w:rPr>
            </w:pPr>
          </w:p>
        </w:tc>
        <w:tc>
          <w:tcPr>
            <w:tcW w:w="1220" w:type="dxa"/>
            <w:vAlign w:val="bottom"/>
            <w:tcBorders>
              <w:bottom w:val="single" w:sz="8" w:color="EAEAEA"/>
            </w:tcBorders>
            <w:shd w:val="clear" w:color="auto" w:fill="EAEAEA"/>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2"/>
        </w:trPr>
        <w:tc>
          <w:tcPr>
            <w:tcW w:w="80" w:type="dxa"/>
            <w:vAlign w:val="bottom"/>
            <w:tcBorders>
              <w:top w:val="single" w:sz="8" w:color="EAEAEA"/>
              <w:bottom w:val="single" w:sz="8" w:color="EAEAEA"/>
            </w:tcBorders>
            <w:shd w:val="clear" w:color="auto" w:fill="EAEAEA"/>
          </w:tcPr>
          <w:p>
            <w:pPr>
              <w:spacing w:after="0"/>
              <w:rPr>
                <w:sz w:val="24"/>
                <w:szCs w:val="24"/>
                <w:color w:val="auto"/>
              </w:rPr>
            </w:pPr>
          </w:p>
        </w:tc>
        <w:tc>
          <w:tcPr>
            <w:tcW w:w="1580" w:type="dxa"/>
            <w:vAlign w:val="bottom"/>
            <w:tcBorders>
              <w:top w:val="single" w:sz="8" w:color="EAEAEA"/>
              <w:bottom w:val="single" w:sz="8" w:color="EAEAEA"/>
            </w:tcBorders>
            <w:shd w:val="clear" w:color="auto" w:fill="EAEAEA"/>
          </w:tcPr>
          <w:p>
            <w:pPr>
              <w:spacing w:after="0"/>
              <w:rPr>
                <w:sz w:val="24"/>
                <w:szCs w:val="24"/>
                <w:color w:val="auto"/>
              </w:rPr>
            </w:pPr>
          </w:p>
        </w:tc>
        <w:tc>
          <w:tcPr>
            <w:tcW w:w="2920" w:type="dxa"/>
            <w:vAlign w:val="bottom"/>
            <w:tcBorders>
              <w:top w:val="single" w:sz="8" w:color="852166"/>
              <w:bottom w:val="single" w:sz="8" w:color="EAEAEA"/>
            </w:tcBorders>
            <w:shd w:val="clear" w:color="auto" w:fill="EAEAEA"/>
          </w:tcPr>
          <w:p>
            <w:pPr>
              <w:ind w:left="20"/>
              <w:spacing w:after="0"/>
              <w:rPr>
                <w:sz w:val="20"/>
                <w:szCs w:val="20"/>
                <w:color w:val="auto"/>
              </w:rPr>
            </w:pPr>
            <w:r>
              <w:rPr>
                <w:rFonts w:ascii="Arial" w:cs="Arial" w:eastAsia="Arial" w:hAnsi="Arial"/>
                <w:sz w:val="14"/>
                <w:szCs w:val="14"/>
                <w:b w:val="1"/>
                <w:bCs w:val="1"/>
                <w:color w:val="auto"/>
              </w:rPr>
              <w:t>Benefit Total</w:t>
            </w:r>
          </w:p>
        </w:tc>
        <w:tc>
          <w:tcPr>
            <w:tcW w:w="80" w:type="dxa"/>
            <w:vAlign w:val="bottom"/>
            <w:tcBorders>
              <w:top w:val="single" w:sz="8" w:color="852166"/>
              <w:bottom w:val="single" w:sz="8" w:color="EAEAEA"/>
            </w:tcBorders>
            <w:shd w:val="clear" w:color="auto" w:fill="EAEAEA"/>
          </w:tcPr>
          <w:p>
            <w:pPr>
              <w:spacing w:after="0"/>
              <w:rPr>
                <w:sz w:val="24"/>
                <w:szCs w:val="24"/>
                <w:color w:val="auto"/>
              </w:rPr>
            </w:pPr>
          </w:p>
        </w:tc>
        <w:tc>
          <w:tcPr>
            <w:tcW w:w="1640" w:type="dxa"/>
            <w:vAlign w:val="bottom"/>
            <w:tcBorders>
              <w:top w:val="single" w:sz="8" w:color="852166"/>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auto"/>
              </w:rPr>
              <w:t>9,625,840</w:t>
            </w:r>
          </w:p>
        </w:tc>
        <w:tc>
          <w:tcPr>
            <w:tcW w:w="1240" w:type="dxa"/>
            <w:vAlign w:val="bottom"/>
            <w:tcBorders>
              <w:top w:val="single" w:sz="8" w:color="852166"/>
              <w:bottom w:val="single" w:sz="8" w:color="EAEAEA"/>
            </w:tcBorders>
            <w:gridSpan w:val="2"/>
            <w:shd w:val="clear" w:color="auto" w:fill="EAEAEA"/>
          </w:tcPr>
          <w:p>
            <w:pPr>
              <w:jc w:val="right"/>
              <w:spacing w:after="0"/>
              <w:rPr>
                <w:sz w:val="20"/>
                <w:szCs w:val="20"/>
                <w:color w:val="auto"/>
              </w:rPr>
            </w:pPr>
            <w:r>
              <w:rPr>
                <w:rFonts w:ascii="Arial" w:cs="Arial" w:eastAsia="Arial" w:hAnsi="Arial"/>
                <w:sz w:val="14"/>
                <w:szCs w:val="14"/>
                <w:b w:val="1"/>
                <w:bCs w:val="1"/>
                <w:color w:val="auto"/>
              </w:rPr>
              <w:t>7,384,367</w:t>
            </w:r>
          </w:p>
        </w:tc>
        <w:tc>
          <w:tcPr>
            <w:tcW w:w="100" w:type="dxa"/>
            <w:vAlign w:val="bottom"/>
            <w:tcBorders>
              <w:top w:val="single" w:sz="8" w:color="852166"/>
              <w:bottom w:val="single" w:sz="8" w:color="EAEAEA"/>
            </w:tcBorders>
            <w:shd w:val="clear" w:color="auto" w:fill="EAEAEA"/>
          </w:tcPr>
          <w:p>
            <w:pPr>
              <w:spacing w:after="0"/>
              <w:rPr>
                <w:sz w:val="24"/>
                <w:szCs w:val="24"/>
                <w:color w:val="auto"/>
              </w:rPr>
            </w:pPr>
          </w:p>
        </w:tc>
        <w:tc>
          <w:tcPr>
            <w:tcW w:w="1100" w:type="dxa"/>
            <w:vAlign w:val="bottom"/>
            <w:tcBorders>
              <w:top w:val="single" w:sz="8" w:color="852166"/>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auto"/>
              </w:rPr>
              <w:t>5,463,590</w:t>
            </w:r>
          </w:p>
        </w:tc>
        <w:tc>
          <w:tcPr>
            <w:tcW w:w="100" w:type="dxa"/>
            <w:vAlign w:val="bottom"/>
            <w:tcBorders>
              <w:top w:val="single" w:sz="8" w:color="852166"/>
              <w:bottom w:val="single" w:sz="8" w:color="EAEAEA"/>
            </w:tcBorders>
            <w:shd w:val="clear" w:color="auto" w:fill="EAEAEA"/>
          </w:tcPr>
          <w:p>
            <w:pPr>
              <w:spacing w:after="0"/>
              <w:rPr>
                <w:sz w:val="24"/>
                <w:szCs w:val="24"/>
                <w:color w:val="auto"/>
              </w:rPr>
            </w:pPr>
          </w:p>
        </w:tc>
        <w:tc>
          <w:tcPr>
            <w:tcW w:w="1080" w:type="dxa"/>
            <w:vAlign w:val="bottom"/>
            <w:tcBorders>
              <w:top w:val="single" w:sz="8" w:color="852166"/>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auto"/>
              </w:rPr>
              <w:t>3,105,012</w:t>
            </w:r>
          </w:p>
        </w:tc>
        <w:tc>
          <w:tcPr>
            <w:tcW w:w="100" w:type="dxa"/>
            <w:vAlign w:val="bottom"/>
            <w:tcBorders>
              <w:top w:val="single" w:sz="8" w:color="852166"/>
              <w:bottom w:val="single" w:sz="8" w:color="EAEAEA"/>
            </w:tcBorders>
            <w:shd w:val="clear" w:color="auto" w:fill="EAEAEA"/>
          </w:tcPr>
          <w:p>
            <w:pPr>
              <w:spacing w:after="0"/>
              <w:rPr>
                <w:sz w:val="24"/>
                <w:szCs w:val="24"/>
                <w:color w:val="auto"/>
              </w:rPr>
            </w:pPr>
          </w:p>
        </w:tc>
        <w:tc>
          <w:tcPr>
            <w:tcW w:w="1220" w:type="dxa"/>
            <w:vAlign w:val="bottom"/>
            <w:tcBorders>
              <w:top w:val="single" w:sz="8" w:color="852166"/>
              <w:bottom w:val="single" w:sz="8" w:color="EAEAEA"/>
            </w:tcBorders>
            <w:shd w:val="clear" w:color="auto" w:fill="EAEAEA"/>
          </w:tcPr>
          <w:p>
            <w:pPr>
              <w:jc w:val="right"/>
              <w:ind w:right="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80" w:type="dxa"/>
            <w:vAlign w:val="bottom"/>
            <w:tcBorders>
              <w:top w:val="single" w:sz="8" w:color="EAEAEA"/>
            </w:tcBorders>
          </w:tcPr>
          <w:p>
            <w:pPr>
              <w:spacing w:after="0" w:line="20" w:lineRule="exact"/>
              <w:rPr>
                <w:sz w:val="1"/>
                <w:szCs w:val="1"/>
                <w:color w:val="auto"/>
              </w:rPr>
            </w:pPr>
          </w:p>
        </w:tc>
        <w:tc>
          <w:tcPr>
            <w:tcW w:w="1580" w:type="dxa"/>
            <w:vAlign w:val="bottom"/>
            <w:tcBorders>
              <w:top w:val="single" w:sz="8" w:color="EAEAEA"/>
            </w:tcBorders>
          </w:tcPr>
          <w:p>
            <w:pPr>
              <w:spacing w:after="0" w:line="20" w:lineRule="exact"/>
              <w:rPr>
                <w:sz w:val="1"/>
                <w:szCs w:val="1"/>
                <w:color w:val="auto"/>
              </w:rPr>
            </w:pPr>
          </w:p>
        </w:tc>
        <w:tc>
          <w:tcPr>
            <w:tcW w:w="2920" w:type="dxa"/>
            <w:vAlign w:val="bottom"/>
            <w:tcBorders>
              <w:top w:val="single" w:sz="8" w:color="EAEAEA"/>
            </w:tcBorders>
          </w:tcPr>
          <w:p>
            <w:pPr>
              <w:spacing w:after="0" w:line="20" w:lineRule="exact"/>
              <w:rPr>
                <w:sz w:val="1"/>
                <w:szCs w:val="1"/>
                <w:color w:val="auto"/>
              </w:rPr>
            </w:pPr>
          </w:p>
        </w:tc>
        <w:tc>
          <w:tcPr>
            <w:tcW w:w="80" w:type="dxa"/>
            <w:vAlign w:val="bottom"/>
            <w:tcBorders>
              <w:top w:val="single" w:sz="8" w:color="EAEAEA"/>
            </w:tcBorders>
          </w:tcPr>
          <w:p>
            <w:pPr>
              <w:spacing w:after="0" w:line="20" w:lineRule="exact"/>
              <w:rPr>
                <w:sz w:val="1"/>
                <w:szCs w:val="1"/>
                <w:color w:val="auto"/>
              </w:rPr>
            </w:pPr>
          </w:p>
        </w:tc>
        <w:tc>
          <w:tcPr>
            <w:tcW w:w="1640" w:type="dxa"/>
            <w:vAlign w:val="bottom"/>
            <w:tcBorders>
              <w:top w:val="single" w:sz="8" w:color="852166"/>
              <w:bottom w:val="single" w:sz="8" w:color="852166"/>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140" w:type="dxa"/>
            <w:vAlign w:val="bottom"/>
            <w:tcBorders>
              <w:top w:val="single" w:sz="8" w:color="852166"/>
              <w:bottom w:val="single" w:sz="8" w:color="852166"/>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100" w:type="dxa"/>
            <w:vAlign w:val="bottom"/>
            <w:tcBorders>
              <w:top w:val="single" w:sz="8" w:color="852166"/>
              <w:bottom w:val="single" w:sz="8" w:color="852166"/>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080" w:type="dxa"/>
            <w:vAlign w:val="bottom"/>
            <w:tcBorders>
              <w:top w:val="single" w:sz="8" w:color="852166"/>
              <w:bottom w:val="single" w:sz="8" w:color="852166"/>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220" w:type="dxa"/>
            <w:vAlign w:val="bottom"/>
            <w:tcBorders>
              <w:top w:val="single" w:sz="8" w:color="852166"/>
              <w:bottom w:val="single" w:sz="8" w:color="85216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39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93"/>
        </w:trPr>
        <w:tc>
          <w:tcPr>
            <w:tcW w:w="80" w:type="dxa"/>
            <w:vAlign w:val="bottom"/>
            <w:shd w:val="clear" w:color="auto" w:fill="852166"/>
          </w:tcPr>
          <w:p>
            <w:pPr>
              <w:spacing w:after="0"/>
              <w:rPr>
                <w:sz w:val="16"/>
                <w:szCs w:val="16"/>
                <w:color w:val="auto"/>
              </w:rPr>
            </w:pPr>
          </w:p>
        </w:tc>
        <w:tc>
          <w:tcPr>
            <w:tcW w:w="1580" w:type="dxa"/>
            <w:vAlign w:val="bottom"/>
            <w:shd w:val="clear" w:color="auto" w:fill="852166"/>
          </w:tcPr>
          <w:p>
            <w:pPr>
              <w:spacing w:after="0"/>
              <w:rPr>
                <w:sz w:val="16"/>
                <w:szCs w:val="16"/>
                <w:color w:val="auto"/>
              </w:rPr>
            </w:pPr>
          </w:p>
        </w:tc>
        <w:tc>
          <w:tcPr>
            <w:tcW w:w="2940" w:type="dxa"/>
            <w:vAlign w:val="bottom"/>
            <w:shd w:val="clear" w:color="auto" w:fill="852166"/>
          </w:tcPr>
          <w:p>
            <w:pPr>
              <w:spacing w:after="0"/>
              <w:rPr>
                <w:sz w:val="16"/>
                <w:szCs w:val="16"/>
                <w:color w:val="auto"/>
              </w:rPr>
            </w:pPr>
          </w:p>
        </w:tc>
        <w:tc>
          <w:tcPr>
            <w:tcW w:w="100" w:type="dxa"/>
            <w:vAlign w:val="bottom"/>
            <w:shd w:val="clear" w:color="auto" w:fill="852166"/>
          </w:tcPr>
          <w:p>
            <w:pPr>
              <w:spacing w:after="0"/>
              <w:rPr>
                <w:sz w:val="16"/>
                <w:szCs w:val="16"/>
                <w:color w:val="auto"/>
              </w:rPr>
            </w:pPr>
          </w:p>
        </w:tc>
        <w:tc>
          <w:tcPr>
            <w:tcW w:w="1620" w:type="dxa"/>
            <w:vAlign w:val="bottom"/>
            <w:shd w:val="clear" w:color="auto" w:fill="852166"/>
          </w:tcPr>
          <w:p>
            <w:pPr>
              <w:jc w:val="right"/>
              <w:spacing w:after="0"/>
              <w:rPr>
                <w:sz w:val="20"/>
                <w:szCs w:val="20"/>
                <w:color w:val="auto"/>
              </w:rPr>
            </w:pPr>
            <w:r>
              <w:rPr>
                <w:rFonts w:ascii="Arial" w:cs="Arial" w:eastAsia="Arial" w:hAnsi="Arial"/>
                <w:sz w:val="14"/>
                <w:szCs w:val="14"/>
                <w:b w:val="1"/>
                <w:bCs w:val="1"/>
                <w:color w:val="FFFFFF"/>
              </w:rPr>
              <w:t>Involuntary</w:t>
            </w:r>
          </w:p>
        </w:tc>
        <w:tc>
          <w:tcPr>
            <w:tcW w:w="100" w:type="dxa"/>
            <w:vAlign w:val="bottom"/>
            <w:shd w:val="clear" w:color="auto" w:fill="852166"/>
          </w:tcPr>
          <w:p>
            <w:pPr>
              <w:spacing w:after="0"/>
              <w:rPr>
                <w:sz w:val="16"/>
                <w:szCs w:val="16"/>
                <w:color w:val="auto"/>
              </w:rPr>
            </w:pPr>
          </w:p>
        </w:tc>
        <w:tc>
          <w:tcPr>
            <w:tcW w:w="1140" w:type="dxa"/>
            <w:vAlign w:val="bottom"/>
            <w:shd w:val="clear" w:color="auto" w:fill="852166"/>
          </w:tcPr>
          <w:p>
            <w:pPr>
              <w:spacing w:after="0"/>
              <w:rPr>
                <w:sz w:val="16"/>
                <w:szCs w:val="16"/>
                <w:color w:val="auto"/>
              </w:rPr>
            </w:pPr>
          </w:p>
        </w:tc>
        <w:tc>
          <w:tcPr>
            <w:tcW w:w="100" w:type="dxa"/>
            <w:vAlign w:val="bottom"/>
            <w:shd w:val="clear" w:color="auto" w:fill="852166"/>
          </w:tcPr>
          <w:p>
            <w:pPr>
              <w:spacing w:after="0"/>
              <w:rPr>
                <w:sz w:val="16"/>
                <w:szCs w:val="16"/>
                <w:color w:val="auto"/>
              </w:rPr>
            </w:pPr>
          </w:p>
        </w:tc>
        <w:tc>
          <w:tcPr>
            <w:tcW w:w="1100" w:type="dxa"/>
            <w:vAlign w:val="bottom"/>
            <w:shd w:val="clear" w:color="auto" w:fill="852166"/>
          </w:tcPr>
          <w:p>
            <w:pPr>
              <w:spacing w:after="0"/>
              <w:rPr>
                <w:sz w:val="16"/>
                <w:szCs w:val="16"/>
                <w:color w:val="auto"/>
              </w:rPr>
            </w:pPr>
          </w:p>
        </w:tc>
        <w:tc>
          <w:tcPr>
            <w:tcW w:w="100" w:type="dxa"/>
            <w:vAlign w:val="bottom"/>
            <w:shd w:val="clear" w:color="auto" w:fill="852166"/>
          </w:tcPr>
          <w:p>
            <w:pPr>
              <w:spacing w:after="0"/>
              <w:rPr>
                <w:sz w:val="16"/>
                <w:szCs w:val="16"/>
                <w:color w:val="auto"/>
              </w:rPr>
            </w:pPr>
          </w:p>
        </w:tc>
        <w:tc>
          <w:tcPr>
            <w:tcW w:w="1060" w:type="dxa"/>
            <w:vAlign w:val="bottom"/>
            <w:shd w:val="clear" w:color="auto" w:fill="852166"/>
          </w:tcPr>
          <w:p>
            <w:pPr>
              <w:spacing w:after="0"/>
              <w:rPr>
                <w:sz w:val="16"/>
                <w:szCs w:val="16"/>
                <w:color w:val="auto"/>
              </w:rPr>
            </w:pPr>
          </w:p>
        </w:tc>
        <w:tc>
          <w:tcPr>
            <w:tcW w:w="100" w:type="dxa"/>
            <w:vAlign w:val="bottom"/>
            <w:shd w:val="clear" w:color="auto" w:fill="852166"/>
          </w:tcPr>
          <w:p>
            <w:pPr>
              <w:spacing w:after="0"/>
              <w:rPr>
                <w:sz w:val="16"/>
                <w:szCs w:val="16"/>
                <w:color w:val="auto"/>
              </w:rPr>
            </w:pPr>
          </w:p>
        </w:tc>
        <w:tc>
          <w:tcPr>
            <w:tcW w:w="1220" w:type="dxa"/>
            <w:vAlign w:val="bottom"/>
            <w:shd w:val="clear" w:color="auto" w:fill="852166"/>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852166"/>
          </w:tcPr>
          <w:p>
            <w:pPr>
              <w:spacing w:after="0"/>
              <w:rPr>
                <w:sz w:val="14"/>
                <w:szCs w:val="14"/>
                <w:color w:val="auto"/>
              </w:rPr>
            </w:pPr>
          </w:p>
        </w:tc>
        <w:tc>
          <w:tcPr>
            <w:tcW w:w="1580" w:type="dxa"/>
            <w:vAlign w:val="bottom"/>
            <w:shd w:val="clear" w:color="auto" w:fill="852166"/>
          </w:tcPr>
          <w:p>
            <w:pPr>
              <w:spacing w:after="0"/>
              <w:rPr>
                <w:sz w:val="14"/>
                <w:szCs w:val="14"/>
                <w:color w:val="auto"/>
              </w:rPr>
            </w:pPr>
          </w:p>
        </w:tc>
        <w:tc>
          <w:tcPr>
            <w:tcW w:w="2940" w:type="dxa"/>
            <w:vAlign w:val="bottom"/>
            <w:shd w:val="clear" w:color="auto" w:fill="852166"/>
          </w:tcPr>
          <w:p>
            <w:pPr>
              <w:spacing w:after="0"/>
              <w:rPr>
                <w:sz w:val="14"/>
                <w:szCs w:val="14"/>
                <w:color w:val="auto"/>
              </w:rPr>
            </w:pPr>
          </w:p>
        </w:tc>
        <w:tc>
          <w:tcPr>
            <w:tcW w:w="100" w:type="dxa"/>
            <w:vAlign w:val="bottom"/>
            <w:shd w:val="clear" w:color="auto" w:fill="852166"/>
          </w:tcPr>
          <w:p>
            <w:pPr>
              <w:spacing w:after="0"/>
              <w:rPr>
                <w:sz w:val="14"/>
                <w:szCs w:val="14"/>
                <w:color w:val="auto"/>
              </w:rPr>
            </w:pPr>
          </w:p>
        </w:tc>
        <w:tc>
          <w:tcPr>
            <w:tcW w:w="1620" w:type="dxa"/>
            <w:vAlign w:val="bottom"/>
            <w:shd w:val="clear" w:color="auto" w:fill="852166"/>
          </w:tcPr>
          <w:p>
            <w:pPr>
              <w:jc w:val="right"/>
              <w:spacing w:after="0"/>
              <w:rPr>
                <w:sz w:val="20"/>
                <w:szCs w:val="20"/>
                <w:color w:val="auto"/>
              </w:rPr>
            </w:pPr>
            <w:r>
              <w:rPr>
                <w:rFonts w:ascii="Arial" w:cs="Arial" w:eastAsia="Arial" w:hAnsi="Arial"/>
                <w:sz w:val="14"/>
                <w:szCs w:val="14"/>
                <w:b w:val="1"/>
                <w:bCs w:val="1"/>
                <w:color w:val="FFFFFF"/>
              </w:rPr>
              <w:t>Termination Without</w:t>
            </w:r>
          </w:p>
        </w:tc>
        <w:tc>
          <w:tcPr>
            <w:tcW w:w="100" w:type="dxa"/>
            <w:vAlign w:val="bottom"/>
            <w:shd w:val="clear" w:color="auto" w:fill="852166"/>
          </w:tcPr>
          <w:p>
            <w:pPr>
              <w:spacing w:after="0"/>
              <w:rPr>
                <w:sz w:val="14"/>
                <w:szCs w:val="14"/>
                <w:color w:val="auto"/>
              </w:rPr>
            </w:pPr>
          </w:p>
        </w:tc>
        <w:tc>
          <w:tcPr>
            <w:tcW w:w="1140" w:type="dxa"/>
            <w:vAlign w:val="bottom"/>
            <w:shd w:val="clear" w:color="auto" w:fill="852166"/>
          </w:tcPr>
          <w:p>
            <w:pPr>
              <w:spacing w:after="0"/>
              <w:rPr>
                <w:sz w:val="14"/>
                <w:szCs w:val="14"/>
                <w:color w:val="auto"/>
              </w:rPr>
            </w:pPr>
          </w:p>
        </w:tc>
        <w:tc>
          <w:tcPr>
            <w:tcW w:w="100" w:type="dxa"/>
            <w:vAlign w:val="bottom"/>
            <w:shd w:val="clear" w:color="auto" w:fill="852166"/>
          </w:tcPr>
          <w:p>
            <w:pPr>
              <w:spacing w:after="0"/>
              <w:rPr>
                <w:sz w:val="14"/>
                <w:szCs w:val="14"/>
                <w:color w:val="auto"/>
              </w:rPr>
            </w:pPr>
          </w:p>
        </w:tc>
        <w:tc>
          <w:tcPr>
            <w:tcW w:w="1100" w:type="dxa"/>
            <w:vAlign w:val="bottom"/>
            <w:shd w:val="clear" w:color="auto" w:fill="852166"/>
          </w:tcPr>
          <w:p>
            <w:pPr>
              <w:spacing w:after="0"/>
              <w:rPr>
                <w:sz w:val="14"/>
                <w:szCs w:val="14"/>
                <w:color w:val="auto"/>
              </w:rPr>
            </w:pPr>
          </w:p>
        </w:tc>
        <w:tc>
          <w:tcPr>
            <w:tcW w:w="100" w:type="dxa"/>
            <w:vAlign w:val="bottom"/>
            <w:shd w:val="clear" w:color="auto" w:fill="852166"/>
          </w:tcPr>
          <w:p>
            <w:pPr>
              <w:spacing w:after="0"/>
              <w:rPr>
                <w:sz w:val="14"/>
                <w:szCs w:val="14"/>
                <w:color w:val="auto"/>
              </w:rPr>
            </w:pPr>
          </w:p>
        </w:tc>
        <w:tc>
          <w:tcPr>
            <w:tcW w:w="1060" w:type="dxa"/>
            <w:vAlign w:val="bottom"/>
            <w:shd w:val="clear" w:color="auto" w:fill="852166"/>
          </w:tcPr>
          <w:p>
            <w:pPr>
              <w:spacing w:after="0"/>
              <w:rPr>
                <w:sz w:val="14"/>
                <w:szCs w:val="14"/>
                <w:color w:val="auto"/>
              </w:rPr>
            </w:pPr>
          </w:p>
        </w:tc>
        <w:tc>
          <w:tcPr>
            <w:tcW w:w="100" w:type="dxa"/>
            <w:vAlign w:val="bottom"/>
            <w:shd w:val="clear" w:color="auto" w:fill="852166"/>
          </w:tcPr>
          <w:p>
            <w:pPr>
              <w:spacing w:after="0"/>
              <w:rPr>
                <w:sz w:val="14"/>
                <w:szCs w:val="14"/>
                <w:color w:val="auto"/>
              </w:rPr>
            </w:pPr>
          </w:p>
        </w:tc>
        <w:tc>
          <w:tcPr>
            <w:tcW w:w="1220" w:type="dxa"/>
            <w:vAlign w:val="bottom"/>
            <w:shd w:val="clear" w:color="auto" w:fill="852166"/>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 w:type="dxa"/>
            <w:vAlign w:val="bottom"/>
            <w:shd w:val="clear" w:color="auto" w:fill="852166"/>
          </w:tcPr>
          <w:p>
            <w:pPr>
              <w:spacing w:after="0"/>
              <w:rPr>
                <w:sz w:val="15"/>
                <w:szCs w:val="15"/>
                <w:color w:val="auto"/>
              </w:rPr>
            </w:pPr>
          </w:p>
        </w:tc>
        <w:tc>
          <w:tcPr>
            <w:tcW w:w="1580" w:type="dxa"/>
            <w:vAlign w:val="bottom"/>
            <w:shd w:val="clear" w:color="auto" w:fill="852166"/>
          </w:tcPr>
          <w:p>
            <w:pPr>
              <w:spacing w:after="0"/>
              <w:rPr>
                <w:sz w:val="15"/>
                <w:szCs w:val="15"/>
                <w:color w:val="auto"/>
              </w:rPr>
            </w:pPr>
          </w:p>
        </w:tc>
        <w:tc>
          <w:tcPr>
            <w:tcW w:w="2940" w:type="dxa"/>
            <w:vAlign w:val="bottom"/>
            <w:shd w:val="clear" w:color="auto" w:fill="852166"/>
          </w:tcPr>
          <w:p>
            <w:pPr>
              <w:spacing w:after="0"/>
              <w:rPr>
                <w:sz w:val="15"/>
                <w:szCs w:val="15"/>
                <w:color w:val="auto"/>
              </w:rPr>
            </w:pPr>
          </w:p>
        </w:tc>
        <w:tc>
          <w:tcPr>
            <w:tcW w:w="100" w:type="dxa"/>
            <w:vAlign w:val="bottom"/>
            <w:shd w:val="clear" w:color="auto" w:fill="852166"/>
          </w:tcPr>
          <w:p>
            <w:pPr>
              <w:spacing w:after="0"/>
              <w:rPr>
                <w:sz w:val="15"/>
                <w:szCs w:val="15"/>
                <w:color w:val="auto"/>
              </w:rPr>
            </w:pPr>
          </w:p>
        </w:tc>
        <w:tc>
          <w:tcPr>
            <w:tcW w:w="1620" w:type="dxa"/>
            <w:vAlign w:val="bottom"/>
            <w:shd w:val="clear" w:color="auto" w:fill="852166"/>
          </w:tcPr>
          <w:p>
            <w:pPr>
              <w:jc w:val="right"/>
              <w:spacing w:after="0"/>
              <w:rPr>
                <w:sz w:val="20"/>
                <w:szCs w:val="20"/>
                <w:color w:val="auto"/>
              </w:rPr>
            </w:pPr>
            <w:r>
              <w:rPr>
                <w:rFonts w:ascii="Arial" w:cs="Arial" w:eastAsia="Arial" w:hAnsi="Arial"/>
                <w:sz w:val="14"/>
                <w:szCs w:val="14"/>
                <w:b w:val="1"/>
                <w:bCs w:val="1"/>
                <w:color w:val="FFFFFF"/>
              </w:rPr>
              <w:t>Cause or Constructive</w:t>
            </w:r>
          </w:p>
        </w:tc>
        <w:tc>
          <w:tcPr>
            <w:tcW w:w="100" w:type="dxa"/>
            <w:vAlign w:val="bottom"/>
            <w:shd w:val="clear" w:color="auto" w:fill="852166"/>
          </w:tcPr>
          <w:p>
            <w:pPr>
              <w:spacing w:after="0"/>
              <w:rPr>
                <w:sz w:val="15"/>
                <w:szCs w:val="15"/>
                <w:color w:val="auto"/>
              </w:rPr>
            </w:pPr>
          </w:p>
        </w:tc>
        <w:tc>
          <w:tcPr>
            <w:tcW w:w="1140" w:type="dxa"/>
            <w:vAlign w:val="bottom"/>
            <w:shd w:val="clear" w:color="auto" w:fill="852166"/>
          </w:tcPr>
          <w:p>
            <w:pPr>
              <w:spacing w:after="0"/>
              <w:rPr>
                <w:sz w:val="15"/>
                <w:szCs w:val="15"/>
                <w:color w:val="auto"/>
              </w:rPr>
            </w:pPr>
          </w:p>
        </w:tc>
        <w:tc>
          <w:tcPr>
            <w:tcW w:w="100" w:type="dxa"/>
            <w:vAlign w:val="bottom"/>
            <w:shd w:val="clear" w:color="auto" w:fill="852166"/>
          </w:tcPr>
          <w:p>
            <w:pPr>
              <w:spacing w:after="0"/>
              <w:rPr>
                <w:sz w:val="15"/>
                <w:szCs w:val="15"/>
                <w:color w:val="auto"/>
              </w:rPr>
            </w:pPr>
          </w:p>
        </w:tc>
        <w:tc>
          <w:tcPr>
            <w:tcW w:w="1100" w:type="dxa"/>
            <w:vAlign w:val="bottom"/>
            <w:shd w:val="clear" w:color="auto" w:fill="852166"/>
          </w:tcPr>
          <w:p>
            <w:pPr>
              <w:spacing w:after="0"/>
              <w:rPr>
                <w:sz w:val="15"/>
                <w:szCs w:val="15"/>
                <w:color w:val="auto"/>
              </w:rPr>
            </w:pPr>
          </w:p>
        </w:tc>
        <w:tc>
          <w:tcPr>
            <w:tcW w:w="100" w:type="dxa"/>
            <w:vAlign w:val="bottom"/>
            <w:shd w:val="clear" w:color="auto" w:fill="852166"/>
          </w:tcPr>
          <w:p>
            <w:pPr>
              <w:spacing w:after="0"/>
              <w:rPr>
                <w:sz w:val="15"/>
                <w:szCs w:val="15"/>
                <w:color w:val="auto"/>
              </w:rPr>
            </w:pPr>
          </w:p>
        </w:tc>
        <w:tc>
          <w:tcPr>
            <w:tcW w:w="1060" w:type="dxa"/>
            <w:vAlign w:val="bottom"/>
            <w:shd w:val="clear" w:color="auto" w:fill="852166"/>
          </w:tcPr>
          <w:p>
            <w:pPr>
              <w:spacing w:after="0"/>
              <w:rPr>
                <w:sz w:val="15"/>
                <w:szCs w:val="15"/>
                <w:color w:val="auto"/>
              </w:rPr>
            </w:pPr>
          </w:p>
        </w:tc>
        <w:tc>
          <w:tcPr>
            <w:tcW w:w="100" w:type="dxa"/>
            <w:vAlign w:val="bottom"/>
            <w:shd w:val="clear" w:color="auto" w:fill="852166"/>
          </w:tcPr>
          <w:p>
            <w:pPr>
              <w:spacing w:after="0"/>
              <w:rPr>
                <w:sz w:val="15"/>
                <w:szCs w:val="15"/>
                <w:color w:val="auto"/>
              </w:rPr>
            </w:pPr>
          </w:p>
        </w:tc>
        <w:tc>
          <w:tcPr>
            <w:tcW w:w="1220" w:type="dxa"/>
            <w:vAlign w:val="bottom"/>
            <w:shd w:val="clear" w:color="auto" w:fill="852166"/>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 w:type="dxa"/>
            <w:vAlign w:val="bottom"/>
            <w:shd w:val="clear" w:color="auto" w:fill="852166"/>
          </w:tcPr>
          <w:p>
            <w:pPr>
              <w:spacing w:after="0"/>
              <w:rPr>
                <w:sz w:val="15"/>
                <w:szCs w:val="15"/>
                <w:color w:val="auto"/>
              </w:rPr>
            </w:pPr>
          </w:p>
        </w:tc>
        <w:tc>
          <w:tcPr>
            <w:tcW w:w="1580" w:type="dxa"/>
            <w:vAlign w:val="bottom"/>
            <w:shd w:val="clear" w:color="auto" w:fill="852166"/>
          </w:tcPr>
          <w:p>
            <w:pPr>
              <w:spacing w:after="0"/>
              <w:rPr>
                <w:sz w:val="15"/>
                <w:szCs w:val="15"/>
                <w:color w:val="auto"/>
              </w:rPr>
            </w:pPr>
          </w:p>
        </w:tc>
        <w:tc>
          <w:tcPr>
            <w:tcW w:w="2940" w:type="dxa"/>
            <w:vAlign w:val="bottom"/>
            <w:shd w:val="clear" w:color="auto" w:fill="852166"/>
          </w:tcPr>
          <w:p>
            <w:pPr>
              <w:spacing w:after="0"/>
              <w:rPr>
                <w:sz w:val="15"/>
                <w:szCs w:val="15"/>
                <w:color w:val="auto"/>
              </w:rPr>
            </w:pPr>
          </w:p>
        </w:tc>
        <w:tc>
          <w:tcPr>
            <w:tcW w:w="100" w:type="dxa"/>
            <w:vAlign w:val="bottom"/>
            <w:shd w:val="clear" w:color="auto" w:fill="852166"/>
          </w:tcPr>
          <w:p>
            <w:pPr>
              <w:spacing w:after="0"/>
              <w:rPr>
                <w:sz w:val="15"/>
                <w:szCs w:val="15"/>
                <w:color w:val="auto"/>
              </w:rPr>
            </w:pPr>
          </w:p>
        </w:tc>
        <w:tc>
          <w:tcPr>
            <w:tcW w:w="1620" w:type="dxa"/>
            <w:vAlign w:val="bottom"/>
            <w:shd w:val="clear" w:color="auto" w:fill="852166"/>
          </w:tcPr>
          <w:p>
            <w:pPr>
              <w:jc w:val="right"/>
              <w:spacing w:after="0"/>
              <w:rPr>
                <w:sz w:val="20"/>
                <w:szCs w:val="20"/>
                <w:color w:val="auto"/>
              </w:rPr>
            </w:pPr>
            <w:r>
              <w:rPr>
                <w:rFonts w:ascii="Arial" w:cs="Arial" w:eastAsia="Arial" w:hAnsi="Arial"/>
                <w:sz w:val="14"/>
                <w:szCs w:val="14"/>
                <w:b w:val="1"/>
                <w:bCs w:val="1"/>
                <w:color w:val="FFFFFF"/>
              </w:rPr>
              <w:t>Termination in</w:t>
            </w:r>
          </w:p>
        </w:tc>
        <w:tc>
          <w:tcPr>
            <w:tcW w:w="100" w:type="dxa"/>
            <w:vAlign w:val="bottom"/>
            <w:shd w:val="clear" w:color="auto" w:fill="852166"/>
          </w:tcPr>
          <w:p>
            <w:pPr>
              <w:spacing w:after="0"/>
              <w:rPr>
                <w:sz w:val="15"/>
                <w:szCs w:val="15"/>
                <w:color w:val="auto"/>
              </w:rPr>
            </w:pPr>
          </w:p>
        </w:tc>
        <w:tc>
          <w:tcPr>
            <w:tcW w:w="1240" w:type="dxa"/>
            <w:vAlign w:val="bottom"/>
            <w:gridSpan w:val="2"/>
            <w:shd w:val="clear" w:color="auto" w:fill="852166"/>
          </w:tcPr>
          <w:p>
            <w:pPr>
              <w:jc w:val="right"/>
              <w:ind w:right="100"/>
              <w:spacing w:after="0"/>
              <w:rPr>
                <w:sz w:val="20"/>
                <w:szCs w:val="20"/>
                <w:color w:val="auto"/>
              </w:rPr>
            </w:pPr>
            <w:r>
              <w:rPr>
                <w:rFonts w:ascii="Arial" w:cs="Arial" w:eastAsia="Arial" w:hAnsi="Arial"/>
                <w:sz w:val="14"/>
                <w:szCs w:val="14"/>
                <w:b w:val="1"/>
                <w:bCs w:val="1"/>
                <w:color w:val="FFFFFF"/>
              </w:rPr>
              <w:t>Certain</w:t>
            </w:r>
          </w:p>
        </w:tc>
        <w:tc>
          <w:tcPr>
            <w:tcW w:w="1200" w:type="dxa"/>
            <w:vAlign w:val="bottom"/>
            <w:gridSpan w:val="2"/>
            <w:shd w:val="clear" w:color="auto" w:fill="852166"/>
          </w:tcPr>
          <w:p>
            <w:pPr>
              <w:jc w:val="right"/>
              <w:ind w:right="120"/>
              <w:spacing w:after="0"/>
              <w:rPr>
                <w:sz w:val="20"/>
                <w:szCs w:val="20"/>
                <w:color w:val="auto"/>
              </w:rPr>
            </w:pPr>
            <w:r>
              <w:rPr>
                <w:rFonts w:ascii="Arial" w:cs="Arial" w:eastAsia="Arial" w:hAnsi="Arial"/>
                <w:sz w:val="14"/>
                <w:szCs w:val="14"/>
                <w:b w:val="1"/>
                <w:bCs w:val="1"/>
                <w:color w:val="FFFFFF"/>
              </w:rPr>
              <w:t>Death (No</w:t>
            </w:r>
          </w:p>
        </w:tc>
        <w:tc>
          <w:tcPr>
            <w:tcW w:w="1060" w:type="dxa"/>
            <w:vAlign w:val="bottom"/>
            <w:shd w:val="clear" w:color="auto" w:fill="852166"/>
          </w:tcPr>
          <w:p>
            <w:pPr>
              <w:spacing w:after="0"/>
              <w:rPr>
                <w:sz w:val="15"/>
                <w:szCs w:val="15"/>
                <w:color w:val="auto"/>
              </w:rPr>
            </w:pPr>
          </w:p>
        </w:tc>
        <w:tc>
          <w:tcPr>
            <w:tcW w:w="100" w:type="dxa"/>
            <w:vAlign w:val="bottom"/>
            <w:shd w:val="clear" w:color="auto" w:fill="852166"/>
          </w:tcPr>
          <w:p>
            <w:pPr>
              <w:spacing w:after="0"/>
              <w:rPr>
                <w:sz w:val="15"/>
                <w:szCs w:val="15"/>
                <w:color w:val="auto"/>
              </w:rPr>
            </w:pPr>
          </w:p>
        </w:tc>
        <w:tc>
          <w:tcPr>
            <w:tcW w:w="1220" w:type="dxa"/>
            <w:vAlign w:val="bottom"/>
            <w:shd w:val="clear" w:color="auto" w:fill="852166"/>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shd w:val="clear" w:color="auto" w:fill="852166"/>
          </w:tcPr>
          <w:p>
            <w:pPr>
              <w:spacing w:after="0"/>
              <w:rPr>
                <w:sz w:val="15"/>
                <w:szCs w:val="15"/>
                <w:color w:val="auto"/>
              </w:rPr>
            </w:pPr>
          </w:p>
        </w:tc>
        <w:tc>
          <w:tcPr>
            <w:tcW w:w="1580" w:type="dxa"/>
            <w:vAlign w:val="bottom"/>
            <w:shd w:val="clear" w:color="auto" w:fill="852166"/>
          </w:tcPr>
          <w:p>
            <w:pPr>
              <w:spacing w:after="0"/>
              <w:rPr>
                <w:sz w:val="15"/>
                <w:szCs w:val="15"/>
                <w:color w:val="auto"/>
              </w:rPr>
            </w:pPr>
          </w:p>
        </w:tc>
        <w:tc>
          <w:tcPr>
            <w:tcW w:w="2940" w:type="dxa"/>
            <w:vAlign w:val="bottom"/>
            <w:shd w:val="clear" w:color="auto" w:fill="852166"/>
          </w:tcPr>
          <w:p>
            <w:pPr>
              <w:spacing w:after="0"/>
              <w:rPr>
                <w:sz w:val="15"/>
                <w:szCs w:val="15"/>
                <w:color w:val="auto"/>
              </w:rPr>
            </w:pPr>
          </w:p>
        </w:tc>
        <w:tc>
          <w:tcPr>
            <w:tcW w:w="100" w:type="dxa"/>
            <w:vAlign w:val="bottom"/>
            <w:shd w:val="clear" w:color="auto" w:fill="852166"/>
          </w:tcPr>
          <w:p>
            <w:pPr>
              <w:spacing w:after="0"/>
              <w:rPr>
                <w:sz w:val="15"/>
                <w:szCs w:val="15"/>
                <w:color w:val="auto"/>
              </w:rPr>
            </w:pPr>
          </w:p>
        </w:tc>
        <w:tc>
          <w:tcPr>
            <w:tcW w:w="1620" w:type="dxa"/>
            <w:vAlign w:val="bottom"/>
            <w:shd w:val="clear" w:color="auto" w:fill="852166"/>
          </w:tcPr>
          <w:p>
            <w:pPr>
              <w:jc w:val="right"/>
              <w:spacing w:after="0"/>
              <w:rPr>
                <w:sz w:val="20"/>
                <w:szCs w:val="20"/>
                <w:color w:val="auto"/>
              </w:rPr>
            </w:pPr>
            <w:r>
              <w:rPr>
                <w:rFonts w:ascii="Arial" w:cs="Arial" w:eastAsia="Arial" w:hAnsi="Arial"/>
                <w:sz w:val="14"/>
                <w:szCs w:val="14"/>
                <w:b w:val="1"/>
                <w:bCs w:val="1"/>
                <w:color w:val="FFFFFF"/>
              </w:rPr>
              <w:t>Connection with a</w:t>
            </w:r>
          </w:p>
        </w:tc>
        <w:tc>
          <w:tcPr>
            <w:tcW w:w="100" w:type="dxa"/>
            <w:vAlign w:val="bottom"/>
            <w:shd w:val="clear" w:color="auto" w:fill="852166"/>
          </w:tcPr>
          <w:p>
            <w:pPr>
              <w:spacing w:after="0"/>
              <w:rPr>
                <w:sz w:val="15"/>
                <w:szCs w:val="15"/>
                <w:color w:val="auto"/>
              </w:rPr>
            </w:pPr>
          </w:p>
        </w:tc>
        <w:tc>
          <w:tcPr>
            <w:tcW w:w="1240" w:type="dxa"/>
            <w:vAlign w:val="bottom"/>
            <w:gridSpan w:val="2"/>
            <w:shd w:val="clear" w:color="auto" w:fill="852166"/>
          </w:tcPr>
          <w:p>
            <w:pPr>
              <w:jc w:val="right"/>
              <w:ind w:right="100"/>
              <w:spacing w:after="0"/>
              <w:rPr>
                <w:sz w:val="20"/>
                <w:szCs w:val="20"/>
                <w:color w:val="auto"/>
              </w:rPr>
            </w:pPr>
            <w:r>
              <w:rPr>
                <w:rFonts w:ascii="Arial" w:cs="Arial" w:eastAsia="Arial" w:hAnsi="Arial"/>
                <w:sz w:val="14"/>
                <w:szCs w:val="14"/>
                <w:b w:val="1"/>
                <w:bCs w:val="1"/>
                <w:color w:val="FFFFFF"/>
              </w:rPr>
              <w:t>Corporate</w:t>
            </w:r>
          </w:p>
        </w:tc>
        <w:tc>
          <w:tcPr>
            <w:tcW w:w="1200" w:type="dxa"/>
            <w:vAlign w:val="bottom"/>
            <w:gridSpan w:val="2"/>
            <w:shd w:val="clear" w:color="auto" w:fill="852166"/>
          </w:tcPr>
          <w:p>
            <w:pPr>
              <w:jc w:val="right"/>
              <w:ind w:right="120"/>
              <w:spacing w:after="0"/>
              <w:rPr>
                <w:sz w:val="20"/>
                <w:szCs w:val="20"/>
                <w:color w:val="auto"/>
              </w:rPr>
            </w:pPr>
            <w:r>
              <w:rPr>
                <w:rFonts w:ascii="Arial" w:cs="Arial" w:eastAsia="Arial" w:hAnsi="Arial"/>
                <w:sz w:val="14"/>
                <w:szCs w:val="14"/>
                <w:b w:val="1"/>
                <w:bCs w:val="1"/>
                <w:color w:val="FFFFFF"/>
              </w:rPr>
              <w:t>Change of</w:t>
            </w:r>
          </w:p>
        </w:tc>
        <w:tc>
          <w:tcPr>
            <w:tcW w:w="1160" w:type="dxa"/>
            <w:vAlign w:val="bottom"/>
            <w:gridSpan w:val="2"/>
            <w:shd w:val="clear" w:color="auto" w:fill="852166"/>
          </w:tcPr>
          <w:p>
            <w:pPr>
              <w:jc w:val="right"/>
              <w:ind w:right="120"/>
              <w:spacing w:after="0"/>
              <w:rPr>
                <w:sz w:val="20"/>
                <w:szCs w:val="20"/>
                <w:color w:val="auto"/>
              </w:rPr>
            </w:pPr>
            <w:r>
              <w:rPr>
                <w:rFonts w:ascii="Arial" w:cs="Arial" w:eastAsia="Arial" w:hAnsi="Arial"/>
                <w:sz w:val="14"/>
                <w:szCs w:val="14"/>
                <w:b w:val="1"/>
                <w:bCs w:val="1"/>
                <w:color w:val="FFFFFF"/>
              </w:rPr>
              <w:t>Disability (No</w:t>
            </w:r>
          </w:p>
        </w:tc>
        <w:tc>
          <w:tcPr>
            <w:tcW w:w="1220" w:type="dxa"/>
            <w:vAlign w:val="bottom"/>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Retirement (No</w:t>
            </w:r>
          </w:p>
        </w:tc>
        <w:tc>
          <w:tcPr>
            <w:tcW w:w="0" w:type="dxa"/>
            <w:vAlign w:val="bottom"/>
          </w:tcPr>
          <w:p>
            <w:pPr>
              <w:spacing w:after="0"/>
              <w:rPr>
                <w:sz w:val="1"/>
                <w:szCs w:val="1"/>
                <w:color w:val="auto"/>
              </w:rPr>
            </w:pPr>
          </w:p>
        </w:tc>
      </w:tr>
      <w:tr>
        <w:trPr>
          <w:trHeight w:val="173"/>
        </w:trPr>
        <w:tc>
          <w:tcPr>
            <w:tcW w:w="80" w:type="dxa"/>
            <w:vAlign w:val="bottom"/>
            <w:shd w:val="clear" w:color="auto" w:fill="852166"/>
          </w:tcPr>
          <w:p>
            <w:pPr>
              <w:spacing w:after="0"/>
              <w:rPr>
                <w:sz w:val="15"/>
                <w:szCs w:val="15"/>
                <w:color w:val="auto"/>
              </w:rPr>
            </w:pPr>
          </w:p>
        </w:tc>
        <w:tc>
          <w:tcPr>
            <w:tcW w:w="1580" w:type="dxa"/>
            <w:vAlign w:val="bottom"/>
            <w:shd w:val="clear" w:color="auto" w:fill="852166"/>
          </w:tcPr>
          <w:p>
            <w:pPr>
              <w:spacing w:after="0"/>
              <w:rPr>
                <w:sz w:val="15"/>
                <w:szCs w:val="15"/>
                <w:color w:val="auto"/>
              </w:rPr>
            </w:pPr>
          </w:p>
        </w:tc>
        <w:tc>
          <w:tcPr>
            <w:tcW w:w="2940" w:type="dxa"/>
            <w:vAlign w:val="bottom"/>
            <w:shd w:val="clear" w:color="auto" w:fill="852166"/>
          </w:tcPr>
          <w:p>
            <w:pPr>
              <w:spacing w:after="0"/>
              <w:rPr>
                <w:sz w:val="15"/>
                <w:szCs w:val="15"/>
                <w:color w:val="auto"/>
              </w:rPr>
            </w:pPr>
          </w:p>
        </w:tc>
        <w:tc>
          <w:tcPr>
            <w:tcW w:w="100" w:type="dxa"/>
            <w:vAlign w:val="bottom"/>
            <w:shd w:val="clear" w:color="auto" w:fill="852166"/>
          </w:tcPr>
          <w:p>
            <w:pPr>
              <w:spacing w:after="0"/>
              <w:rPr>
                <w:sz w:val="15"/>
                <w:szCs w:val="15"/>
                <w:color w:val="auto"/>
              </w:rPr>
            </w:pPr>
          </w:p>
        </w:tc>
        <w:tc>
          <w:tcPr>
            <w:tcW w:w="1620" w:type="dxa"/>
            <w:vAlign w:val="bottom"/>
            <w:shd w:val="clear" w:color="auto" w:fill="852166"/>
          </w:tcPr>
          <w:p>
            <w:pPr>
              <w:jc w:val="right"/>
              <w:spacing w:after="0"/>
              <w:rPr>
                <w:sz w:val="20"/>
                <w:szCs w:val="20"/>
                <w:color w:val="auto"/>
              </w:rPr>
            </w:pPr>
            <w:r>
              <w:rPr>
                <w:rFonts w:ascii="Arial" w:cs="Arial" w:eastAsia="Arial" w:hAnsi="Arial"/>
                <w:sz w:val="14"/>
                <w:szCs w:val="14"/>
                <w:b w:val="1"/>
                <w:bCs w:val="1"/>
                <w:color w:val="FFFFFF"/>
              </w:rPr>
              <w:t>Change of Control</w:t>
            </w:r>
          </w:p>
        </w:tc>
        <w:tc>
          <w:tcPr>
            <w:tcW w:w="100" w:type="dxa"/>
            <w:vAlign w:val="bottom"/>
            <w:shd w:val="clear" w:color="auto" w:fill="852166"/>
          </w:tcPr>
          <w:p>
            <w:pPr>
              <w:spacing w:after="0"/>
              <w:rPr>
                <w:sz w:val="15"/>
                <w:szCs w:val="15"/>
                <w:color w:val="auto"/>
              </w:rPr>
            </w:pPr>
          </w:p>
        </w:tc>
        <w:tc>
          <w:tcPr>
            <w:tcW w:w="1240" w:type="dxa"/>
            <w:vAlign w:val="bottom"/>
            <w:gridSpan w:val="2"/>
            <w:shd w:val="clear" w:color="auto" w:fill="852166"/>
          </w:tcPr>
          <w:p>
            <w:pPr>
              <w:jc w:val="right"/>
              <w:ind w:right="100"/>
              <w:spacing w:after="0"/>
              <w:rPr>
                <w:sz w:val="20"/>
                <w:szCs w:val="20"/>
                <w:color w:val="auto"/>
              </w:rPr>
            </w:pPr>
            <w:r>
              <w:rPr>
                <w:rFonts w:ascii="Arial" w:cs="Arial" w:eastAsia="Arial" w:hAnsi="Arial"/>
                <w:sz w:val="14"/>
                <w:szCs w:val="14"/>
                <w:b w:val="1"/>
                <w:bCs w:val="1"/>
                <w:color w:val="FFFFFF"/>
              </w:rPr>
              <w:t>Transactions</w:t>
            </w:r>
          </w:p>
        </w:tc>
        <w:tc>
          <w:tcPr>
            <w:tcW w:w="1200" w:type="dxa"/>
            <w:vAlign w:val="bottom"/>
            <w:gridSpan w:val="2"/>
            <w:shd w:val="clear" w:color="auto" w:fill="852166"/>
          </w:tcPr>
          <w:p>
            <w:pPr>
              <w:jc w:val="right"/>
              <w:ind w:right="120"/>
              <w:spacing w:after="0"/>
              <w:rPr>
                <w:sz w:val="20"/>
                <w:szCs w:val="20"/>
                <w:color w:val="auto"/>
              </w:rPr>
            </w:pPr>
            <w:r>
              <w:rPr>
                <w:rFonts w:ascii="Arial" w:cs="Arial" w:eastAsia="Arial" w:hAnsi="Arial"/>
                <w:sz w:val="14"/>
                <w:szCs w:val="14"/>
                <w:b w:val="1"/>
                <w:bCs w:val="1"/>
                <w:color w:val="FFFFFF"/>
              </w:rPr>
              <w:t>Control)</w:t>
            </w:r>
          </w:p>
        </w:tc>
        <w:tc>
          <w:tcPr>
            <w:tcW w:w="1160" w:type="dxa"/>
            <w:vAlign w:val="bottom"/>
            <w:gridSpan w:val="2"/>
            <w:shd w:val="clear" w:color="auto" w:fill="852166"/>
          </w:tcPr>
          <w:p>
            <w:pPr>
              <w:jc w:val="right"/>
              <w:ind w:right="120"/>
              <w:spacing w:after="0"/>
              <w:rPr>
                <w:sz w:val="20"/>
                <w:szCs w:val="20"/>
                <w:color w:val="auto"/>
              </w:rPr>
            </w:pPr>
            <w:r>
              <w:rPr>
                <w:rFonts w:ascii="Arial" w:cs="Arial" w:eastAsia="Arial" w:hAnsi="Arial"/>
                <w:sz w:val="14"/>
                <w:szCs w:val="14"/>
                <w:b w:val="1"/>
                <w:bCs w:val="1"/>
                <w:color w:val="FFFFFF"/>
              </w:rPr>
              <w:t>Change of</w:t>
            </w:r>
          </w:p>
        </w:tc>
        <w:tc>
          <w:tcPr>
            <w:tcW w:w="1220" w:type="dxa"/>
            <w:vAlign w:val="bottom"/>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Change of</w:t>
            </w:r>
          </w:p>
        </w:tc>
        <w:tc>
          <w:tcPr>
            <w:tcW w:w="0" w:type="dxa"/>
            <w:vAlign w:val="bottom"/>
          </w:tcPr>
          <w:p>
            <w:pPr>
              <w:spacing w:after="0"/>
              <w:rPr>
                <w:sz w:val="1"/>
                <w:szCs w:val="1"/>
                <w:color w:val="auto"/>
              </w:rPr>
            </w:pPr>
          </w:p>
        </w:tc>
      </w:tr>
      <w:tr>
        <w:trPr>
          <w:trHeight w:val="248"/>
        </w:trPr>
        <w:tc>
          <w:tcPr>
            <w:tcW w:w="80" w:type="dxa"/>
            <w:vAlign w:val="bottom"/>
            <w:tcBorders>
              <w:bottom w:val="single" w:sz="8" w:color="852166"/>
            </w:tcBorders>
            <w:shd w:val="clear" w:color="auto" w:fill="852166"/>
          </w:tcPr>
          <w:p>
            <w:pPr>
              <w:spacing w:after="0"/>
              <w:rPr>
                <w:sz w:val="21"/>
                <w:szCs w:val="21"/>
                <w:color w:val="auto"/>
              </w:rPr>
            </w:pPr>
          </w:p>
        </w:tc>
        <w:tc>
          <w:tcPr>
            <w:tcW w:w="1580" w:type="dxa"/>
            <w:vAlign w:val="bottom"/>
            <w:tcBorders>
              <w:bottom w:val="single" w:sz="8" w:color="852166"/>
            </w:tcBorders>
            <w:shd w:val="clear" w:color="auto" w:fill="852166"/>
          </w:tcPr>
          <w:p>
            <w:pPr>
              <w:ind w:left="20"/>
              <w:spacing w:after="0"/>
              <w:rPr>
                <w:sz w:val="20"/>
                <w:szCs w:val="20"/>
                <w:color w:val="auto"/>
              </w:rPr>
            </w:pPr>
            <w:r>
              <w:rPr>
                <w:rFonts w:ascii="Arial" w:cs="Arial" w:eastAsia="Arial" w:hAnsi="Arial"/>
                <w:sz w:val="14"/>
                <w:szCs w:val="14"/>
                <w:b w:val="1"/>
                <w:bCs w:val="1"/>
                <w:color w:val="FFFFFF"/>
              </w:rPr>
              <w:t>Name</w:t>
            </w:r>
          </w:p>
        </w:tc>
        <w:tc>
          <w:tcPr>
            <w:tcW w:w="2940" w:type="dxa"/>
            <w:vAlign w:val="bottom"/>
            <w:tcBorders>
              <w:bottom w:val="single" w:sz="8" w:color="852166"/>
            </w:tcBorders>
            <w:shd w:val="clear" w:color="auto" w:fill="852166"/>
          </w:tcPr>
          <w:p>
            <w:pPr>
              <w:ind w:left="20"/>
              <w:spacing w:after="0"/>
              <w:rPr>
                <w:sz w:val="20"/>
                <w:szCs w:val="20"/>
                <w:color w:val="auto"/>
              </w:rPr>
            </w:pPr>
            <w:r>
              <w:rPr>
                <w:rFonts w:ascii="Arial" w:cs="Arial" w:eastAsia="Arial" w:hAnsi="Arial"/>
                <w:sz w:val="14"/>
                <w:szCs w:val="14"/>
                <w:b w:val="1"/>
                <w:bCs w:val="1"/>
                <w:color w:val="FFFFFF"/>
              </w:rPr>
              <w:t>Benefit</w:t>
            </w:r>
          </w:p>
        </w:tc>
        <w:tc>
          <w:tcPr>
            <w:tcW w:w="1720" w:type="dxa"/>
            <w:vAlign w:val="bottom"/>
            <w:tcBorders>
              <w:bottom w:val="single" w:sz="8" w:color="852166"/>
            </w:tcBorders>
            <w:gridSpan w:val="2"/>
            <w:shd w:val="clear" w:color="auto" w:fill="852166"/>
          </w:tcPr>
          <w:p>
            <w:pPr>
              <w:jc w:val="right"/>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(1)</w:t>
            </w:r>
          </w:p>
        </w:tc>
        <w:tc>
          <w:tcPr>
            <w:tcW w:w="1240" w:type="dxa"/>
            <w:vAlign w:val="bottom"/>
            <w:tcBorders>
              <w:bottom w:val="single" w:sz="8" w:color="852166"/>
            </w:tcBorders>
            <w:gridSpan w:val="2"/>
            <w:shd w:val="clear" w:color="auto" w:fill="852166"/>
          </w:tcPr>
          <w:p>
            <w:pPr>
              <w:jc w:val="right"/>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(2)</w:t>
            </w:r>
          </w:p>
        </w:tc>
        <w:tc>
          <w:tcPr>
            <w:tcW w:w="100" w:type="dxa"/>
            <w:vAlign w:val="bottom"/>
            <w:tcBorders>
              <w:bottom w:val="single" w:sz="8" w:color="852166"/>
            </w:tcBorders>
            <w:shd w:val="clear" w:color="auto" w:fill="852166"/>
          </w:tcPr>
          <w:p>
            <w:pPr>
              <w:spacing w:after="0"/>
              <w:rPr>
                <w:sz w:val="21"/>
                <w:szCs w:val="21"/>
                <w:color w:val="auto"/>
              </w:rPr>
            </w:pPr>
          </w:p>
        </w:tc>
        <w:tc>
          <w:tcPr>
            <w:tcW w:w="1100" w:type="dxa"/>
            <w:vAlign w:val="bottom"/>
            <w:tcBorders>
              <w:bottom w:val="single" w:sz="8" w:color="852166"/>
            </w:tcBorders>
            <w:shd w:val="clear" w:color="auto" w:fill="852166"/>
          </w:tcPr>
          <w:p>
            <w:pPr>
              <w:jc w:val="right"/>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(3)</w:t>
            </w:r>
          </w:p>
        </w:tc>
        <w:tc>
          <w:tcPr>
            <w:tcW w:w="100" w:type="dxa"/>
            <w:vAlign w:val="bottom"/>
            <w:tcBorders>
              <w:bottom w:val="single" w:sz="8" w:color="852166"/>
            </w:tcBorders>
            <w:shd w:val="clear" w:color="auto" w:fill="852166"/>
          </w:tcPr>
          <w:p>
            <w:pPr>
              <w:spacing w:after="0"/>
              <w:rPr>
                <w:sz w:val="21"/>
                <w:szCs w:val="21"/>
                <w:color w:val="auto"/>
              </w:rPr>
            </w:pPr>
          </w:p>
        </w:tc>
        <w:tc>
          <w:tcPr>
            <w:tcW w:w="1160" w:type="dxa"/>
            <w:vAlign w:val="bottom"/>
            <w:tcBorders>
              <w:bottom w:val="single" w:sz="8" w:color="852166"/>
            </w:tcBorders>
            <w:gridSpan w:val="2"/>
            <w:shd w:val="clear" w:color="auto" w:fill="852166"/>
          </w:tcPr>
          <w:p>
            <w:pPr>
              <w:jc w:val="right"/>
              <w:ind w:right="120"/>
              <w:spacing w:after="0"/>
              <w:rPr>
                <w:sz w:val="20"/>
                <w:szCs w:val="20"/>
                <w:color w:val="auto"/>
              </w:rPr>
            </w:pPr>
            <w:r>
              <w:rPr>
                <w:rFonts w:ascii="Arial" w:cs="Arial" w:eastAsia="Arial" w:hAnsi="Arial"/>
                <w:sz w:val="14"/>
                <w:szCs w:val="14"/>
                <w:b w:val="1"/>
                <w:bCs w:val="1"/>
                <w:color w:val="FFFFFF"/>
              </w:rPr>
              <w:t>Control) ($)</w:t>
            </w:r>
            <w:r>
              <w:rPr>
                <w:rFonts w:ascii="Arial" w:cs="Arial" w:eastAsia="Arial" w:hAnsi="Arial"/>
                <w:sz w:val="9"/>
                <w:szCs w:val="9"/>
                <w:b w:val="1"/>
                <w:bCs w:val="1"/>
                <w:color w:val="FFFFFF"/>
              </w:rPr>
              <w:t>(4)</w:t>
            </w:r>
          </w:p>
        </w:tc>
        <w:tc>
          <w:tcPr>
            <w:tcW w:w="1220" w:type="dxa"/>
            <w:vAlign w:val="bottom"/>
            <w:tcBorders>
              <w:bottom w:val="single" w:sz="8" w:color="852166"/>
            </w:tcBorders>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Control) ($)</w:t>
            </w:r>
            <w:r>
              <w:rPr>
                <w:rFonts w:ascii="Arial" w:cs="Arial" w:eastAsia="Arial" w:hAnsi="Arial"/>
                <w:sz w:val="9"/>
                <w:szCs w:val="9"/>
                <w:b w:val="1"/>
                <w:bCs w:val="1"/>
                <w:color w:val="FFFFFF"/>
              </w:rPr>
              <w:t>(5)</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940" w:type="dxa"/>
            <w:vAlign w:val="bottom"/>
          </w:tcPr>
          <w:p>
            <w:pPr>
              <w:ind w:left="20"/>
              <w:spacing w:after="0"/>
              <w:rPr>
                <w:sz w:val="20"/>
                <w:szCs w:val="20"/>
                <w:color w:val="auto"/>
              </w:rPr>
            </w:pPr>
            <w:r>
              <w:rPr>
                <w:rFonts w:ascii="Arial" w:cs="Arial" w:eastAsia="Arial" w:hAnsi="Arial"/>
                <w:sz w:val="14"/>
                <w:szCs w:val="14"/>
                <w:color w:val="auto"/>
              </w:rPr>
              <w:t>Lump Sum Cash Severance Payment</w:t>
            </w: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1,975,313</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6"/>
        </w:trPr>
        <w:tc>
          <w:tcPr>
            <w:tcW w:w="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gridSpan w:val="2"/>
          </w:tcPr>
          <w:p>
            <w:pPr>
              <w:spacing w:after="0"/>
              <w:rPr>
                <w:sz w:val="6"/>
                <w:szCs w:val="6"/>
                <w:color w:val="auto"/>
              </w:rPr>
            </w:pPr>
          </w:p>
        </w:tc>
        <w:tc>
          <w:tcPr>
            <w:tcW w:w="1200" w:type="dxa"/>
            <w:vAlign w:val="bottom"/>
            <w:tcBorders>
              <w:bottom w:val="single" w:sz="8" w:color="auto"/>
            </w:tcBorders>
            <w:gridSpan w:val="2"/>
          </w:tcPr>
          <w:p>
            <w:pPr>
              <w:spacing w:after="0"/>
              <w:rPr>
                <w:sz w:val="6"/>
                <w:szCs w:val="6"/>
                <w:color w:val="auto"/>
              </w:rPr>
            </w:pPr>
          </w:p>
        </w:tc>
        <w:tc>
          <w:tcPr>
            <w:tcW w:w="1160" w:type="dxa"/>
            <w:vAlign w:val="bottom"/>
            <w:tcBorders>
              <w:bottom w:val="single" w:sz="8" w:color="auto"/>
            </w:tcBorders>
            <w:gridSpan w:val="2"/>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1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Neena M. Patil</w:t>
            </w:r>
          </w:p>
        </w:tc>
        <w:tc>
          <w:tcPr>
            <w:tcW w:w="2940" w:type="dxa"/>
            <w:vAlign w:val="bottom"/>
          </w:tcPr>
          <w:p>
            <w:pPr>
              <w:ind w:left="20"/>
              <w:spacing w:after="0"/>
              <w:rPr>
                <w:sz w:val="20"/>
                <w:szCs w:val="20"/>
                <w:color w:val="auto"/>
              </w:rPr>
            </w:pPr>
            <w:r>
              <w:rPr>
                <w:rFonts w:ascii="Arial" w:cs="Arial" w:eastAsia="Arial" w:hAnsi="Arial"/>
                <w:sz w:val="14"/>
                <w:szCs w:val="14"/>
                <w:color w:val="auto"/>
              </w:rPr>
              <w:t>Cobra Payments</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2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2940" w:type="dxa"/>
            <w:vAlign w:val="bottom"/>
            <w:vMerge w:val="restart"/>
          </w:tcPr>
          <w:p>
            <w:pPr>
              <w:ind w:left="20"/>
              <w:spacing w:after="0"/>
              <w:rPr>
                <w:sz w:val="20"/>
                <w:szCs w:val="20"/>
                <w:color w:val="auto"/>
              </w:rPr>
            </w:pPr>
            <w:r>
              <w:rPr>
                <w:rFonts w:ascii="Arial" w:cs="Arial" w:eastAsia="Arial" w:hAnsi="Arial"/>
                <w:sz w:val="14"/>
                <w:szCs w:val="14"/>
                <w:color w:val="auto"/>
              </w:rPr>
              <w:t>Vesting Acceleration</w:t>
            </w:r>
            <w:r>
              <w:rPr>
                <w:rFonts w:ascii="Arial" w:cs="Arial" w:eastAsia="Arial" w:hAnsi="Arial"/>
                <w:sz w:val="18"/>
                <w:szCs w:val="18"/>
                <w:color w:val="auto"/>
                <w:vertAlign w:val="superscript"/>
              </w:rPr>
              <w:t>(6)</w:t>
            </w:r>
          </w:p>
        </w:tc>
        <w:tc>
          <w:tcPr>
            <w:tcW w:w="1720" w:type="dxa"/>
            <w:vAlign w:val="bottom"/>
            <w:gridSpan w:val="2"/>
            <w:vMerge w:val="restart"/>
          </w:tcPr>
          <w:p>
            <w:pPr>
              <w:jc w:val="right"/>
              <w:spacing w:after="0"/>
              <w:rPr>
                <w:sz w:val="20"/>
                <w:szCs w:val="20"/>
                <w:color w:val="auto"/>
              </w:rPr>
            </w:pPr>
            <w:r>
              <w:rPr>
                <w:rFonts w:ascii="Arial" w:cs="Arial" w:eastAsia="Arial" w:hAnsi="Arial"/>
                <w:sz w:val="14"/>
                <w:szCs w:val="14"/>
                <w:color w:val="auto"/>
              </w:rPr>
              <w:t>5,800,974</w:t>
            </w: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color w:val="auto"/>
              </w:rPr>
              <w:t>5,800,974</w:t>
            </w:r>
          </w:p>
        </w:tc>
        <w:tc>
          <w:tcPr>
            <w:tcW w:w="100" w:type="dxa"/>
            <w:vAlign w:val="bottom"/>
          </w:tcPr>
          <w:p>
            <w:pPr>
              <w:spacing w:after="0"/>
              <w:rPr>
                <w:sz w:val="6"/>
                <w:szCs w:val="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4,328,097</w:t>
            </w:r>
          </w:p>
        </w:tc>
        <w:tc>
          <w:tcPr>
            <w:tcW w:w="100" w:type="dxa"/>
            <w:vAlign w:val="bottom"/>
          </w:tcPr>
          <w:p>
            <w:pPr>
              <w:spacing w:after="0"/>
              <w:rPr>
                <w:sz w:val="6"/>
                <w:szCs w:val="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2,425,191</w:t>
            </w:r>
          </w:p>
        </w:tc>
        <w:tc>
          <w:tcPr>
            <w:tcW w:w="100" w:type="dxa"/>
            <w:vAlign w:val="bottom"/>
          </w:tcPr>
          <w:p>
            <w:pPr>
              <w:spacing w:after="0"/>
              <w:rPr>
                <w:sz w:val="6"/>
                <w:szCs w:val="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940" w:type="dxa"/>
            <w:vAlign w:val="bottom"/>
            <w:vMerge w:val="continue"/>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940" w:type="dxa"/>
            <w:vAlign w:val="bottom"/>
            <w:tcBorders>
              <w:bottom w:val="single" w:sz="8" w:color="852166"/>
            </w:tcBorders>
          </w:tcPr>
          <w:p>
            <w:pPr>
              <w:spacing w:after="0"/>
              <w:rPr>
                <w:sz w:val="2"/>
                <w:szCs w:val="2"/>
                <w:color w:val="auto"/>
              </w:rPr>
            </w:pPr>
          </w:p>
        </w:tc>
        <w:tc>
          <w:tcPr>
            <w:tcW w:w="1720" w:type="dxa"/>
            <w:vAlign w:val="bottom"/>
            <w:tcBorders>
              <w:bottom w:val="single" w:sz="8" w:color="852166"/>
            </w:tcBorders>
            <w:gridSpan w:val="2"/>
          </w:tcPr>
          <w:p>
            <w:pPr>
              <w:spacing w:after="0"/>
              <w:rPr>
                <w:sz w:val="2"/>
                <w:szCs w:val="2"/>
                <w:color w:val="auto"/>
              </w:rPr>
            </w:pPr>
          </w:p>
        </w:tc>
        <w:tc>
          <w:tcPr>
            <w:tcW w:w="1240" w:type="dxa"/>
            <w:vAlign w:val="bottom"/>
            <w:tcBorders>
              <w:bottom w:val="single" w:sz="8" w:color="852166"/>
            </w:tcBorders>
            <w:gridSpan w:val="2"/>
          </w:tcPr>
          <w:p>
            <w:pPr>
              <w:spacing w:after="0"/>
              <w:rPr>
                <w:sz w:val="2"/>
                <w:szCs w:val="2"/>
                <w:color w:val="auto"/>
              </w:rPr>
            </w:pPr>
          </w:p>
        </w:tc>
        <w:tc>
          <w:tcPr>
            <w:tcW w:w="100" w:type="dxa"/>
            <w:vAlign w:val="bottom"/>
            <w:tcBorders>
              <w:bottom w:val="single" w:sz="8" w:color="852166"/>
            </w:tcBorders>
          </w:tcPr>
          <w:p>
            <w:pPr>
              <w:spacing w:after="0"/>
              <w:rPr>
                <w:sz w:val="2"/>
                <w:szCs w:val="2"/>
                <w:color w:val="auto"/>
              </w:rPr>
            </w:pPr>
          </w:p>
        </w:tc>
        <w:tc>
          <w:tcPr>
            <w:tcW w:w="1100" w:type="dxa"/>
            <w:vAlign w:val="bottom"/>
            <w:tcBorders>
              <w:bottom w:val="single" w:sz="8" w:color="852166"/>
            </w:tcBorders>
          </w:tcPr>
          <w:p>
            <w:pPr>
              <w:spacing w:after="0"/>
              <w:rPr>
                <w:sz w:val="2"/>
                <w:szCs w:val="2"/>
                <w:color w:val="auto"/>
              </w:rPr>
            </w:pPr>
          </w:p>
        </w:tc>
        <w:tc>
          <w:tcPr>
            <w:tcW w:w="100" w:type="dxa"/>
            <w:vAlign w:val="bottom"/>
            <w:tcBorders>
              <w:bottom w:val="single" w:sz="8" w:color="852166"/>
            </w:tcBorders>
          </w:tcPr>
          <w:p>
            <w:pPr>
              <w:spacing w:after="0"/>
              <w:rPr>
                <w:sz w:val="2"/>
                <w:szCs w:val="2"/>
                <w:color w:val="auto"/>
              </w:rPr>
            </w:pPr>
          </w:p>
        </w:tc>
        <w:tc>
          <w:tcPr>
            <w:tcW w:w="1060" w:type="dxa"/>
            <w:vAlign w:val="bottom"/>
            <w:tcBorders>
              <w:bottom w:val="single" w:sz="8" w:color="852166"/>
            </w:tcBorders>
          </w:tcPr>
          <w:p>
            <w:pPr>
              <w:spacing w:after="0"/>
              <w:rPr>
                <w:sz w:val="2"/>
                <w:szCs w:val="2"/>
                <w:color w:val="auto"/>
              </w:rPr>
            </w:pPr>
          </w:p>
        </w:tc>
        <w:tc>
          <w:tcPr>
            <w:tcW w:w="100" w:type="dxa"/>
            <w:vAlign w:val="bottom"/>
            <w:tcBorders>
              <w:bottom w:val="single" w:sz="8" w:color="852166"/>
            </w:tcBorders>
          </w:tcPr>
          <w:p>
            <w:pPr>
              <w:spacing w:after="0"/>
              <w:rPr>
                <w:sz w:val="2"/>
                <w:szCs w:val="2"/>
                <w:color w:val="auto"/>
              </w:rPr>
            </w:pPr>
          </w:p>
        </w:tc>
        <w:tc>
          <w:tcPr>
            <w:tcW w:w="1220" w:type="dxa"/>
            <w:vAlign w:val="bottom"/>
            <w:tcBorders>
              <w:bottom w:val="single" w:sz="8" w:color="852166"/>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Benefit Total</w:t>
            </w: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rPr>
              <w:t>7,776,287</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5,800,974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4,328,097</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2,425,191</w:t>
            </w:r>
          </w:p>
        </w:tc>
        <w:tc>
          <w:tcPr>
            <w:tcW w:w="10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852166"/>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852166"/>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852166"/>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852166"/>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852166"/>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EAEAEA"/>
            </w:tcBorders>
          </w:tcPr>
          <w:p>
            <w:pPr>
              <w:spacing w:after="0" w:line="20" w:lineRule="exact"/>
              <w:rPr>
                <w:sz w:val="1"/>
                <w:szCs w:val="1"/>
                <w:color w:val="auto"/>
              </w:rPr>
            </w:pPr>
          </w:p>
        </w:tc>
        <w:tc>
          <w:tcPr>
            <w:tcW w:w="1580" w:type="dxa"/>
            <w:vAlign w:val="bottom"/>
            <w:tcBorders>
              <w:bottom w:val="single" w:sz="8" w:color="EAEAEA"/>
            </w:tcBorders>
          </w:tcPr>
          <w:p>
            <w:pPr>
              <w:spacing w:after="0" w:line="20" w:lineRule="exact"/>
              <w:rPr>
                <w:sz w:val="1"/>
                <w:szCs w:val="1"/>
                <w:color w:val="auto"/>
              </w:rPr>
            </w:pPr>
          </w:p>
        </w:tc>
        <w:tc>
          <w:tcPr>
            <w:tcW w:w="2940" w:type="dxa"/>
            <w:vAlign w:val="bottom"/>
            <w:tcBorders>
              <w:bottom w:val="single" w:sz="8" w:color="EAEAEA"/>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1620" w:type="dxa"/>
            <w:vAlign w:val="bottom"/>
            <w:tcBorders>
              <w:bottom w:val="single" w:sz="8" w:color="852166"/>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1140" w:type="dxa"/>
            <w:vAlign w:val="bottom"/>
            <w:tcBorders>
              <w:bottom w:val="single" w:sz="8" w:color="852166"/>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1100" w:type="dxa"/>
            <w:vAlign w:val="bottom"/>
            <w:tcBorders>
              <w:bottom w:val="single" w:sz="8" w:color="852166"/>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1060" w:type="dxa"/>
            <w:vAlign w:val="bottom"/>
            <w:tcBorders>
              <w:bottom w:val="single" w:sz="8" w:color="852166"/>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1220" w:type="dxa"/>
            <w:vAlign w:val="bottom"/>
            <w:tcBorders>
              <w:bottom w:val="single" w:sz="8" w:color="85216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0" w:type="dxa"/>
            <w:vAlign w:val="bottom"/>
            <w:shd w:val="clear" w:color="auto" w:fill="EAEAEA"/>
          </w:tcPr>
          <w:p>
            <w:pPr>
              <w:spacing w:after="0"/>
              <w:rPr>
                <w:sz w:val="19"/>
                <w:szCs w:val="19"/>
                <w:color w:val="auto"/>
              </w:rPr>
            </w:pPr>
          </w:p>
        </w:tc>
        <w:tc>
          <w:tcPr>
            <w:tcW w:w="1580" w:type="dxa"/>
            <w:vAlign w:val="bottom"/>
            <w:shd w:val="clear" w:color="auto" w:fill="EAEAEA"/>
          </w:tcPr>
          <w:p>
            <w:pPr>
              <w:spacing w:after="0"/>
              <w:rPr>
                <w:sz w:val="19"/>
                <w:szCs w:val="19"/>
                <w:color w:val="auto"/>
              </w:rPr>
            </w:pPr>
          </w:p>
        </w:tc>
        <w:tc>
          <w:tcPr>
            <w:tcW w:w="2940" w:type="dxa"/>
            <w:vAlign w:val="bottom"/>
            <w:shd w:val="clear" w:color="auto" w:fill="EAEAEA"/>
          </w:tcPr>
          <w:p>
            <w:pPr>
              <w:ind w:left="20"/>
              <w:spacing w:after="0"/>
              <w:rPr>
                <w:sz w:val="20"/>
                <w:szCs w:val="20"/>
                <w:color w:val="auto"/>
              </w:rPr>
            </w:pPr>
            <w:r>
              <w:rPr>
                <w:rFonts w:ascii="Arial" w:cs="Arial" w:eastAsia="Arial" w:hAnsi="Arial"/>
                <w:sz w:val="14"/>
                <w:szCs w:val="14"/>
                <w:color w:val="auto"/>
              </w:rPr>
              <w:t>Lump Sum Cash Severance Payment</w:t>
            </w:r>
          </w:p>
        </w:tc>
        <w:tc>
          <w:tcPr>
            <w:tcW w:w="1720" w:type="dxa"/>
            <w:vAlign w:val="bottom"/>
            <w:gridSpan w:val="2"/>
            <w:shd w:val="clear" w:color="auto" w:fill="EAEAEA"/>
          </w:tcPr>
          <w:p>
            <w:pPr>
              <w:jc w:val="right"/>
              <w:spacing w:after="0"/>
              <w:rPr>
                <w:sz w:val="20"/>
                <w:szCs w:val="20"/>
                <w:color w:val="auto"/>
              </w:rPr>
            </w:pPr>
            <w:r>
              <w:rPr>
                <w:rFonts w:ascii="Arial" w:cs="Arial" w:eastAsia="Arial" w:hAnsi="Arial"/>
                <w:sz w:val="14"/>
                <w:szCs w:val="14"/>
                <w:color w:val="auto"/>
              </w:rPr>
              <w:t>3,578,839</w:t>
            </w:r>
          </w:p>
        </w:tc>
        <w:tc>
          <w:tcPr>
            <w:tcW w:w="100" w:type="dxa"/>
            <w:vAlign w:val="bottom"/>
            <w:shd w:val="clear" w:color="auto" w:fill="EAEAEA"/>
          </w:tcPr>
          <w:p>
            <w:pPr>
              <w:spacing w:after="0"/>
              <w:rPr>
                <w:sz w:val="19"/>
                <w:szCs w:val="19"/>
                <w:color w:val="auto"/>
              </w:rPr>
            </w:pPr>
          </w:p>
        </w:tc>
        <w:tc>
          <w:tcPr>
            <w:tcW w:w="1240" w:type="dxa"/>
            <w:vAlign w:val="bottom"/>
            <w:gridSpan w:val="2"/>
            <w:shd w:val="clear" w:color="auto" w:fill="EAEAEA"/>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EAEAEA"/>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EAEAEA"/>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shd w:val="clear" w:color="auto" w:fill="EAEAEA"/>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EAEAEA"/>
            </w:tcBorders>
            <w:shd w:val="clear" w:color="auto" w:fill="EAEAEA"/>
          </w:tcPr>
          <w:p>
            <w:pPr>
              <w:spacing w:after="0"/>
              <w:rPr>
                <w:sz w:val="5"/>
                <w:szCs w:val="5"/>
                <w:color w:val="auto"/>
              </w:rPr>
            </w:pPr>
          </w:p>
        </w:tc>
        <w:tc>
          <w:tcPr>
            <w:tcW w:w="1580" w:type="dxa"/>
            <w:vAlign w:val="bottom"/>
            <w:tcBorders>
              <w:bottom w:val="single" w:sz="8" w:color="EAEAEA"/>
            </w:tcBorders>
            <w:shd w:val="clear" w:color="auto" w:fill="EAEAEA"/>
          </w:tcPr>
          <w:p>
            <w:pPr>
              <w:spacing w:after="0"/>
              <w:rPr>
                <w:sz w:val="5"/>
                <w:szCs w:val="5"/>
                <w:color w:val="auto"/>
              </w:rPr>
            </w:pPr>
          </w:p>
        </w:tc>
        <w:tc>
          <w:tcPr>
            <w:tcW w:w="2940" w:type="dxa"/>
            <w:vAlign w:val="bottom"/>
            <w:tcBorders>
              <w:bottom w:val="single" w:sz="8" w:color="auto"/>
            </w:tcBorders>
            <w:shd w:val="clear" w:color="auto" w:fill="EAEAEA"/>
          </w:tcPr>
          <w:p>
            <w:pPr>
              <w:spacing w:after="0"/>
              <w:rPr>
                <w:sz w:val="5"/>
                <w:szCs w:val="5"/>
                <w:color w:val="auto"/>
              </w:rPr>
            </w:pPr>
          </w:p>
        </w:tc>
        <w:tc>
          <w:tcPr>
            <w:tcW w:w="100" w:type="dxa"/>
            <w:vAlign w:val="bottom"/>
            <w:tcBorders>
              <w:bottom w:val="single" w:sz="8" w:color="auto"/>
            </w:tcBorders>
            <w:shd w:val="clear" w:color="auto" w:fill="EAEAEA"/>
          </w:tcPr>
          <w:p>
            <w:pPr>
              <w:spacing w:after="0"/>
              <w:rPr>
                <w:sz w:val="5"/>
                <w:szCs w:val="5"/>
                <w:color w:val="auto"/>
              </w:rPr>
            </w:pPr>
          </w:p>
        </w:tc>
        <w:tc>
          <w:tcPr>
            <w:tcW w:w="1620" w:type="dxa"/>
            <w:vAlign w:val="bottom"/>
            <w:tcBorders>
              <w:bottom w:val="single" w:sz="8" w:color="auto"/>
            </w:tcBorders>
            <w:shd w:val="clear" w:color="auto" w:fill="EAEAEA"/>
          </w:tcPr>
          <w:p>
            <w:pPr>
              <w:spacing w:after="0"/>
              <w:rPr>
                <w:sz w:val="5"/>
                <w:szCs w:val="5"/>
                <w:color w:val="auto"/>
              </w:rPr>
            </w:pPr>
          </w:p>
        </w:tc>
        <w:tc>
          <w:tcPr>
            <w:tcW w:w="100" w:type="dxa"/>
            <w:vAlign w:val="bottom"/>
            <w:tcBorders>
              <w:bottom w:val="single" w:sz="8" w:color="auto"/>
            </w:tcBorders>
            <w:shd w:val="clear" w:color="auto" w:fill="EAEAEA"/>
          </w:tcPr>
          <w:p>
            <w:pPr>
              <w:spacing w:after="0"/>
              <w:rPr>
                <w:sz w:val="5"/>
                <w:szCs w:val="5"/>
                <w:color w:val="auto"/>
              </w:rPr>
            </w:pPr>
          </w:p>
        </w:tc>
        <w:tc>
          <w:tcPr>
            <w:tcW w:w="1140" w:type="dxa"/>
            <w:vAlign w:val="bottom"/>
            <w:tcBorders>
              <w:bottom w:val="single" w:sz="8" w:color="auto"/>
            </w:tcBorders>
            <w:shd w:val="clear" w:color="auto" w:fill="EAEAEA"/>
          </w:tcPr>
          <w:p>
            <w:pPr>
              <w:spacing w:after="0"/>
              <w:rPr>
                <w:sz w:val="5"/>
                <w:szCs w:val="5"/>
                <w:color w:val="auto"/>
              </w:rPr>
            </w:pPr>
          </w:p>
        </w:tc>
        <w:tc>
          <w:tcPr>
            <w:tcW w:w="100" w:type="dxa"/>
            <w:vAlign w:val="bottom"/>
            <w:tcBorders>
              <w:bottom w:val="single" w:sz="8" w:color="auto"/>
            </w:tcBorders>
            <w:shd w:val="clear" w:color="auto" w:fill="EAEAEA"/>
          </w:tcPr>
          <w:p>
            <w:pPr>
              <w:spacing w:after="0"/>
              <w:rPr>
                <w:sz w:val="5"/>
                <w:szCs w:val="5"/>
                <w:color w:val="auto"/>
              </w:rPr>
            </w:pPr>
          </w:p>
        </w:tc>
        <w:tc>
          <w:tcPr>
            <w:tcW w:w="1100" w:type="dxa"/>
            <w:vAlign w:val="bottom"/>
            <w:tcBorders>
              <w:bottom w:val="single" w:sz="8" w:color="auto"/>
            </w:tcBorders>
            <w:shd w:val="clear" w:color="auto" w:fill="EAEAEA"/>
          </w:tcPr>
          <w:p>
            <w:pPr>
              <w:spacing w:after="0"/>
              <w:rPr>
                <w:sz w:val="5"/>
                <w:szCs w:val="5"/>
                <w:color w:val="auto"/>
              </w:rPr>
            </w:pPr>
          </w:p>
        </w:tc>
        <w:tc>
          <w:tcPr>
            <w:tcW w:w="100" w:type="dxa"/>
            <w:vAlign w:val="bottom"/>
            <w:tcBorders>
              <w:bottom w:val="single" w:sz="8" w:color="auto"/>
            </w:tcBorders>
            <w:shd w:val="clear" w:color="auto" w:fill="EAEAEA"/>
          </w:tcPr>
          <w:p>
            <w:pPr>
              <w:spacing w:after="0"/>
              <w:rPr>
                <w:sz w:val="5"/>
                <w:szCs w:val="5"/>
                <w:color w:val="auto"/>
              </w:rPr>
            </w:pPr>
          </w:p>
        </w:tc>
        <w:tc>
          <w:tcPr>
            <w:tcW w:w="1060" w:type="dxa"/>
            <w:vAlign w:val="bottom"/>
            <w:tcBorders>
              <w:bottom w:val="single" w:sz="8" w:color="auto"/>
            </w:tcBorders>
            <w:shd w:val="clear" w:color="auto" w:fill="EAEAEA"/>
          </w:tcPr>
          <w:p>
            <w:pPr>
              <w:spacing w:after="0"/>
              <w:rPr>
                <w:sz w:val="5"/>
                <w:szCs w:val="5"/>
                <w:color w:val="auto"/>
              </w:rPr>
            </w:pPr>
          </w:p>
        </w:tc>
        <w:tc>
          <w:tcPr>
            <w:tcW w:w="100" w:type="dxa"/>
            <w:vAlign w:val="bottom"/>
            <w:tcBorders>
              <w:bottom w:val="single" w:sz="8" w:color="auto"/>
            </w:tcBorders>
            <w:shd w:val="clear" w:color="auto" w:fill="EAEAEA"/>
          </w:tcPr>
          <w:p>
            <w:pPr>
              <w:spacing w:after="0"/>
              <w:rPr>
                <w:sz w:val="5"/>
                <w:szCs w:val="5"/>
                <w:color w:val="auto"/>
              </w:rPr>
            </w:pPr>
          </w:p>
        </w:tc>
        <w:tc>
          <w:tcPr>
            <w:tcW w:w="1220" w:type="dxa"/>
            <w:vAlign w:val="bottom"/>
            <w:tcBorders>
              <w:bottom w:val="single" w:sz="8" w:color="auto"/>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EAEAEA"/>
          </w:tcPr>
          <w:p>
            <w:pPr>
              <w:spacing w:after="0"/>
              <w:rPr>
                <w:sz w:val="21"/>
                <w:szCs w:val="21"/>
                <w:color w:val="auto"/>
              </w:rPr>
            </w:pPr>
          </w:p>
        </w:tc>
        <w:tc>
          <w:tcPr>
            <w:tcW w:w="1580" w:type="dxa"/>
            <w:vAlign w:val="bottom"/>
            <w:vMerge w:val="restart"/>
            <w:shd w:val="clear" w:color="auto" w:fill="EAEAEA"/>
          </w:tcPr>
          <w:p>
            <w:pPr>
              <w:ind w:left="20"/>
              <w:spacing w:after="0"/>
              <w:rPr>
                <w:sz w:val="20"/>
                <w:szCs w:val="20"/>
                <w:color w:val="auto"/>
              </w:rPr>
            </w:pPr>
            <w:r>
              <w:rPr>
                <w:rFonts w:ascii="Arial" w:cs="Arial" w:eastAsia="Arial" w:hAnsi="Arial"/>
                <w:sz w:val="14"/>
                <w:szCs w:val="14"/>
                <w:b w:val="1"/>
                <w:bCs w:val="1"/>
                <w:color w:val="auto"/>
              </w:rPr>
              <w:t>Daniel N. Swisher, Jr.</w:t>
            </w:r>
          </w:p>
        </w:tc>
        <w:tc>
          <w:tcPr>
            <w:tcW w:w="2940" w:type="dxa"/>
            <w:vAlign w:val="bottom"/>
            <w:shd w:val="clear" w:color="auto" w:fill="EAEAEA"/>
          </w:tcPr>
          <w:p>
            <w:pPr>
              <w:ind w:left="20"/>
              <w:spacing w:after="0"/>
              <w:rPr>
                <w:sz w:val="20"/>
                <w:szCs w:val="20"/>
                <w:color w:val="auto"/>
              </w:rPr>
            </w:pPr>
            <w:r>
              <w:rPr>
                <w:rFonts w:ascii="Arial" w:cs="Arial" w:eastAsia="Arial" w:hAnsi="Arial"/>
                <w:sz w:val="14"/>
                <w:szCs w:val="14"/>
                <w:color w:val="auto"/>
              </w:rPr>
              <w:t>COBRA Payments</w:t>
            </w:r>
          </w:p>
        </w:tc>
        <w:tc>
          <w:tcPr>
            <w:tcW w:w="100" w:type="dxa"/>
            <w:vAlign w:val="bottom"/>
            <w:shd w:val="clear" w:color="auto" w:fill="EAEAEA"/>
          </w:tcPr>
          <w:p>
            <w:pPr>
              <w:spacing w:after="0"/>
              <w:rPr>
                <w:sz w:val="21"/>
                <w:szCs w:val="21"/>
                <w:color w:val="auto"/>
              </w:rPr>
            </w:pPr>
          </w:p>
        </w:tc>
        <w:tc>
          <w:tcPr>
            <w:tcW w:w="16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55,419</w:t>
            </w:r>
          </w:p>
        </w:tc>
        <w:tc>
          <w:tcPr>
            <w:tcW w:w="100" w:type="dxa"/>
            <w:vAlign w:val="bottom"/>
            <w:shd w:val="clear" w:color="auto" w:fill="EAEAEA"/>
          </w:tcPr>
          <w:p>
            <w:pPr>
              <w:spacing w:after="0"/>
              <w:rPr>
                <w:sz w:val="21"/>
                <w:szCs w:val="21"/>
                <w:color w:val="auto"/>
              </w:rPr>
            </w:pPr>
          </w:p>
        </w:tc>
        <w:tc>
          <w:tcPr>
            <w:tcW w:w="1240" w:type="dxa"/>
            <w:vAlign w:val="bottom"/>
            <w:gridSpan w:val="2"/>
            <w:shd w:val="clear" w:color="auto" w:fill="EAEAEA"/>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EAEAEA"/>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EAEAEA"/>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shd w:val="clear" w:color="auto" w:fill="EAEAEA"/>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EAEAEA"/>
            </w:tcBorders>
            <w:shd w:val="clear" w:color="auto" w:fill="EAEAEA"/>
          </w:tcPr>
          <w:p>
            <w:pPr>
              <w:spacing w:after="0"/>
              <w:rPr>
                <w:sz w:val="5"/>
                <w:szCs w:val="5"/>
                <w:color w:val="auto"/>
              </w:rPr>
            </w:pPr>
          </w:p>
        </w:tc>
        <w:tc>
          <w:tcPr>
            <w:tcW w:w="1580" w:type="dxa"/>
            <w:vAlign w:val="bottom"/>
            <w:tcBorders>
              <w:bottom w:val="single" w:sz="8" w:color="EAEAEA"/>
            </w:tcBorders>
            <w:vMerge w:val="continue"/>
            <w:shd w:val="clear" w:color="auto" w:fill="EAEAEA"/>
          </w:tcPr>
          <w:p>
            <w:pPr>
              <w:spacing w:after="0"/>
              <w:rPr>
                <w:sz w:val="5"/>
                <w:szCs w:val="5"/>
                <w:color w:val="auto"/>
              </w:rPr>
            </w:pPr>
          </w:p>
        </w:tc>
        <w:tc>
          <w:tcPr>
            <w:tcW w:w="2940" w:type="dxa"/>
            <w:vAlign w:val="bottom"/>
            <w:tcBorders>
              <w:bottom w:val="single" w:sz="8" w:color="auto"/>
            </w:tcBorders>
            <w:shd w:val="clear" w:color="auto" w:fill="EAEAEA"/>
          </w:tcPr>
          <w:p>
            <w:pPr>
              <w:spacing w:after="0"/>
              <w:rPr>
                <w:sz w:val="5"/>
                <w:szCs w:val="5"/>
                <w:color w:val="auto"/>
              </w:rPr>
            </w:pPr>
          </w:p>
        </w:tc>
        <w:tc>
          <w:tcPr>
            <w:tcW w:w="100" w:type="dxa"/>
            <w:vAlign w:val="bottom"/>
            <w:tcBorders>
              <w:bottom w:val="single" w:sz="8" w:color="auto"/>
            </w:tcBorders>
            <w:shd w:val="clear" w:color="auto" w:fill="EAEAEA"/>
          </w:tcPr>
          <w:p>
            <w:pPr>
              <w:spacing w:after="0"/>
              <w:rPr>
                <w:sz w:val="5"/>
                <w:szCs w:val="5"/>
                <w:color w:val="auto"/>
              </w:rPr>
            </w:pPr>
          </w:p>
        </w:tc>
        <w:tc>
          <w:tcPr>
            <w:tcW w:w="1620" w:type="dxa"/>
            <w:vAlign w:val="bottom"/>
            <w:tcBorders>
              <w:bottom w:val="single" w:sz="8" w:color="auto"/>
            </w:tcBorders>
            <w:shd w:val="clear" w:color="auto" w:fill="EAEAEA"/>
          </w:tcPr>
          <w:p>
            <w:pPr>
              <w:spacing w:after="0"/>
              <w:rPr>
                <w:sz w:val="5"/>
                <w:szCs w:val="5"/>
                <w:color w:val="auto"/>
              </w:rPr>
            </w:pPr>
          </w:p>
        </w:tc>
        <w:tc>
          <w:tcPr>
            <w:tcW w:w="100" w:type="dxa"/>
            <w:vAlign w:val="bottom"/>
            <w:tcBorders>
              <w:bottom w:val="single" w:sz="8" w:color="auto"/>
            </w:tcBorders>
            <w:shd w:val="clear" w:color="auto" w:fill="EAEAEA"/>
          </w:tcPr>
          <w:p>
            <w:pPr>
              <w:spacing w:after="0"/>
              <w:rPr>
                <w:sz w:val="5"/>
                <w:szCs w:val="5"/>
                <w:color w:val="auto"/>
              </w:rPr>
            </w:pPr>
          </w:p>
        </w:tc>
        <w:tc>
          <w:tcPr>
            <w:tcW w:w="1140" w:type="dxa"/>
            <w:vAlign w:val="bottom"/>
            <w:tcBorders>
              <w:bottom w:val="single" w:sz="8" w:color="auto"/>
            </w:tcBorders>
            <w:shd w:val="clear" w:color="auto" w:fill="EAEAEA"/>
          </w:tcPr>
          <w:p>
            <w:pPr>
              <w:spacing w:after="0"/>
              <w:rPr>
                <w:sz w:val="5"/>
                <w:szCs w:val="5"/>
                <w:color w:val="auto"/>
              </w:rPr>
            </w:pPr>
          </w:p>
        </w:tc>
        <w:tc>
          <w:tcPr>
            <w:tcW w:w="100" w:type="dxa"/>
            <w:vAlign w:val="bottom"/>
            <w:tcBorders>
              <w:bottom w:val="single" w:sz="8" w:color="auto"/>
            </w:tcBorders>
            <w:shd w:val="clear" w:color="auto" w:fill="EAEAEA"/>
          </w:tcPr>
          <w:p>
            <w:pPr>
              <w:spacing w:after="0"/>
              <w:rPr>
                <w:sz w:val="5"/>
                <w:szCs w:val="5"/>
                <w:color w:val="auto"/>
              </w:rPr>
            </w:pPr>
          </w:p>
        </w:tc>
        <w:tc>
          <w:tcPr>
            <w:tcW w:w="1100" w:type="dxa"/>
            <w:vAlign w:val="bottom"/>
            <w:tcBorders>
              <w:bottom w:val="single" w:sz="8" w:color="auto"/>
            </w:tcBorders>
            <w:shd w:val="clear" w:color="auto" w:fill="EAEAEA"/>
          </w:tcPr>
          <w:p>
            <w:pPr>
              <w:spacing w:after="0"/>
              <w:rPr>
                <w:sz w:val="5"/>
                <w:szCs w:val="5"/>
                <w:color w:val="auto"/>
              </w:rPr>
            </w:pPr>
          </w:p>
        </w:tc>
        <w:tc>
          <w:tcPr>
            <w:tcW w:w="100" w:type="dxa"/>
            <w:vAlign w:val="bottom"/>
            <w:tcBorders>
              <w:bottom w:val="single" w:sz="8" w:color="auto"/>
            </w:tcBorders>
            <w:shd w:val="clear" w:color="auto" w:fill="EAEAEA"/>
          </w:tcPr>
          <w:p>
            <w:pPr>
              <w:spacing w:after="0"/>
              <w:rPr>
                <w:sz w:val="5"/>
                <w:szCs w:val="5"/>
                <w:color w:val="auto"/>
              </w:rPr>
            </w:pPr>
          </w:p>
        </w:tc>
        <w:tc>
          <w:tcPr>
            <w:tcW w:w="1060" w:type="dxa"/>
            <w:vAlign w:val="bottom"/>
            <w:tcBorders>
              <w:bottom w:val="single" w:sz="8" w:color="auto"/>
            </w:tcBorders>
            <w:shd w:val="clear" w:color="auto" w:fill="EAEAEA"/>
          </w:tcPr>
          <w:p>
            <w:pPr>
              <w:spacing w:after="0"/>
              <w:rPr>
                <w:sz w:val="5"/>
                <w:szCs w:val="5"/>
                <w:color w:val="auto"/>
              </w:rPr>
            </w:pPr>
          </w:p>
        </w:tc>
        <w:tc>
          <w:tcPr>
            <w:tcW w:w="100" w:type="dxa"/>
            <w:vAlign w:val="bottom"/>
            <w:tcBorders>
              <w:bottom w:val="single" w:sz="8" w:color="auto"/>
            </w:tcBorders>
            <w:shd w:val="clear" w:color="auto" w:fill="EAEAEA"/>
          </w:tcPr>
          <w:p>
            <w:pPr>
              <w:spacing w:after="0"/>
              <w:rPr>
                <w:sz w:val="5"/>
                <w:szCs w:val="5"/>
                <w:color w:val="auto"/>
              </w:rPr>
            </w:pPr>
          </w:p>
        </w:tc>
        <w:tc>
          <w:tcPr>
            <w:tcW w:w="1220" w:type="dxa"/>
            <w:vAlign w:val="bottom"/>
            <w:tcBorders>
              <w:bottom w:val="single" w:sz="8" w:color="auto"/>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80" w:type="dxa"/>
            <w:vAlign w:val="bottom"/>
            <w:shd w:val="clear" w:color="auto" w:fill="EAEAEA"/>
          </w:tcPr>
          <w:p>
            <w:pPr>
              <w:spacing w:after="0"/>
              <w:rPr>
                <w:sz w:val="6"/>
                <w:szCs w:val="6"/>
                <w:color w:val="auto"/>
              </w:rPr>
            </w:pPr>
          </w:p>
        </w:tc>
        <w:tc>
          <w:tcPr>
            <w:tcW w:w="1580" w:type="dxa"/>
            <w:vAlign w:val="bottom"/>
            <w:vMerge w:val="continue"/>
            <w:shd w:val="clear" w:color="auto" w:fill="EAEAEA"/>
          </w:tcPr>
          <w:p>
            <w:pPr>
              <w:spacing w:after="0"/>
              <w:rPr>
                <w:sz w:val="6"/>
                <w:szCs w:val="6"/>
                <w:color w:val="auto"/>
              </w:rPr>
            </w:pPr>
          </w:p>
        </w:tc>
        <w:tc>
          <w:tcPr>
            <w:tcW w:w="2940" w:type="dxa"/>
            <w:vAlign w:val="bottom"/>
            <w:vMerge w:val="restart"/>
            <w:shd w:val="clear" w:color="auto" w:fill="EAEAEA"/>
          </w:tcPr>
          <w:p>
            <w:pPr>
              <w:ind w:left="20"/>
              <w:spacing w:after="0"/>
              <w:rPr>
                <w:sz w:val="20"/>
                <w:szCs w:val="20"/>
                <w:color w:val="auto"/>
              </w:rPr>
            </w:pPr>
            <w:r>
              <w:rPr>
                <w:rFonts w:ascii="Arial" w:cs="Arial" w:eastAsia="Arial" w:hAnsi="Arial"/>
                <w:sz w:val="14"/>
                <w:szCs w:val="14"/>
                <w:color w:val="auto"/>
              </w:rPr>
              <w:t>Vesting Acceleration</w:t>
            </w:r>
            <w:r>
              <w:rPr>
                <w:rFonts w:ascii="Arial" w:cs="Arial" w:eastAsia="Arial" w:hAnsi="Arial"/>
                <w:sz w:val="18"/>
                <w:szCs w:val="18"/>
                <w:color w:val="auto"/>
                <w:vertAlign w:val="superscript"/>
              </w:rPr>
              <w:t>(6)</w:t>
            </w:r>
          </w:p>
        </w:tc>
        <w:tc>
          <w:tcPr>
            <w:tcW w:w="100" w:type="dxa"/>
            <w:vAlign w:val="bottom"/>
            <w:shd w:val="clear" w:color="auto" w:fill="EAEAEA"/>
          </w:tcPr>
          <w:p>
            <w:pPr>
              <w:spacing w:after="0"/>
              <w:rPr>
                <w:sz w:val="6"/>
                <w:szCs w:val="6"/>
                <w:color w:val="auto"/>
              </w:rPr>
            </w:pPr>
          </w:p>
        </w:tc>
        <w:tc>
          <w:tcPr>
            <w:tcW w:w="1620" w:type="dxa"/>
            <w:vAlign w:val="bottom"/>
            <w:vMerge w:val="restart"/>
            <w:shd w:val="clear" w:color="auto" w:fill="EAEAEA"/>
          </w:tcPr>
          <w:p>
            <w:pPr>
              <w:jc w:val="right"/>
              <w:spacing w:after="0"/>
              <w:rPr>
                <w:sz w:val="20"/>
                <w:szCs w:val="20"/>
                <w:color w:val="auto"/>
              </w:rPr>
            </w:pPr>
            <w:r>
              <w:rPr>
                <w:rFonts w:ascii="Arial" w:cs="Arial" w:eastAsia="Arial" w:hAnsi="Arial"/>
                <w:sz w:val="14"/>
                <w:szCs w:val="14"/>
                <w:color w:val="auto"/>
              </w:rPr>
              <w:t>8,664,172</w:t>
            </w:r>
          </w:p>
        </w:tc>
        <w:tc>
          <w:tcPr>
            <w:tcW w:w="1240" w:type="dxa"/>
            <w:vAlign w:val="bottom"/>
            <w:gridSpan w:val="2"/>
            <w:vMerge w:val="restart"/>
            <w:shd w:val="clear" w:color="auto" w:fill="EAEAEA"/>
          </w:tcPr>
          <w:p>
            <w:pPr>
              <w:jc w:val="right"/>
              <w:spacing w:after="0"/>
              <w:rPr>
                <w:sz w:val="20"/>
                <w:szCs w:val="20"/>
                <w:color w:val="auto"/>
              </w:rPr>
            </w:pPr>
            <w:r>
              <w:rPr>
                <w:rFonts w:ascii="Arial" w:cs="Arial" w:eastAsia="Arial" w:hAnsi="Arial"/>
                <w:sz w:val="14"/>
                <w:szCs w:val="14"/>
                <w:color w:val="auto"/>
              </w:rPr>
              <w:t>8,664,171</w:t>
            </w:r>
          </w:p>
        </w:tc>
        <w:tc>
          <w:tcPr>
            <w:tcW w:w="100" w:type="dxa"/>
            <w:vAlign w:val="bottom"/>
            <w:shd w:val="clear" w:color="auto" w:fill="EAEAEA"/>
          </w:tcPr>
          <w:p>
            <w:pPr>
              <w:spacing w:after="0"/>
              <w:rPr>
                <w:sz w:val="6"/>
                <w:szCs w:val="6"/>
                <w:color w:val="auto"/>
              </w:rPr>
            </w:pPr>
          </w:p>
        </w:tc>
        <w:tc>
          <w:tcPr>
            <w:tcW w:w="1100" w:type="dxa"/>
            <w:vAlign w:val="bottom"/>
            <w:vMerge w:val="restart"/>
            <w:shd w:val="clear" w:color="auto" w:fill="EAEAEA"/>
          </w:tcPr>
          <w:p>
            <w:pPr>
              <w:jc w:val="right"/>
              <w:spacing w:after="0"/>
              <w:rPr>
                <w:sz w:val="20"/>
                <w:szCs w:val="20"/>
                <w:color w:val="auto"/>
              </w:rPr>
            </w:pPr>
            <w:r>
              <w:rPr>
                <w:rFonts w:ascii="Arial" w:cs="Arial" w:eastAsia="Arial" w:hAnsi="Arial"/>
                <w:sz w:val="14"/>
                <w:szCs w:val="14"/>
                <w:color w:val="auto"/>
              </w:rPr>
              <w:t>6,482,358</w:t>
            </w:r>
          </w:p>
        </w:tc>
        <w:tc>
          <w:tcPr>
            <w:tcW w:w="100" w:type="dxa"/>
            <w:vAlign w:val="bottom"/>
            <w:shd w:val="clear" w:color="auto" w:fill="EAEAEA"/>
          </w:tcPr>
          <w:p>
            <w:pPr>
              <w:spacing w:after="0"/>
              <w:rPr>
                <w:sz w:val="6"/>
                <w:szCs w:val="6"/>
                <w:color w:val="auto"/>
              </w:rPr>
            </w:pPr>
          </w:p>
        </w:tc>
        <w:tc>
          <w:tcPr>
            <w:tcW w:w="1060" w:type="dxa"/>
            <w:vAlign w:val="bottom"/>
            <w:vMerge w:val="restart"/>
            <w:shd w:val="clear" w:color="auto" w:fill="EAEAEA"/>
          </w:tcPr>
          <w:p>
            <w:pPr>
              <w:jc w:val="right"/>
              <w:spacing w:after="0"/>
              <w:rPr>
                <w:sz w:val="20"/>
                <w:szCs w:val="20"/>
                <w:color w:val="auto"/>
              </w:rPr>
            </w:pPr>
            <w:r>
              <w:rPr>
                <w:rFonts w:ascii="Arial" w:cs="Arial" w:eastAsia="Arial" w:hAnsi="Arial"/>
                <w:sz w:val="14"/>
                <w:szCs w:val="14"/>
                <w:color w:val="auto"/>
              </w:rPr>
              <w:t>3,584,466</w:t>
            </w:r>
          </w:p>
        </w:tc>
        <w:tc>
          <w:tcPr>
            <w:tcW w:w="100" w:type="dxa"/>
            <w:vAlign w:val="bottom"/>
            <w:shd w:val="clear" w:color="auto" w:fill="EAEAEA"/>
          </w:tcPr>
          <w:p>
            <w:pPr>
              <w:spacing w:after="0"/>
              <w:rPr>
                <w:sz w:val="6"/>
                <w:szCs w:val="6"/>
                <w:color w:val="auto"/>
              </w:rPr>
            </w:pPr>
          </w:p>
        </w:tc>
        <w:tc>
          <w:tcPr>
            <w:tcW w:w="1220" w:type="dxa"/>
            <w:vAlign w:val="bottom"/>
            <w:vMerge w:val="restart"/>
            <w:shd w:val="clear" w:color="auto" w:fill="EAEAEA"/>
          </w:tcPr>
          <w:p>
            <w:pPr>
              <w:jc w:val="right"/>
              <w:ind w:right="48"/>
              <w:spacing w:after="0"/>
              <w:rPr>
                <w:sz w:val="20"/>
                <w:szCs w:val="20"/>
                <w:color w:val="auto"/>
              </w:rPr>
            </w:pPr>
            <w:r>
              <w:rPr>
                <w:rFonts w:ascii="Arial" w:cs="Arial" w:eastAsia="Arial" w:hAnsi="Arial"/>
                <w:sz w:val="14"/>
                <w:szCs w:val="14"/>
                <w:color w:val="auto"/>
              </w:rPr>
              <w:t>2,091,984</w:t>
            </w:r>
          </w:p>
        </w:tc>
        <w:tc>
          <w:tcPr>
            <w:tcW w:w="0" w:type="dxa"/>
            <w:vAlign w:val="bottom"/>
          </w:tcPr>
          <w:p>
            <w:pPr>
              <w:spacing w:after="0"/>
              <w:rPr>
                <w:sz w:val="1"/>
                <w:szCs w:val="1"/>
                <w:color w:val="auto"/>
              </w:rPr>
            </w:pPr>
          </w:p>
        </w:tc>
      </w:tr>
      <w:tr>
        <w:trPr>
          <w:trHeight w:val="232"/>
        </w:trPr>
        <w:tc>
          <w:tcPr>
            <w:tcW w:w="80" w:type="dxa"/>
            <w:vAlign w:val="bottom"/>
            <w:tcBorders>
              <w:bottom w:val="single" w:sz="8" w:color="EAEAEA"/>
            </w:tcBorders>
            <w:shd w:val="clear" w:color="auto" w:fill="EAEAEA"/>
          </w:tcPr>
          <w:p>
            <w:pPr>
              <w:spacing w:after="0"/>
              <w:rPr>
                <w:sz w:val="20"/>
                <w:szCs w:val="20"/>
                <w:color w:val="auto"/>
              </w:rPr>
            </w:pPr>
          </w:p>
        </w:tc>
        <w:tc>
          <w:tcPr>
            <w:tcW w:w="1580" w:type="dxa"/>
            <w:vAlign w:val="bottom"/>
            <w:tcBorders>
              <w:bottom w:val="single" w:sz="8" w:color="EAEAEA"/>
            </w:tcBorders>
            <w:shd w:val="clear" w:color="auto" w:fill="EAEAEA"/>
          </w:tcPr>
          <w:p>
            <w:pPr>
              <w:spacing w:after="0"/>
              <w:rPr>
                <w:sz w:val="20"/>
                <w:szCs w:val="20"/>
                <w:color w:val="auto"/>
              </w:rPr>
            </w:pPr>
          </w:p>
        </w:tc>
        <w:tc>
          <w:tcPr>
            <w:tcW w:w="2940" w:type="dxa"/>
            <w:vAlign w:val="bottom"/>
            <w:tcBorders>
              <w:bottom w:val="single" w:sz="8" w:color="EAEAEA"/>
            </w:tcBorders>
            <w:vMerge w:val="continue"/>
            <w:shd w:val="clear" w:color="auto" w:fill="EAEAEA"/>
          </w:tcPr>
          <w:p>
            <w:pPr>
              <w:spacing w:after="0"/>
              <w:rPr>
                <w:sz w:val="20"/>
                <w:szCs w:val="20"/>
                <w:color w:val="auto"/>
              </w:rPr>
            </w:pPr>
          </w:p>
        </w:tc>
        <w:tc>
          <w:tcPr>
            <w:tcW w:w="100" w:type="dxa"/>
            <w:vAlign w:val="bottom"/>
            <w:tcBorders>
              <w:bottom w:val="single" w:sz="8" w:color="EAEAEA"/>
            </w:tcBorders>
            <w:shd w:val="clear" w:color="auto" w:fill="EAEAEA"/>
          </w:tcPr>
          <w:p>
            <w:pPr>
              <w:spacing w:after="0"/>
              <w:rPr>
                <w:sz w:val="20"/>
                <w:szCs w:val="20"/>
                <w:color w:val="auto"/>
              </w:rPr>
            </w:pPr>
          </w:p>
        </w:tc>
        <w:tc>
          <w:tcPr>
            <w:tcW w:w="1620" w:type="dxa"/>
            <w:vAlign w:val="bottom"/>
            <w:tcBorders>
              <w:bottom w:val="single" w:sz="8" w:color="EAEAEA"/>
            </w:tcBorders>
            <w:vMerge w:val="continue"/>
            <w:shd w:val="clear" w:color="auto" w:fill="EAEAEA"/>
          </w:tcPr>
          <w:p>
            <w:pPr>
              <w:spacing w:after="0"/>
              <w:rPr>
                <w:sz w:val="20"/>
                <w:szCs w:val="20"/>
                <w:color w:val="auto"/>
              </w:rPr>
            </w:pPr>
          </w:p>
        </w:tc>
        <w:tc>
          <w:tcPr>
            <w:tcW w:w="1240" w:type="dxa"/>
            <w:vAlign w:val="bottom"/>
            <w:tcBorders>
              <w:bottom w:val="single" w:sz="8" w:color="EAEAEA"/>
            </w:tcBorders>
            <w:gridSpan w:val="2"/>
            <w:vMerge w:val="continue"/>
            <w:shd w:val="clear" w:color="auto" w:fill="EAEAEA"/>
          </w:tcPr>
          <w:p>
            <w:pPr>
              <w:spacing w:after="0"/>
              <w:rPr>
                <w:sz w:val="20"/>
                <w:szCs w:val="20"/>
                <w:color w:val="auto"/>
              </w:rPr>
            </w:pPr>
          </w:p>
        </w:tc>
        <w:tc>
          <w:tcPr>
            <w:tcW w:w="100" w:type="dxa"/>
            <w:vAlign w:val="bottom"/>
            <w:tcBorders>
              <w:bottom w:val="single" w:sz="8" w:color="EAEAEA"/>
            </w:tcBorders>
            <w:shd w:val="clear" w:color="auto" w:fill="EAEAEA"/>
          </w:tcPr>
          <w:p>
            <w:pPr>
              <w:spacing w:after="0"/>
              <w:rPr>
                <w:sz w:val="20"/>
                <w:szCs w:val="20"/>
                <w:color w:val="auto"/>
              </w:rPr>
            </w:pPr>
          </w:p>
        </w:tc>
        <w:tc>
          <w:tcPr>
            <w:tcW w:w="1100" w:type="dxa"/>
            <w:vAlign w:val="bottom"/>
            <w:tcBorders>
              <w:bottom w:val="single" w:sz="8" w:color="EAEAEA"/>
            </w:tcBorders>
            <w:vMerge w:val="continue"/>
            <w:shd w:val="clear" w:color="auto" w:fill="EAEAEA"/>
          </w:tcPr>
          <w:p>
            <w:pPr>
              <w:spacing w:after="0"/>
              <w:rPr>
                <w:sz w:val="20"/>
                <w:szCs w:val="20"/>
                <w:color w:val="auto"/>
              </w:rPr>
            </w:pPr>
          </w:p>
        </w:tc>
        <w:tc>
          <w:tcPr>
            <w:tcW w:w="100" w:type="dxa"/>
            <w:vAlign w:val="bottom"/>
            <w:tcBorders>
              <w:bottom w:val="single" w:sz="8" w:color="EAEAEA"/>
            </w:tcBorders>
            <w:shd w:val="clear" w:color="auto" w:fill="EAEAEA"/>
          </w:tcPr>
          <w:p>
            <w:pPr>
              <w:spacing w:after="0"/>
              <w:rPr>
                <w:sz w:val="20"/>
                <w:szCs w:val="20"/>
                <w:color w:val="auto"/>
              </w:rPr>
            </w:pPr>
          </w:p>
        </w:tc>
        <w:tc>
          <w:tcPr>
            <w:tcW w:w="1060" w:type="dxa"/>
            <w:vAlign w:val="bottom"/>
            <w:tcBorders>
              <w:bottom w:val="single" w:sz="8" w:color="EAEAEA"/>
            </w:tcBorders>
            <w:vMerge w:val="continue"/>
            <w:shd w:val="clear" w:color="auto" w:fill="EAEAEA"/>
          </w:tcPr>
          <w:p>
            <w:pPr>
              <w:spacing w:after="0"/>
              <w:rPr>
                <w:sz w:val="20"/>
                <w:szCs w:val="20"/>
                <w:color w:val="auto"/>
              </w:rPr>
            </w:pPr>
          </w:p>
        </w:tc>
        <w:tc>
          <w:tcPr>
            <w:tcW w:w="100" w:type="dxa"/>
            <w:vAlign w:val="bottom"/>
            <w:tcBorders>
              <w:bottom w:val="single" w:sz="8" w:color="EAEAEA"/>
            </w:tcBorders>
            <w:shd w:val="clear" w:color="auto" w:fill="EAEAEA"/>
          </w:tcPr>
          <w:p>
            <w:pPr>
              <w:spacing w:after="0"/>
              <w:rPr>
                <w:sz w:val="20"/>
                <w:szCs w:val="20"/>
                <w:color w:val="auto"/>
              </w:rPr>
            </w:pPr>
          </w:p>
        </w:tc>
        <w:tc>
          <w:tcPr>
            <w:tcW w:w="1220" w:type="dxa"/>
            <w:vAlign w:val="bottom"/>
            <w:tcBorders>
              <w:bottom w:val="single" w:sz="8" w:color="EAEAEA"/>
            </w:tcBorders>
            <w:vMerge w:val="continue"/>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80" w:type="dxa"/>
            <w:vAlign w:val="bottom"/>
            <w:tcBorders>
              <w:top w:val="single" w:sz="8" w:color="EAEAEA"/>
              <w:bottom w:val="single" w:sz="8" w:color="EAEAEA"/>
            </w:tcBorders>
            <w:shd w:val="clear" w:color="auto" w:fill="EAEAEA"/>
          </w:tcPr>
          <w:p>
            <w:pPr>
              <w:spacing w:after="0"/>
              <w:rPr>
                <w:sz w:val="24"/>
                <w:szCs w:val="24"/>
                <w:color w:val="auto"/>
              </w:rPr>
            </w:pPr>
          </w:p>
        </w:tc>
        <w:tc>
          <w:tcPr>
            <w:tcW w:w="1580" w:type="dxa"/>
            <w:vAlign w:val="bottom"/>
            <w:tcBorders>
              <w:top w:val="single" w:sz="8" w:color="EAEAEA"/>
              <w:bottom w:val="single" w:sz="8" w:color="EAEAEA"/>
            </w:tcBorders>
            <w:shd w:val="clear" w:color="auto" w:fill="EAEAEA"/>
          </w:tcPr>
          <w:p>
            <w:pPr>
              <w:spacing w:after="0"/>
              <w:rPr>
                <w:sz w:val="24"/>
                <w:szCs w:val="24"/>
                <w:color w:val="auto"/>
              </w:rPr>
            </w:pPr>
          </w:p>
        </w:tc>
        <w:tc>
          <w:tcPr>
            <w:tcW w:w="2940" w:type="dxa"/>
            <w:vAlign w:val="bottom"/>
            <w:tcBorders>
              <w:top w:val="single" w:sz="8" w:color="852166"/>
              <w:bottom w:val="single" w:sz="8" w:color="EAEAEA"/>
            </w:tcBorders>
            <w:shd w:val="clear" w:color="auto" w:fill="EAEAEA"/>
          </w:tcPr>
          <w:p>
            <w:pPr>
              <w:ind w:left="20"/>
              <w:spacing w:after="0"/>
              <w:rPr>
                <w:sz w:val="20"/>
                <w:szCs w:val="20"/>
                <w:color w:val="auto"/>
              </w:rPr>
            </w:pPr>
            <w:r>
              <w:rPr>
                <w:rFonts w:ascii="Arial" w:cs="Arial" w:eastAsia="Arial" w:hAnsi="Arial"/>
                <w:sz w:val="14"/>
                <w:szCs w:val="14"/>
                <w:b w:val="1"/>
                <w:bCs w:val="1"/>
                <w:color w:val="auto"/>
              </w:rPr>
              <w:t>Benefit Total</w:t>
            </w:r>
          </w:p>
        </w:tc>
        <w:tc>
          <w:tcPr>
            <w:tcW w:w="100" w:type="dxa"/>
            <w:vAlign w:val="bottom"/>
            <w:tcBorders>
              <w:top w:val="single" w:sz="8" w:color="852166"/>
              <w:bottom w:val="single" w:sz="8" w:color="EAEAEA"/>
            </w:tcBorders>
            <w:shd w:val="clear" w:color="auto" w:fill="EAEAEA"/>
          </w:tcPr>
          <w:p>
            <w:pPr>
              <w:spacing w:after="0"/>
              <w:rPr>
                <w:sz w:val="24"/>
                <w:szCs w:val="24"/>
                <w:color w:val="auto"/>
              </w:rPr>
            </w:pPr>
          </w:p>
        </w:tc>
        <w:tc>
          <w:tcPr>
            <w:tcW w:w="1620" w:type="dxa"/>
            <w:vAlign w:val="bottom"/>
            <w:tcBorders>
              <w:top w:val="single" w:sz="8" w:color="852166"/>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auto"/>
              </w:rPr>
              <w:t>12,298,430</w:t>
            </w:r>
          </w:p>
        </w:tc>
        <w:tc>
          <w:tcPr>
            <w:tcW w:w="1240" w:type="dxa"/>
            <w:vAlign w:val="bottom"/>
            <w:tcBorders>
              <w:top w:val="single" w:sz="8" w:color="852166"/>
              <w:bottom w:val="single" w:sz="8" w:color="EAEAEA"/>
            </w:tcBorders>
            <w:gridSpan w:val="2"/>
            <w:shd w:val="clear" w:color="auto" w:fill="EAEAEA"/>
          </w:tcPr>
          <w:p>
            <w:pPr>
              <w:jc w:val="right"/>
              <w:spacing w:after="0"/>
              <w:rPr>
                <w:sz w:val="20"/>
                <w:szCs w:val="20"/>
                <w:color w:val="auto"/>
              </w:rPr>
            </w:pPr>
            <w:r>
              <w:rPr>
                <w:rFonts w:ascii="Arial" w:cs="Arial" w:eastAsia="Arial" w:hAnsi="Arial"/>
                <w:sz w:val="14"/>
                <w:szCs w:val="14"/>
                <w:b w:val="1"/>
                <w:bCs w:val="1"/>
                <w:color w:val="auto"/>
              </w:rPr>
              <w:t>8,664,171</w:t>
            </w:r>
          </w:p>
        </w:tc>
        <w:tc>
          <w:tcPr>
            <w:tcW w:w="100" w:type="dxa"/>
            <w:vAlign w:val="bottom"/>
            <w:tcBorders>
              <w:top w:val="single" w:sz="8" w:color="852166"/>
              <w:bottom w:val="single" w:sz="8" w:color="EAEAEA"/>
            </w:tcBorders>
            <w:shd w:val="clear" w:color="auto" w:fill="EAEAEA"/>
          </w:tcPr>
          <w:p>
            <w:pPr>
              <w:spacing w:after="0"/>
              <w:rPr>
                <w:sz w:val="24"/>
                <w:szCs w:val="24"/>
                <w:color w:val="auto"/>
              </w:rPr>
            </w:pPr>
          </w:p>
        </w:tc>
        <w:tc>
          <w:tcPr>
            <w:tcW w:w="1100" w:type="dxa"/>
            <w:vAlign w:val="bottom"/>
            <w:tcBorders>
              <w:top w:val="single" w:sz="8" w:color="852166"/>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auto"/>
              </w:rPr>
              <w:t>6,482,358</w:t>
            </w:r>
          </w:p>
        </w:tc>
        <w:tc>
          <w:tcPr>
            <w:tcW w:w="100" w:type="dxa"/>
            <w:vAlign w:val="bottom"/>
            <w:tcBorders>
              <w:top w:val="single" w:sz="8" w:color="852166"/>
              <w:bottom w:val="single" w:sz="8" w:color="EAEAEA"/>
            </w:tcBorders>
            <w:shd w:val="clear" w:color="auto" w:fill="EAEAEA"/>
          </w:tcPr>
          <w:p>
            <w:pPr>
              <w:spacing w:after="0"/>
              <w:rPr>
                <w:sz w:val="24"/>
                <w:szCs w:val="24"/>
                <w:color w:val="auto"/>
              </w:rPr>
            </w:pPr>
          </w:p>
        </w:tc>
        <w:tc>
          <w:tcPr>
            <w:tcW w:w="1060" w:type="dxa"/>
            <w:vAlign w:val="bottom"/>
            <w:tcBorders>
              <w:top w:val="single" w:sz="8" w:color="852166"/>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auto"/>
              </w:rPr>
              <w:t>3,584,466</w:t>
            </w:r>
          </w:p>
        </w:tc>
        <w:tc>
          <w:tcPr>
            <w:tcW w:w="100" w:type="dxa"/>
            <w:vAlign w:val="bottom"/>
            <w:tcBorders>
              <w:top w:val="single" w:sz="8" w:color="852166"/>
              <w:bottom w:val="single" w:sz="8" w:color="EAEAEA"/>
            </w:tcBorders>
            <w:shd w:val="clear" w:color="auto" w:fill="EAEAEA"/>
          </w:tcPr>
          <w:p>
            <w:pPr>
              <w:spacing w:after="0"/>
              <w:rPr>
                <w:sz w:val="24"/>
                <w:szCs w:val="24"/>
                <w:color w:val="auto"/>
              </w:rPr>
            </w:pPr>
          </w:p>
        </w:tc>
        <w:tc>
          <w:tcPr>
            <w:tcW w:w="1220" w:type="dxa"/>
            <w:vAlign w:val="bottom"/>
            <w:tcBorders>
              <w:top w:val="single" w:sz="8" w:color="852166"/>
              <w:bottom w:val="single" w:sz="8" w:color="EAEAEA"/>
            </w:tcBorders>
            <w:shd w:val="clear" w:color="auto" w:fill="EAEAEA"/>
          </w:tcPr>
          <w:p>
            <w:pPr>
              <w:jc w:val="right"/>
              <w:ind w:right="48"/>
              <w:spacing w:after="0"/>
              <w:rPr>
                <w:sz w:val="20"/>
                <w:szCs w:val="20"/>
                <w:color w:val="auto"/>
              </w:rPr>
            </w:pPr>
            <w:r>
              <w:rPr>
                <w:rFonts w:ascii="Arial" w:cs="Arial" w:eastAsia="Arial" w:hAnsi="Arial"/>
                <w:sz w:val="14"/>
                <w:szCs w:val="14"/>
                <w:b w:val="1"/>
                <w:bCs w:val="1"/>
                <w:color w:val="auto"/>
              </w:rPr>
              <w:t>2,091,984</w:t>
            </w:r>
          </w:p>
        </w:tc>
        <w:tc>
          <w:tcPr>
            <w:tcW w:w="0" w:type="dxa"/>
            <w:vAlign w:val="bottom"/>
          </w:tcPr>
          <w:p>
            <w:pPr>
              <w:spacing w:after="0"/>
              <w:rPr>
                <w:sz w:val="1"/>
                <w:szCs w:val="1"/>
                <w:color w:val="auto"/>
              </w:rPr>
            </w:pPr>
          </w:p>
        </w:tc>
      </w:tr>
      <w:tr>
        <w:trPr>
          <w:trHeight w:val="20"/>
        </w:trPr>
        <w:tc>
          <w:tcPr>
            <w:tcW w:w="80" w:type="dxa"/>
            <w:vAlign w:val="bottom"/>
            <w:tcBorders>
              <w:top w:val="single" w:sz="8" w:color="EAEAEA"/>
            </w:tcBorders>
          </w:tcPr>
          <w:p>
            <w:pPr>
              <w:spacing w:after="0" w:line="20" w:lineRule="exact"/>
              <w:rPr>
                <w:sz w:val="1"/>
                <w:szCs w:val="1"/>
                <w:color w:val="auto"/>
              </w:rPr>
            </w:pPr>
          </w:p>
        </w:tc>
        <w:tc>
          <w:tcPr>
            <w:tcW w:w="1580" w:type="dxa"/>
            <w:vAlign w:val="bottom"/>
            <w:tcBorders>
              <w:top w:val="single" w:sz="8" w:color="EAEAEA"/>
            </w:tcBorders>
          </w:tcPr>
          <w:p>
            <w:pPr>
              <w:spacing w:after="0" w:line="20" w:lineRule="exact"/>
              <w:rPr>
                <w:sz w:val="1"/>
                <w:szCs w:val="1"/>
                <w:color w:val="auto"/>
              </w:rPr>
            </w:pPr>
          </w:p>
        </w:tc>
        <w:tc>
          <w:tcPr>
            <w:tcW w:w="2940" w:type="dxa"/>
            <w:vAlign w:val="bottom"/>
            <w:tcBorders>
              <w:top w:val="single" w:sz="8" w:color="EAEAEA"/>
              <w:bottom w:val="single" w:sz="8" w:color="EAEAEA"/>
            </w:tcBorders>
            <w:vMerge w:val="restart"/>
          </w:tcPr>
          <w:p>
            <w:pPr>
              <w:ind w:left="20"/>
              <w:spacing w:after="0"/>
              <w:rPr>
                <w:sz w:val="20"/>
                <w:szCs w:val="20"/>
                <w:color w:val="auto"/>
              </w:rPr>
            </w:pPr>
            <w:r>
              <w:rPr>
                <w:rFonts w:ascii="Arial" w:cs="Arial" w:eastAsia="Arial" w:hAnsi="Arial"/>
                <w:sz w:val="14"/>
                <w:szCs w:val="14"/>
                <w:color w:val="auto"/>
              </w:rPr>
              <w:t>Lump Sum Cash Severance Payment</w:t>
            </w:r>
          </w:p>
        </w:tc>
        <w:tc>
          <w:tcPr>
            <w:tcW w:w="100" w:type="dxa"/>
            <w:vAlign w:val="bottom"/>
            <w:tcBorders>
              <w:top w:val="single" w:sz="8" w:color="EAEAEA"/>
            </w:tcBorders>
          </w:tcPr>
          <w:p>
            <w:pPr>
              <w:spacing w:after="0" w:line="20" w:lineRule="exact"/>
              <w:rPr>
                <w:sz w:val="1"/>
                <w:szCs w:val="1"/>
                <w:color w:val="auto"/>
              </w:rPr>
            </w:pPr>
          </w:p>
        </w:tc>
        <w:tc>
          <w:tcPr>
            <w:tcW w:w="1620" w:type="dxa"/>
            <w:vAlign w:val="bottom"/>
            <w:tcBorders>
              <w:top w:val="single" w:sz="8" w:color="852166"/>
              <w:bottom w:val="single" w:sz="8" w:color="852166"/>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140" w:type="dxa"/>
            <w:vAlign w:val="bottom"/>
            <w:tcBorders>
              <w:top w:val="single" w:sz="8" w:color="852166"/>
              <w:bottom w:val="single" w:sz="8" w:color="852166"/>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100" w:type="dxa"/>
            <w:vAlign w:val="bottom"/>
            <w:tcBorders>
              <w:top w:val="single" w:sz="8" w:color="852166"/>
              <w:bottom w:val="single" w:sz="8" w:color="852166"/>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060" w:type="dxa"/>
            <w:vAlign w:val="bottom"/>
            <w:tcBorders>
              <w:top w:val="single" w:sz="8" w:color="852166"/>
              <w:bottom w:val="single" w:sz="8" w:color="852166"/>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220" w:type="dxa"/>
            <w:vAlign w:val="bottom"/>
            <w:tcBorders>
              <w:top w:val="single" w:sz="8" w:color="852166"/>
              <w:bottom w:val="single" w:sz="8" w:color="85216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940" w:type="dxa"/>
            <w:vAlign w:val="bottom"/>
            <w:vMerge w:val="continue"/>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1,901,042</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9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gridSpan w:val="2"/>
          </w:tcPr>
          <w:p>
            <w:pPr>
              <w:spacing w:after="0"/>
              <w:rPr>
                <w:sz w:val="5"/>
                <w:szCs w:val="5"/>
                <w:color w:val="auto"/>
              </w:rPr>
            </w:pPr>
          </w:p>
        </w:tc>
        <w:tc>
          <w:tcPr>
            <w:tcW w:w="1200" w:type="dxa"/>
            <w:vAlign w:val="bottom"/>
            <w:tcBorders>
              <w:bottom w:val="single" w:sz="8" w:color="auto"/>
            </w:tcBorders>
            <w:gridSpan w:val="2"/>
          </w:tcPr>
          <w:p>
            <w:pPr>
              <w:spacing w:after="0"/>
              <w:rPr>
                <w:sz w:val="5"/>
                <w:szCs w:val="5"/>
                <w:color w:val="auto"/>
              </w:rPr>
            </w:pPr>
          </w:p>
        </w:tc>
        <w:tc>
          <w:tcPr>
            <w:tcW w:w="1160" w:type="dxa"/>
            <w:vAlign w:val="bottom"/>
            <w:tcBorders>
              <w:bottom w:val="single" w:sz="8" w:color="auto"/>
            </w:tcBorders>
            <w:gridSpan w:val="2"/>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1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Kim Sablich</w:t>
            </w:r>
          </w:p>
        </w:tc>
        <w:tc>
          <w:tcPr>
            <w:tcW w:w="2940" w:type="dxa"/>
            <w:vAlign w:val="bottom"/>
          </w:tcPr>
          <w:p>
            <w:pPr>
              <w:ind w:left="20"/>
              <w:spacing w:after="0"/>
              <w:rPr>
                <w:sz w:val="20"/>
                <w:szCs w:val="20"/>
                <w:color w:val="auto"/>
              </w:rPr>
            </w:pPr>
            <w:r>
              <w:rPr>
                <w:rFonts w:ascii="Arial" w:cs="Arial" w:eastAsia="Arial" w:hAnsi="Arial"/>
                <w:sz w:val="14"/>
                <w:szCs w:val="14"/>
                <w:color w:val="auto"/>
              </w:rPr>
              <w:t>Cobra Payments</w:t>
            </w: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58,973</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2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2940" w:type="dxa"/>
            <w:vAlign w:val="bottom"/>
            <w:vMerge w:val="restart"/>
          </w:tcPr>
          <w:p>
            <w:pPr>
              <w:ind w:left="20"/>
              <w:spacing w:after="0"/>
              <w:rPr>
                <w:sz w:val="20"/>
                <w:szCs w:val="20"/>
                <w:color w:val="auto"/>
              </w:rPr>
            </w:pPr>
            <w:r>
              <w:rPr>
                <w:rFonts w:ascii="Arial" w:cs="Arial" w:eastAsia="Arial" w:hAnsi="Arial"/>
                <w:sz w:val="14"/>
                <w:szCs w:val="14"/>
                <w:color w:val="auto"/>
              </w:rPr>
              <w:t>Vesting Acceleration</w:t>
            </w:r>
            <w:r>
              <w:rPr>
                <w:rFonts w:ascii="Arial" w:cs="Arial" w:eastAsia="Arial" w:hAnsi="Arial"/>
                <w:sz w:val="18"/>
                <w:szCs w:val="18"/>
                <w:color w:val="auto"/>
                <w:vertAlign w:val="superscript"/>
              </w:rPr>
              <w:t>(6)</w:t>
            </w:r>
          </w:p>
        </w:tc>
        <w:tc>
          <w:tcPr>
            <w:tcW w:w="1720" w:type="dxa"/>
            <w:vAlign w:val="bottom"/>
            <w:gridSpan w:val="2"/>
            <w:vMerge w:val="restart"/>
          </w:tcPr>
          <w:p>
            <w:pPr>
              <w:jc w:val="right"/>
              <w:spacing w:after="0"/>
              <w:rPr>
                <w:sz w:val="20"/>
                <w:szCs w:val="20"/>
                <w:color w:val="auto"/>
              </w:rPr>
            </w:pPr>
            <w:r>
              <w:rPr>
                <w:rFonts w:ascii="Arial" w:cs="Arial" w:eastAsia="Arial" w:hAnsi="Arial"/>
                <w:sz w:val="14"/>
                <w:szCs w:val="14"/>
                <w:color w:val="auto"/>
              </w:rPr>
              <w:t>6,755,401</w:t>
            </w: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color w:val="auto"/>
              </w:rPr>
              <w:t>6,755,401</w:t>
            </w:r>
          </w:p>
        </w:tc>
        <w:tc>
          <w:tcPr>
            <w:tcW w:w="100" w:type="dxa"/>
            <w:vAlign w:val="bottom"/>
          </w:tcPr>
          <w:p>
            <w:pPr>
              <w:spacing w:after="0"/>
              <w:rPr>
                <w:sz w:val="6"/>
                <w:szCs w:val="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4,898,606</w:t>
            </w:r>
          </w:p>
        </w:tc>
        <w:tc>
          <w:tcPr>
            <w:tcW w:w="100" w:type="dxa"/>
            <w:vAlign w:val="bottom"/>
          </w:tcPr>
          <w:p>
            <w:pPr>
              <w:spacing w:after="0"/>
              <w:rPr>
                <w:sz w:val="6"/>
                <w:szCs w:val="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2,725,680</w:t>
            </w:r>
          </w:p>
        </w:tc>
        <w:tc>
          <w:tcPr>
            <w:tcW w:w="100" w:type="dxa"/>
            <w:vAlign w:val="bottom"/>
          </w:tcPr>
          <w:p>
            <w:pPr>
              <w:spacing w:after="0"/>
              <w:rPr>
                <w:sz w:val="6"/>
                <w:szCs w:val="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940" w:type="dxa"/>
            <w:vAlign w:val="bottom"/>
            <w:vMerge w:val="continue"/>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940" w:type="dxa"/>
            <w:vAlign w:val="bottom"/>
            <w:tcBorders>
              <w:bottom w:val="single" w:sz="8" w:color="852166"/>
            </w:tcBorders>
          </w:tcPr>
          <w:p>
            <w:pPr>
              <w:spacing w:after="0"/>
              <w:rPr>
                <w:sz w:val="2"/>
                <w:szCs w:val="2"/>
                <w:color w:val="auto"/>
              </w:rPr>
            </w:pPr>
          </w:p>
        </w:tc>
        <w:tc>
          <w:tcPr>
            <w:tcW w:w="1720" w:type="dxa"/>
            <w:vAlign w:val="bottom"/>
            <w:tcBorders>
              <w:bottom w:val="single" w:sz="8" w:color="852166"/>
            </w:tcBorders>
            <w:gridSpan w:val="2"/>
          </w:tcPr>
          <w:p>
            <w:pPr>
              <w:spacing w:after="0"/>
              <w:rPr>
                <w:sz w:val="2"/>
                <w:szCs w:val="2"/>
                <w:color w:val="auto"/>
              </w:rPr>
            </w:pPr>
          </w:p>
        </w:tc>
        <w:tc>
          <w:tcPr>
            <w:tcW w:w="1240" w:type="dxa"/>
            <w:vAlign w:val="bottom"/>
            <w:tcBorders>
              <w:bottom w:val="single" w:sz="8" w:color="852166"/>
            </w:tcBorders>
            <w:gridSpan w:val="2"/>
          </w:tcPr>
          <w:p>
            <w:pPr>
              <w:spacing w:after="0"/>
              <w:rPr>
                <w:sz w:val="2"/>
                <w:szCs w:val="2"/>
                <w:color w:val="auto"/>
              </w:rPr>
            </w:pPr>
          </w:p>
        </w:tc>
        <w:tc>
          <w:tcPr>
            <w:tcW w:w="100" w:type="dxa"/>
            <w:vAlign w:val="bottom"/>
            <w:tcBorders>
              <w:bottom w:val="single" w:sz="8" w:color="852166"/>
            </w:tcBorders>
          </w:tcPr>
          <w:p>
            <w:pPr>
              <w:spacing w:after="0"/>
              <w:rPr>
                <w:sz w:val="2"/>
                <w:szCs w:val="2"/>
                <w:color w:val="auto"/>
              </w:rPr>
            </w:pPr>
          </w:p>
        </w:tc>
        <w:tc>
          <w:tcPr>
            <w:tcW w:w="1100" w:type="dxa"/>
            <w:vAlign w:val="bottom"/>
            <w:tcBorders>
              <w:bottom w:val="single" w:sz="8" w:color="852166"/>
            </w:tcBorders>
          </w:tcPr>
          <w:p>
            <w:pPr>
              <w:spacing w:after="0"/>
              <w:rPr>
                <w:sz w:val="2"/>
                <w:szCs w:val="2"/>
                <w:color w:val="auto"/>
              </w:rPr>
            </w:pPr>
          </w:p>
        </w:tc>
        <w:tc>
          <w:tcPr>
            <w:tcW w:w="100" w:type="dxa"/>
            <w:vAlign w:val="bottom"/>
            <w:tcBorders>
              <w:bottom w:val="single" w:sz="8" w:color="852166"/>
            </w:tcBorders>
          </w:tcPr>
          <w:p>
            <w:pPr>
              <w:spacing w:after="0"/>
              <w:rPr>
                <w:sz w:val="2"/>
                <w:szCs w:val="2"/>
                <w:color w:val="auto"/>
              </w:rPr>
            </w:pPr>
          </w:p>
        </w:tc>
        <w:tc>
          <w:tcPr>
            <w:tcW w:w="1060" w:type="dxa"/>
            <w:vAlign w:val="bottom"/>
            <w:tcBorders>
              <w:bottom w:val="single" w:sz="8" w:color="852166"/>
            </w:tcBorders>
          </w:tcPr>
          <w:p>
            <w:pPr>
              <w:spacing w:after="0"/>
              <w:rPr>
                <w:sz w:val="2"/>
                <w:szCs w:val="2"/>
                <w:color w:val="auto"/>
              </w:rPr>
            </w:pPr>
          </w:p>
        </w:tc>
        <w:tc>
          <w:tcPr>
            <w:tcW w:w="100" w:type="dxa"/>
            <w:vAlign w:val="bottom"/>
            <w:tcBorders>
              <w:bottom w:val="single" w:sz="8" w:color="852166"/>
            </w:tcBorders>
          </w:tcPr>
          <w:p>
            <w:pPr>
              <w:spacing w:after="0"/>
              <w:rPr>
                <w:sz w:val="2"/>
                <w:szCs w:val="2"/>
                <w:color w:val="auto"/>
              </w:rPr>
            </w:pPr>
          </w:p>
        </w:tc>
        <w:tc>
          <w:tcPr>
            <w:tcW w:w="1220" w:type="dxa"/>
            <w:vAlign w:val="bottom"/>
            <w:tcBorders>
              <w:bottom w:val="single" w:sz="8" w:color="852166"/>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Benefit Total</w:t>
            </w: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rPr>
              <w:t>8,715,416</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6,755,401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4,898,606</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2,725,680</w:t>
            </w:r>
          </w:p>
        </w:tc>
        <w:tc>
          <w:tcPr>
            <w:tcW w:w="10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852166"/>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852166"/>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852166"/>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852166"/>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852166"/>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852166"/>
            </w:tcBorders>
          </w:tcPr>
          <w:p>
            <w:pPr>
              <w:spacing w:after="0" w:line="20" w:lineRule="exact"/>
              <w:rPr>
                <w:sz w:val="1"/>
                <w:szCs w:val="1"/>
                <w:color w:val="auto"/>
              </w:rPr>
            </w:pPr>
          </w:p>
        </w:tc>
        <w:tc>
          <w:tcPr>
            <w:tcW w:w="1580" w:type="dxa"/>
            <w:vAlign w:val="bottom"/>
            <w:tcBorders>
              <w:bottom w:val="single" w:sz="8" w:color="852166"/>
            </w:tcBorders>
          </w:tcPr>
          <w:p>
            <w:pPr>
              <w:spacing w:after="0" w:line="20" w:lineRule="exact"/>
              <w:rPr>
                <w:sz w:val="1"/>
                <w:szCs w:val="1"/>
                <w:color w:val="auto"/>
              </w:rPr>
            </w:pPr>
          </w:p>
        </w:tc>
        <w:tc>
          <w:tcPr>
            <w:tcW w:w="2940" w:type="dxa"/>
            <w:vAlign w:val="bottom"/>
            <w:tcBorders>
              <w:bottom w:val="single" w:sz="8" w:color="852166"/>
            </w:tcBorders>
          </w:tcPr>
          <w:p>
            <w:pPr>
              <w:spacing w:after="0" w:line="20" w:lineRule="exact"/>
              <w:rPr>
                <w:sz w:val="1"/>
                <w:szCs w:val="1"/>
                <w:color w:val="auto"/>
              </w:rPr>
            </w:pPr>
          </w:p>
        </w:tc>
        <w:tc>
          <w:tcPr>
            <w:tcW w:w="100" w:type="dxa"/>
            <w:vAlign w:val="bottom"/>
            <w:tcBorders>
              <w:bottom w:val="single" w:sz="8" w:color="852166"/>
            </w:tcBorders>
          </w:tcPr>
          <w:p>
            <w:pPr>
              <w:spacing w:after="0" w:line="20" w:lineRule="exact"/>
              <w:rPr>
                <w:sz w:val="1"/>
                <w:szCs w:val="1"/>
                <w:color w:val="auto"/>
              </w:rPr>
            </w:pPr>
          </w:p>
        </w:tc>
        <w:tc>
          <w:tcPr>
            <w:tcW w:w="1620" w:type="dxa"/>
            <w:vAlign w:val="bottom"/>
            <w:tcBorders>
              <w:bottom w:val="single" w:sz="8" w:color="852166"/>
            </w:tcBorders>
          </w:tcPr>
          <w:p>
            <w:pPr>
              <w:spacing w:after="0" w:line="20" w:lineRule="exact"/>
              <w:rPr>
                <w:sz w:val="1"/>
                <w:szCs w:val="1"/>
                <w:color w:val="auto"/>
              </w:rPr>
            </w:pPr>
          </w:p>
        </w:tc>
        <w:tc>
          <w:tcPr>
            <w:tcW w:w="100" w:type="dxa"/>
            <w:vAlign w:val="bottom"/>
            <w:tcBorders>
              <w:bottom w:val="single" w:sz="8" w:color="852166"/>
            </w:tcBorders>
          </w:tcPr>
          <w:p>
            <w:pPr>
              <w:spacing w:after="0" w:line="20" w:lineRule="exact"/>
              <w:rPr>
                <w:sz w:val="1"/>
                <w:szCs w:val="1"/>
                <w:color w:val="auto"/>
              </w:rPr>
            </w:pPr>
          </w:p>
        </w:tc>
        <w:tc>
          <w:tcPr>
            <w:tcW w:w="1140" w:type="dxa"/>
            <w:vAlign w:val="bottom"/>
            <w:tcBorders>
              <w:bottom w:val="single" w:sz="8" w:color="852166"/>
            </w:tcBorders>
          </w:tcPr>
          <w:p>
            <w:pPr>
              <w:spacing w:after="0" w:line="20" w:lineRule="exact"/>
              <w:rPr>
                <w:sz w:val="1"/>
                <w:szCs w:val="1"/>
                <w:color w:val="auto"/>
              </w:rPr>
            </w:pPr>
          </w:p>
        </w:tc>
        <w:tc>
          <w:tcPr>
            <w:tcW w:w="100" w:type="dxa"/>
            <w:vAlign w:val="bottom"/>
            <w:tcBorders>
              <w:bottom w:val="single" w:sz="8" w:color="852166"/>
            </w:tcBorders>
          </w:tcPr>
          <w:p>
            <w:pPr>
              <w:spacing w:after="0" w:line="20" w:lineRule="exact"/>
              <w:rPr>
                <w:sz w:val="1"/>
                <w:szCs w:val="1"/>
                <w:color w:val="auto"/>
              </w:rPr>
            </w:pPr>
          </w:p>
        </w:tc>
        <w:tc>
          <w:tcPr>
            <w:tcW w:w="1100" w:type="dxa"/>
            <w:vAlign w:val="bottom"/>
            <w:tcBorders>
              <w:bottom w:val="single" w:sz="8" w:color="852166"/>
            </w:tcBorders>
          </w:tcPr>
          <w:p>
            <w:pPr>
              <w:spacing w:after="0" w:line="20" w:lineRule="exact"/>
              <w:rPr>
                <w:sz w:val="1"/>
                <w:szCs w:val="1"/>
                <w:color w:val="auto"/>
              </w:rPr>
            </w:pPr>
          </w:p>
        </w:tc>
        <w:tc>
          <w:tcPr>
            <w:tcW w:w="100" w:type="dxa"/>
            <w:vAlign w:val="bottom"/>
            <w:tcBorders>
              <w:bottom w:val="single" w:sz="8" w:color="852166"/>
            </w:tcBorders>
          </w:tcPr>
          <w:p>
            <w:pPr>
              <w:spacing w:after="0" w:line="20" w:lineRule="exact"/>
              <w:rPr>
                <w:sz w:val="1"/>
                <w:szCs w:val="1"/>
                <w:color w:val="auto"/>
              </w:rPr>
            </w:pPr>
          </w:p>
        </w:tc>
        <w:tc>
          <w:tcPr>
            <w:tcW w:w="1060" w:type="dxa"/>
            <w:vAlign w:val="bottom"/>
            <w:tcBorders>
              <w:bottom w:val="single" w:sz="8" w:color="852166"/>
            </w:tcBorders>
          </w:tcPr>
          <w:p>
            <w:pPr>
              <w:spacing w:after="0" w:line="20" w:lineRule="exact"/>
              <w:rPr>
                <w:sz w:val="1"/>
                <w:szCs w:val="1"/>
                <w:color w:val="auto"/>
              </w:rPr>
            </w:pPr>
          </w:p>
        </w:tc>
        <w:tc>
          <w:tcPr>
            <w:tcW w:w="100" w:type="dxa"/>
            <w:vAlign w:val="bottom"/>
            <w:tcBorders>
              <w:bottom w:val="single" w:sz="8" w:color="852166"/>
            </w:tcBorders>
          </w:tcPr>
          <w:p>
            <w:pPr>
              <w:spacing w:after="0" w:line="20" w:lineRule="exact"/>
              <w:rPr>
                <w:sz w:val="1"/>
                <w:szCs w:val="1"/>
                <w:color w:val="auto"/>
              </w:rPr>
            </w:pPr>
          </w:p>
        </w:tc>
        <w:tc>
          <w:tcPr>
            <w:tcW w:w="1220" w:type="dxa"/>
            <w:vAlign w:val="bottom"/>
            <w:tcBorders>
              <w:bottom w:val="single" w:sz="8" w:color="85216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40" w:right="40" w:hanging="332"/>
        <w:spacing w:after="0" w:line="292" w:lineRule="auto"/>
        <w:tabs>
          <w:tab w:leader="none" w:pos="327" w:val="left"/>
        </w:tabs>
        <w:numPr>
          <w:ilvl w:val="0"/>
          <w:numId w:val="84"/>
        </w:numPr>
        <w:rPr>
          <w:rFonts w:ascii="Arial" w:cs="Arial" w:eastAsia="Arial" w:hAnsi="Arial"/>
          <w:sz w:val="14"/>
          <w:szCs w:val="14"/>
          <w:color w:val="auto"/>
        </w:rPr>
      </w:pPr>
      <w:r>
        <w:rPr>
          <w:rFonts w:ascii="Arial" w:cs="Arial" w:eastAsia="Arial" w:hAnsi="Arial"/>
          <w:sz w:val="14"/>
          <w:szCs w:val="14"/>
          <w:color w:val="auto"/>
        </w:rPr>
        <w:t xml:space="preserve">These benefits would be payable under the change in control plan if the involuntary termination without cause or constructive termination occurred upon or within 12 months following a change in control and assuming such termination took place on December 29, 2023. The forms of equity grant agreements under the 2011 Plan provide for the same vesting acceleration benefit as shown here under the change in control plan (except as otherwise described above under the heading, </w:t>
      </w:r>
      <w:r>
        <w:rPr>
          <w:rFonts w:ascii="Arial" w:cs="Arial" w:eastAsia="Arial" w:hAnsi="Arial"/>
          <w:sz w:val="14"/>
          <w:szCs w:val="14"/>
          <w:i w:val="1"/>
          <w:iCs w:val="1"/>
          <w:color w:val="auto"/>
        </w:rPr>
        <w:t>“Potential Payments</w:t>
      </w:r>
      <w:r>
        <w:rPr>
          <w:rFonts w:ascii="Arial" w:cs="Arial" w:eastAsia="Arial" w:hAnsi="Arial"/>
          <w:sz w:val="14"/>
          <w:szCs w:val="14"/>
          <w:color w:val="auto"/>
        </w:rPr>
        <w:t xml:space="preserve"> </w:t>
      </w:r>
      <w:r>
        <w:rPr>
          <w:rFonts w:ascii="Arial" w:cs="Arial" w:eastAsia="Arial" w:hAnsi="Arial"/>
          <w:sz w:val="14"/>
          <w:szCs w:val="14"/>
          <w:i w:val="1"/>
          <w:iCs w:val="1"/>
          <w:color w:val="auto"/>
        </w:rPr>
        <w:t>upon Termination or Change in Control—Treatment of 2021, 2022 and 2023 PSUs”)</w:t>
      </w:r>
      <w:r>
        <w:rPr>
          <w:rFonts w:ascii="Arial" w:cs="Arial" w:eastAsia="Arial" w:hAnsi="Arial"/>
          <w:sz w:val="14"/>
          <w:szCs w:val="14"/>
          <w:color w:val="auto"/>
        </w:rPr>
        <w:t>, therefore no separate vesting acceleration benefit is listed. Pursuant to the change in</w:t>
      </w:r>
      <w:r>
        <w:rPr>
          <w:rFonts w:ascii="Arial" w:cs="Arial" w:eastAsia="Arial" w:hAnsi="Arial"/>
          <w:sz w:val="14"/>
          <w:szCs w:val="14"/>
          <w:i w:val="1"/>
          <w:iCs w:val="1"/>
          <w:color w:val="auto"/>
        </w:rPr>
        <w:t xml:space="preserve"> </w:t>
      </w:r>
      <w:r>
        <w:rPr>
          <w:rFonts w:ascii="Arial" w:cs="Arial" w:eastAsia="Arial" w:hAnsi="Arial"/>
          <w:sz w:val="14"/>
          <w:szCs w:val="14"/>
          <w:color w:val="auto"/>
        </w:rPr>
        <w:t>control plan, an involuntary termination without cause also includes an individual’s death or disability.</w:t>
      </w:r>
    </w:p>
    <w:p>
      <w:pPr>
        <w:spacing w:after="0" w:line="19" w:lineRule="exact"/>
        <w:rPr>
          <w:rFonts w:ascii="Arial" w:cs="Arial" w:eastAsia="Arial" w:hAnsi="Arial"/>
          <w:sz w:val="14"/>
          <w:szCs w:val="14"/>
          <w:color w:val="auto"/>
        </w:rPr>
      </w:pPr>
    </w:p>
    <w:p>
      <w:pPr>
        <w:ind w:left="340" w:hanging="332"/>
        <w:spacing w:after="0" w:line="285" w:lineRule="auto"/>
        <w:tabs>
          <w:tab w:leader="none" w:pos="327"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These benefits would be payable under the 2011 Plan, if, upon a corporate transaction event, including a change of control, our board exercised its discretion to accelerate the vesting and exercisability of outstanding equity grant agreements, assuming the vesting acceleration took place on December 29, 2023. For a description of the potential vesting acceleration provisions in the 2011 Plan, see “</w:t>
      </w:r>
      <w:r>
        <w:rPr>
          <w:rFonts w:ascii="Arial" w:cs="Arial" w:eastAsia="Arial" w:hAnsi="Arial"/>
          <w:sz w:val="14"/>
          <w:szCs w:val="14"/>
          <w:i w:val="1"/>
          <w:iCs w:val="1"/>
          <w:color w:val="auto"/>
        </w:rPr>
        <w:t>Description of Compensation Arrangements—Equity Compensation Arrangements”</w:t>
      </w:r>
      <w:r>
        <w:rPr>
          <w:rFonts w:ascii="Arial" w:cs="Arial" w:eastAsia="Arial" w:hAnsi="Arial"/>
          <w:sz w:val="14"/>
          <w:szCs w:val="14"/>
          <w:color w:val="auto"/>
        </w:rPr>
        <w:t xml:space="preserve"> above. As described above under “Potential Payments upon Termination or Change in Control—Treatment of 2021, 2022 and 2023 PSUs,” the terms of the 2021, 2022 and 2023 PSUs provide for a vesting schedule adjustment if a change in control occurs prior to the last day of the performance period and if the award is assumed or continued or substituted with a similar stock award in connection with such change in control. Since the value of this vesting schedule adjustment is based on future events, including with respect to PSU award certification, no separate quantification of this benefit is shown. However, the value of the 2021, 2022 and 2023 PSU full vesting acceleration is included in the table.</w:t>
      </w:r>
    </w:p>
    <w:p>
      <w:pPr>
        <w:spacing w:after="0" w:line="25" w:lineRule="exact"/>
        <w:rPr>
          <w:rFonts w:ascii="Arial" w:cs="Arial" w:eastAsia="Arial" w:hAnsi="Arial"/>
          <w:sz w:val="14"/>
          <w:szCs w:val="14"/>
          <w:color w:val="auto"/>
        </w:rPr>
      </w:pPr>
    </w:p>
    <w:p>
      <w:pPr>
        <w:ind w:left="340" w:right="40" w:hanging="332"/>
        <w:spacing w:after="0" w:line="311" w:lineRule="auto"/>
        <w:tabs>
          <w:tab w:leader="none" w:pos="327"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Represents the value of the 2021, 2022 and 2023 RSU vesting acceleration and pro-rated portion of 2021, 2022 and 2023 PSU vesting benefit upon death. Since the value of the extended post-termination option exercise period in this termination scenario is not quantifiable, such value is not included in the table.</w:t>
      </w:r>
    </w:p>
    <w:p>
      <w:pPr>
        <w:spacing w:after="0" w:line="1" w:lineRule="exact"/>
        <w:rPr>
          <w:rFonts w:ascii="Arial" w:cs="Arial" w:eastAsia="Arial" w:hAnsi="Arial"/>
          <w:sz w:val="14"/>
          <w:szCs w:val="14"/>
          <w:color w:val="auto"/>
        </w:rPr>
      </w:pPr>
    </w:p>
    <w:p>
      <w:pPr>
        <w:ind w:left="340" w:right="160" w:hanging="332"/>
        <w:spacing w:after="0" w:line="303" w:lineRule="auto"/>
        <w:tabs>
          <w:tab w:leader="none" w:pos="327"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Represents the value of 2021, 2022 and 2023 RSU vesting continuation upon a termination due to disability. The value of the 2021, 2022 and 2023 PSU vesting benefit upon a termination due to disability is not included because no PSUs were earned as of December 29, 2023. In addition, since the value of the extended post-termination option exercise period in this termination scenario is not quantifiable, such value is not included in the table.</w:t>
      </w:r>
    </w:p>
    <w:p>
      <w:pPr>
        <w:spacing w:after="0" w:line="11" w:lineRule="exact"/>
        <w:rPr>
          <w:rFonts w:ascii="Arial" w:cs="Arial" w:eastAsia="Arial" w:hAnsi="Arial"/>
          <w:sz w:val="14"/>
          <w:szCs w:val="14"/>
          <w:color w:val="auto"/>
        </w:rPr>
      </w:pPr>
    </w:p>
    <w:p>
      <w:pPr>
        <w:ind w:left="340" w:right="220" w:hanging="332"/>
        <w:spacing w:after="0" w:line="288" w:lineRule="auto"/>
        <w:tabs>
          <w:tab w:leader="none" w:pos="327"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Represents the value of 2021 and 2022 RSU vesting continuation upon retirement. The value of 2023 RSU vesting continuation upon retirement is not included because the vesting continuation benefit in this termination scenario under the 2021, 2022 and 2023 RSUs does not arise until one year from the date of grant. The value of the 2021, 2022 and 2023 PSU vesting benefit upon retirement is not included because no PSUs were earned as of December 29, 2023. In addition, since the value of the extended post-termination option exercise period in this termination scenario is not quantifiable, such value is not included in the table. Having satisfied the age and minimum years of continuous service requirements, Mr. Cozadd was eligible for Long-Service Retirement and Mr. Swisher was eligible for Regular Retirement as of December 29, 2023.</w:t>
      </w:r>
    </w:p>
    <w:p>
      <w:pPr>
        <w:spacing w:after="0" w:line="208" w:lineRule="exact"/>
        <w:rPr>
          <w:rFonts w:ascii="Arial" w:cs="Arial" w:eastAsia="Arial" w:hAnsi="Arial"/>
          <w:sz w:val="14"/>
          <w:szCs w:val="14"/>
          <w:color w:val="auto"/>
        </w:rPr>
      </w:pPr>
    </w:p>
    <w:p>
      <w:pPr>
        <w:ind w:left="340" w:right="60" w:hanging="332"/>
        <w:spacing w:after="0" w:line="325" w:lineRule="auto"/>
        <w:tabs>
          <w:tab w:leader="none" w:pos="327"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value of equity grants vesting acceleration or continuation, as applicable, is based on the closing price of $123.00 per ordinary share on December 29, 2023, minus, in the case of stock options, the exercise price of the unvested stock option shares subject to acceleration.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80</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84" w:name="page85"/>
    <w:bookmarkEnd w:id="84"/>
    <w:p>
      <w:pPr>
        <w:spacing w:after="0"/>
        <w:rPr>
          <w:sz w:val="20"/>
          <w:szCs w:val="20"/>
          <w:color w:val="auto"/>
        </w:rPr>
      </w:pPr>
      <w:r>
        <w:rPr>
          <w:rFonts w:ascii="Arial" w:cs="Arial" w:eastAsia="Arial" w:hAnsi="Arial"/>
          <w:sz w:val="20"/>
          <w:szCs w:val="20"/>
          <w:b w:val="1"/>
          <w:bCs w:val="1"/>
          <w:color w:val="852166"/>
        </w:rPr>
        <w:t>Pay Ratio Disclosure</w:t>
      </w:r>
    </w:p>
    <w:p>
      <w:pPr>
        <w:spacing w:after="0" w:line="131" w:lineRule="exact"/>
        <w:rPr>
          <w:sz w:val="20"/>
          <w:szCs w:val="20"/>
          <w:color w:val="auto"/>
        </w:rPr>
      </w:pPr>
    </w:p>
    <w:p>
      <w:pPr>
        <w:jc w:val="both"/>
        <w:ind w:right="240"/>
        <w:spacing w:after="0" w:line="319" w:lineRule="auto"/>
        <w:rPr>
          <w:sz w:val="20"/>
          <w:szCs w:val="20"/>
          <w:color w:val="auto"/>
        </w:rPr>
      </w:pPr>
      <w:r>
        <w:rPr>
          <w:rFonts w:ascii="Arial" w:cs="Arial" w:eastAsia="Arial" w:hAnsi="Arial"/>
          <w:sz w:val="16"/>
          <w:szCs w:val="16"/>
          <w:color w:val="auto"/>
        </w:rPr>
        <w:t>Under SEC rules, we are required to calculate and disclose the annual total compensation of our median employee, as well as the ratio of the annual total compensation of our median employee as compared to the annual total compensation of our CEO, or our CEO pay ratio. For 2023, to identify our median employee, we used the following methodology:</w:t>
      </w:r>
    </w:p>
    <w:p>
      <w:pPr>
        <w:spacing w:after="0" w:line="63" w:lineRule="exact"/>
        <w:rPr>
          <w:sz w:val="20"/>
          <w:szCs w:val="20"/>
          <w:color w:val="auto"/>
        </w:rPr>
      </w:pPr>
    </w:p>
    <w:p>
      <w:pPr>
        <w:ind w:left="640" w:hanging="308"/>
        <w:spacing w:after="0"/>
        <w:tabs>
          <w:tab w:leader="none" w:pos="6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To determine our total population of employees, we included all full-time, part-time, regular and temporary employees as of October 1, 2023.</w:t>
      </w:r>
    </w:p>
    <w:p>
      <w:pPr>
        <w:spacing w:after="0" w:line="153" w:lineRule="exact"/>
        <w:rPr>
          <w:rFonts w:ascii="Arial" w:cs="Arial" w:eastAsia="Arial" w:hAnsi="Arial"/>
          <w:sz w:val="16"/>
          <w:szCs w:val="16"/>
          <w:color w:val="auto"/>
        </w:rPr>
      </w:pPr>
    </w:p>
    <w:p>
      <w:pPr>
        <w:ind w:left="660" w:right="20" w:hanging="328"/>
        <w:spacing w:after="0" w:line="304" w:lineRule="auto"/>
        <w:tabs>
          <w:tab w:leader="none" w:pos="649" w:val="left"/>
        </w:tabs>
        <w:numPr>
          <w:ilvl w:val="0"/>
          <w:numId w:val="85"/>
        </w:numPr>
        <w:rPr>
          <w:rFonts w:ascii="Arial" w:cs="Arial" w:eastAsia="Arial" w:hAnsi="Arial"/>
          <w:sz w:val="16"/>
          <w:szCs w:val="16"/>
          <w:color w:val="auto"/>
        </w:rPr>
      </w:pPr>
      <w:r>
        <w:rPr>
          <w:rFonts w:ascii="Arial" w:cs="Arial" w:eastAsia="Arial" w:hAnsi="Arial"/>
          <w:sz w:val="16"/>
          <w:szCs w:val="16"/>
          <w:color w:val="auto"/>
        </w:rPr>
        <w:t>To identify our median employee from our employee population, we calculated the annual target amount of each employee’s 2023 base salary (using a reasonable estimate of the hours worked and no overtime for hourly employees) and bonus or commission, as applicable, and added the estimated value of all equity awards granted during 2023. For purposes of base salaries, bonuses and commissions, we used an estimate based on the rates in effect on October 1, 2023. The value of equity awards was not included in the calculation of the median of the annual total compensation of our employees for 2023.</w:t>
      </w:r>
    </w:p>
    <w:p>
      <w:pPr>
        <w:spacing w:after="0" w:line="76" w:lineRule="exact"/>
        <w:rPr>
          <w:rFonts w:ascii="Arial" w:cs="Arial" w:eastAsia="Arial" w:hAnsi="Arial"/>
          <w:sz w:val="16"/>
          <w:szCs w:val="16"/>
          <w:color w:val="auto"/>
        </w:rPr>
      </w:pPr>
    </w:p>
    <w:p>
      <w:pPr>
        <w:ind w:left="660" w:right="60" w:hanging="328"/>
        <w:spacing w:after="0" w:line="321" w:lineRule="auto"/>
        <w:tabs>
          <w:tab w:leader="none" w:pos="649"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 making this determination, we annualized the base salaries, bonuses and commissions of employees who were employed by us for less than the entire calendar year.</w:t>
      </w:r>
    </w:p>
    <w:p>
      <w:pPr>
        <w:spacing w:after="0" w:line="61" w:lineRule="exact"/>
        <w:rPr>
          <w:rFonts w:ascii="Arial" w:cs="Arial" w:eastAsia="Arial" w:hAnsi="Arial"/>
          <w:sz w:val="16"/>
          <w:szCs w:val="16"/>
          <w:color w:val="auto"/>
        </w:rPr>
      </w:pPr>
    </w:p>
    <w:p>
      <w:pPr>
        <w:ind w:left="660" w:right="480" w:hanging="328"/>
        <w:spacing w:after="0" w:line="339" w:lineRule="auto"/>
        <w:tabs>
          <w:tab w:leader="none" w:pos="649" w:val="left"/>
        </w:tabs>
        <w:numPr>
          <w:ilvl w:val="0"/>
          <w:numId w:val="85"/>
        </w:numPr>
        <w:rPr>
          <w:rFonts w:ascii="Arial" w:cs="Arial" w:eastAsia="Arial" w:hAnsi="Arial"/>
          <w:sz w:val="16"/>
          <w:szCs w:val="16"/>
          <w:color w:val="auto"/>
        </w:rPr>
      </w:pPr>
      <w:r>
        <w:rPr>
          <w:rFonts w:ascii="Arial" w:cs="Arial" w:eastAsia="Arial" w:hAnsi="Arial"/>
          <w:sz w:val="16"/>
          <w:szCs w:val="16"/>
          <w:color w:val="auto"/>
        </w:rPr>
        <w:t>Compensation paid in foreign currencies was converted to U.S. dollars based on the average daily exchange rates for the year-to-date period ending on October 1, 2023.</w:t>
      </w:r>
    </w:p>
    <w:p>
      <w:pPr>
        <w:spacing w:after="0" w:line="47" w:lineRule="exact"/>
        <w:rPr>
          <w:sz w:val="20"/>
          <w:szCs w:val="20"/>
          <w:color w:val="auto"/>
        </w:rPr>
      </w:pPr>
    </w:p>
    <w:p>
      <w:pPr>
        <w:ind w:right="140"/>
        <w:spacing w:after="0" w:line="339" w:lineRule="auto"/>
        <w:rPr>
          <w:sz w:val="20"/>
          <w:szCs w:val="20"/>
          <w:color w:val="auto"/>
        </w:rPr>
      </w:pPr>
      <w:r>
        <w:rPr>
          <w:rFonts w:ascii="Arial" w:cs="Arial" w:eastAsia="Arial" w:hAnsi="Arial"/>
          <w:sz w:val="16"/>
          <w:szCs w:val="16"/>
          <w:color w:val="auto"/>
        </w:rPr>
        <w:t>Using this approach, we determined our median employee and then calculated the annual total compensation of this employee for 2023 in accordance with the requirements of the Summary Compensation Table.</w:t>
      </w:r>
    </w:p>
    <w:p>
      <w:pPr>
        <w:spacing w:after="0" w:line="34" w:lineRule="exact"/>
        <w:rPr>
          <w:sz w:val="20"/>
          <w:szCs w:val="20"/>
          <w:color w:val="auto"/>
        </w:rPr>
      </w:pPr>
    </w:p>
    <w:p>
      <w:pPr>
        <w:ind w:right="100"/>
        <w:spacing w:after="0" w:line="319" w:lineRule="auto"/>
        <w:rPr>
          <w:sz w:val="20"/>
          <w:szCs w:val="20"/>
          <w:color w:val="auto"/>
        </w:rPr>
      </w:pPr>
      <w:r>
        <w:rPr>
          <w:rFonts w:ascii="Arial" w:cs="Arial" w:eastAsia="Arial" w:hAnsi="Arial"/>
          <w:sz w:val="16"/>
          <w:szCs w:val="16"/>
          <w:color w:val="auto"/>
        </w:rPr>
        <w:t>For 2023, the median of the annual total compensation of our employees (other than our CEO) was $234,605 and the annual total compensation of our CEO, as reported in our Summary Compensation Table, was $15,341,235. Based on this information, the ratio of the annual total compensation of our CEO to the median of the annual total compensation of all employees was 65 to 1.</w:t>
      </w:r>
    </w:p>
    <w:p>
      <w:pPr>
        <w:spacing w:after="0" w:line="6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CEO pay ratio above represents our reasonable estimate calculated in a manner consistent with SEC rules and applicable guidance. SEC rules and guidance provide significant flexibility in how companies identify the median employee, and each company may use a different methodology and make different assumptions particular to that company. As a result, and as explained by the SEC when it adopted these rules, in considering the pay ratio disclosure, shareholders should keep in mind that the rule was not designed to facilitate comparisons of pay ratios among different companies, even companies within the same industry, but rather to allow shareholders to better understand and assess each company’s compensation practices and pay ratio disclosures.</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Neither our compensation committee nor our management used our CEO pay ratio measure in making compensation decisions.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Item 402(v) Pay versus Performance</w:t>
      </w:r>
    </w:p>
    <w:p>
      <w:pPr>
        <w:spacing w:after="0" w:line="144" w:lineRule="exact"/>
        <w:rPr>
          <w:sz w:val="20"/>
          <w:szCs w:val="20"/>
          <w:color w:val="auto"/>
        </w:rPr>
      </w:pPr>
    </w:p>
    <w:p>
      <w:pPr>
        <w:ind w:right="160"/>
        <w:spacing w:after="0" w:line="319" w:lineRule="auto"/>
        <w:rPr>
          <w:sz w:val="20"/>
          <w:szCs w:val="20"/>
          <w:color w:val="auto"/>
        </w:rPr>
      </w:pPr>
      <w:r>
        <w:rPr>
          <w:rFonts w:ascii="Arial" w:cs="Arial" w:eastAsia="Arial" w:hAnsi="Arial"/>
          <w:sz w:val="16"/>
          <w:szCs w:val="16"/>
          <w:color w:val="auto"/>
        </w:rPr>
        <w:t xml:space="preserve">The disclosure included in this section is prescribed by SEC rules and does not necessarily align with how we or our compensation committee view the link between our performance and NEO pay. For additional information about our pay-for-performance philosophy and how we align executive compensation with company performance, refer to the </w:t>
      </w:r>
      <w:r>
        <w:rPr>
          <w:rFonts w:ascii="Arial" w:cs="Arial" w:eastAsia="Arial" w:hAnsi="Arial"/>
          <w:sz w:val="16"/>
          <w:szCs w:val="16"/>
          <w:i w:val="1"/>
          <w:iCs w:val="1"/>
          <w:color w:val="auto"/>
        </w:rPr>
        <w:t>“Executive Compensation—Compensation Discussion and Analysis”</w:t>
      </w:r>
      <w:r>
        <w:rPr>
          <w:rFonts w:ascii="Arial" w:cs="Arial" w:eastAsia="Arial" w:hAnsi="Arial"/>
          <w:sz w:val="16"/>
          <w:szCs w:val="16"/>
          <w:color w:val="auto"/>
        </w:rPr>
        <w:t xml:space="preserve"> section above.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Required Tabular Disclosure of Pay versus Performance</w:t>
      </w:r>
    </w:p>
    <w:p>
      <w:pPr>
        <w:spacing w:after="0" w:line="140"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color w:val="auto"/>
        </w:rPr>
        <w:t xml:space="preserve">The table below reflects information regarding the compensation of our NEOs for fiscal years 2023, 2022, 2021 and 2020, as well as our financial performance for each of these fiscal years in accordance with SEC rules. The amounts set forth below under the headings “Compensation Actually Paid to PEO” and “Average Compensation Actually Paid to Non-PEO NEOs” have been calculated in a manner consistent with Item 402(v) of Regulation S-K. Use of the term “compensation actually paid” is required by the SEC’s rules and as a result of the calculation methodology required by the SEC, such amounts differ from compensation actually received by the individuals and the compensation decisions described in the </w:t>
      </w:r>
      <w:r>
        <w:rPr>
          <w:rFonts w:ascii="Arial" w:cs="Arial" w:eastAsia="Arial" w:hAnsi="Arial"/>
          <w:sz w:val="16"/>
          <w:szCs w:val="16"/>
          <w:i w:val="1"/>
          <w:iCs w:val="1"/>
          <w:color w:val="auto"/>
        </w:rPr>
        <w:t>“Executive Compensation—Compensation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Discussion and Analysis” </w:t>
      </w:r>
      <w:r>
        <w:rPr>
          <w:rFonts w:ascii="Arial" w:cs="Arial" w:eastAsia="Arial" w:hAnsi="Arial"/>
          <w:sz w:val="16"/>
          <w:szCs w:val="16"/>
          <w:color w:val="auto"/>
        </w:rPr>
        <w:t>section above.</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39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20"/>
        </w:trPr>
        <w:tc>
          <w:tcPr>
            <w:tcW w:w="580" w:type="dxa"/>
            <w:vAlign w:val="bottom"/>
            <w:shd w:val="clear" w:color="auto" w:fill="870064"/>
          </w:tcPr>
          <w:p>
            <w:pPr>
              <w:spacing w:after="0"/>
              <w:rPr>
                <w:sz w:val="19"/>
                <w:szCs w:val="19"/>
                <w:color w:val="auto"/>
              </w:rPr>
            </w:pPr>
          </w:p>
        </w:tc>
        <w:tc>
          <w:tcPr>
            <w:tcW w:w="1400" w:type="dxa"/>
            <w:vAlign w:val="bottom"/>
            <w:shd w:val="clear" w:color="auto" w:fill="870064"/>
          </w:tcPr>
          <w:p>
            <w:pPr>
              <w:spacing w:after="0"/>
              <w:rPr>
                <w:sz w:val="19"/>
                <w:szCs w:val="19"/>
                <w:color w:val="auto"/>
              </w:rPr>
            </w:pPr>
          </w:p>
        </w:tc>
        <w:tc>
          <w:tcPr>
            <w:tcW w:w="1200" w:type="dxa"/>
            <w:vAlign w:val="bottom"/>
            <w:shd w:val="clear" w:color="auto" w:fill="870064"/>
          </w:tcPr>
          <w:p>
            <w:pPr>
              <w:spacing w:after="0"/>
              <w:rPr>
                <w:sz w:val="19"/>
                <w:szCs w:val="19"/>
                <w:color w:val="auto"/>
              </w:rPr>
            </w:pPr>
          </w:p>
        </w:tc>
        <w:tc>
          <w:tcPr>
            <w:tcW w:w="1300" w:type="dxa"/>
            <w:vAlign w:val="bottom"/>
            <w:shd w:val="clear" w:color="auto" w:fill="870064"/>
          </w:tcPr>
          <w:p>
            <w:pPr>
              <w:spacing w:after="0"/>
              <w:rPr>
                <w:sz w:val="19"/>
                <w:szCs w:val="19"/>
                <w:color w:val="auto"/>
              </w:rPr>
            </w:pPr>
          </w:p>
        </w:tc>
        <w:tc>
          <w:tcPr>
            <w:tcW w:w="1300" w:type="dxa"/>
            <w:vAlign w:val="bottom"/>
            <w:shd w:val="clear" w:color="auto" w:fill="870064"/>
          </w:tcPr>
          <w:p>
            <w:pPr>
              <w:spacing w:after="0"/>
              <w:rPr>
                <w:sz w:val="19"/>
                <w:szCs w:val="19"/>
                <w:color w:val="auto"/>
              </w:rPr>
            </w:pPr>
          </w:p>
        </w:tc>
        <w:tc>
          <w:tcPr>
            <w:tcW w:w="2400" w:type="dxa"/>
            <w:vAlign w:val="bottom"/>
            <w:gridSpan w:val="2"/>
            <w:shd w:val="clear" w:color="auto" w:fill="870064"/>
          </w:tcPr>
          <w:p>
            <w:pPr>
              <w:jc w:val="right"/>
              <w:ind w:right="311"/>
              <w:spacing w:after="0"/>
              <w:rPr>
                <w:sz w:val="20"/>
                <w:szCs w:val="20"/>
                <w:color w:val="auto"/>
              </w:rPr>
            </w:pPr>
            <w:r>
              <w:rPr>
                <w:rFonts w:ascii="Arial" w:cs="Arial" w:eastAsia="Arial" w:hAnsi="Arial"/>
                <w:sz w:val="14"/>
                <w:szCs w:val="14"/>
                <w:b w:val="1"/>
                <w:bCs w:val="1"/>
                <w:color w:val="FFFFFF"/>
              </w:rPr>
              <w:t>Value of Initial Fixed $100</w:t>
            </w:r>
          </w:p>
        </w:tc>
        <w:tc>
          <w:tcPr>
            <w:tcW w:w="1560" w:type="dxa"/>
            <w:vAlign w:val="bottom"/>
            <w:shd w:val="clear" w:color="auto" w:fill="870064"/>
          </w:tcPr>
          <w:p>
            <w:pPr>
              <w:spacing w:after="0"/>
              <w:rPr>
                <w:sz w:val="19"/>
                <w:szCs w:val="19"/>
                <w:color w:val="auto"/>
              </w:rPr>
            </w:pPr>
          </w:p>
        </w:tc>
        <w:tc>
          <w:tcPr>
            <w:tcW w:w="1500" w:type="dxa"/>
            <w:vAlign w:val="bottom"/>
            <w:shd w:val="clear" w:color="auto" w:fill="870064"/>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0" w:type="dxa"/>
            <w:vAlign w:val="bottom"/>
            <w:shd w:val="clear" w:color="auto" w:fill="870064"/>
          </w:tcPr>
          <w:p>
            <w:pPr>
              <w:spacing w:after="0"/>
              <w:rPr>
                <w:sz w:val="17"/>
                <w:szCs w:val="17"/>
                <w:color w:val="auto"/>
              </w:rPr>
            </w:pPr>
          </w:p>
        </w:tc>
        <w:tc>
          <w:tcPr>
            <w:tcW w:w="1400" w:type="dxa"/>
            <w:vAlign w:val="bottom"/>
            <w:shd w:val="clear" w:color="auto" w:fill="870064"/>
          </w:tcPr>
          <w:p>
            <w:pPr>
              <w:spacing w:after="0"/>
              <w:rPr>
                <w:sz w:val="17"/>
                <w:szCs w:val="17"/>
                <w:color w:val="auto"/>
              </w:rPr>
            </w:pPr>
          </w:p>
        </w:tc>
        <w:tc>
          <w:tcPr>
            <w:tcW w:w="1200" w:type="dxa"/>
            <w:vAlign w:val="bottom"/>
            <w:shd w:val="clear" w:color="auto" w:fill="870064"/>
          </w:tcPr>
          <w:p>
            <w:pPr>
              <w:spacing w:after="0"/>
              <w:rPr>
                <w:sz w:val="17"/>
                <w:szCs w:val="17"/>
                <w:color w:val="auto"/>
              </w:rPr>
            </w:pPr>
          </w:p>
        </w:tc>
        <w:tc>
          <w:tcPr>
            <w:tcW w:w="1300" w:type="dxa"/>
            <w:vAlign w:val="bottom"/>
            <w:vMerge w:val="restart"/>
            <w:shd w:val="clear" w:color="auto" w:fill="870064"/>
          </w:tcPr>
          <w:p>
            <w:pPr>
              <w:jc w:val="right"/>
              <w:spacing w:after="0"/>
              <w:rPr>
                <w:sz w:val="20"/>
                <w:szCs w:val="20"/>
                <w:color w:val="auto"/>
              </w:rPr>
            </w:pPr>
            <w:r>
              <w:rPr>
                <w:rFonts w:ascii="Arial" w:cs="Arial" w:eastAsia="Arial" w:hAnsi="Arial"/>
                <w:sz w:val="14"/>
                <w:szCs w:val="14"/>
                <w:b w:val="1"/>
                <w:bCs w:val="1"/>
                <w:color w:val="FFFFFF"/>
              </w:rPr>
              <w:t>Average Summary</w:t>
            </w:r>
          </w:p>
        </w:tc>
        <w:tc>
          <w:tcPr>
            <w:tcW w:w="1300" w:type="dxa"/>
            <w:vAlign w:val="bottom"/>
            <w:shd w:val="clear" w:color="auto" w:fill="870064"/>
          </w:tcPr>
          <w:p>
            <w:pPr>
              <w:spacing w:after="0"/>
              <w:rPr>
                <w:sz w:val="17"/>
                <w:szCs w:val="17"/>
                <w:color w:val="auto"/>
              </w:rPr>
            </w:pPr>
          </w:p>
        </w:tc>
        <w:tc>
          <w:tcPr>
            <w:tcW w:w="2400" w:type="dxa"/>
            <w:vAlign w:val="bottom"/>
            <w:gridSpan w:val="2"/>
            <w:shd w:val="clear" w:color="auto" w:fill="870064"/>
          </w:tcPr>
          <w:p>
            <w:pPr>
              <w:jc w:val="right"/>
              <w:ind w:right="431"/>
              <w:spacing w:after="0"/>
              <w:rPr>
                <w:sz w:val="20"/>
                <w:szCs w:val="20"/>
                <w:color w:val="auto"/>
              </w:rPr>
            </w:pPr>
            <w:r>
              <w:rPr>
                <w:rFonts w:ascii="Arial" w:cs="Arial" w:eastAsia="Arial" w:hAnsi="Arial"/>
                <w:sz w:val="14"/>
                <w:szCs w:val="14"/>
                <w:b w:val="1"/>
                <w:bCs w:val="1"/>
                <w:color w:val="FFFFFF"/>
              </w:rPr>
              <w:t>Investment Based On:</w:t>
            </w:r>
          </w:p>
        </w:tc>
        <w:tc>
          <w:tcPr>
            <w:tcW w:w="1560" w:type="dxa"/>
            <w:vAlign w:val="bottom"/>
            <w:shd w:val="clear" w:color="auto" w:fill="870064"/>
          </w:tcPr>
          <w:p>
            <w:pPr>
              <w:spacing w:after="0"/>
              <w:rPr>
                <w:sz w:val="17"/>
                <w:szCs w:val="17"/>
                <w:color w:val="auto"/>
              </w:rPr>
            </w:pPr>
          </w:p>
        </w:tc>
        <w:tc>
          <w:tcPr>
            <w:tcW w:w="1500" w:type="dxa"/>
            <w:vAlign w:val="bottom"/>
            <w:shd w:val="clear" w:color="auto" w:fill="870064"/>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580" w:type="dxa"/>
            <w:vAlign w:val="bottom"/>
            <w:shd w:val="clear" w:color="auto" w:fill="870064"/>
          </w:tcPr>
          <w:p>
            <w:pPr>
              <w:spacing w:after="0"/>
              <w:rPr>
                <w:sz w:val="9"/>
                <w:szCs w:val="9"/>
                <w:color w:val="auto"/>
              </w:rPr>
            </w:pPr>
          </w:p>
        </w:tc>
        <w:tc>
          <w:tcPr>
            <w:tcW w:w="1400" w:type="dxa"/>
            <w:vAlign w:val="bottom"/>
            <w:shd w:val="clear" w:color="auto" w:fill="870064"/>
          </w:tcPr>
          <w:p>
            <w:pPr>
              <w:spacing w:after="0"/>
              <w:rPr>
                <w:sz w:val="9"/>
                <w:szCs w:val="9"/>
                <w:color w:val="auto"/>
              </w:rPr>
            </w:pPr>
          </w:p>
        </w:tc>
        <w:tc>
          <w:tcPr>
            <w:tcW w:w="1200" w:type="dxa"/>
            <w:vAlign w:val="bottom"/>
            <w:shd w:val="clear" w:color="auto" w:fill="870064"/>
          </w:tcPr>
          <w:p>
            <w:pPr>
              <w:spacing w:after="0"/>
              <w:rPr>
                <w:sz w:val="9"/>
                <w:szCs w:val="9"/>
                <w:color w:val="auto"/>
              </w:rPr>
            </w:pPr>
          </w:p>
        </w:tc>
        <w:tc>
          <w:tcPr>
            <w:tcW w:w="1300" w:type="dxa"/>
            <w:vAlign w:val="bottom"/>
            <w:vMerge w:val="continue"/>
            <w:shd w:val="clear" w:color="auto" w:fill="870064"/>
          </w:tcPr>
          <w:p>
            <w:pPr>
              <w:spacing w:after="0"/>
              <w:rPr>
                <w:sz w:val="9"/>
                <w:szCs w:val="9"/>
                <w:color w:val="auto"/>
              </w:rPr>
            </w:pPr>
          </w:p>
        </w:tc>
        <w:tc>
          <w:tcPr>
            <w:tcW w:w="1300" w:type="dxa"/>
            <w:vAlign w:val="bottom"/>
            <w:shd w:val="clear" w:color="auto" w:fill="870064"/>
          </w:tcPr>
          <w:p>
            <w:pPr>
              <w:spacing w:after="0"/>
              <w:rPr>
                <w:sz w:val="9"/>
                <w:szCs w:val="9"/>
                <w:color w:val="auto"/>
              </w:rPr>
            </w:pPr>
          </w:p>
        </w:tc>
        <w:tc>
          <w:tcPr>
            <w:tcW w:w="1140" w:type="dxa"/>
            <w:vAlign w:val="bottom"/>
            <w:shd w:val="clear" w:color="auto" w:fill="870064"/>
          </w:tcPr>
          <w:p>
            <w:pPr>
              <w:spacing w:after="0"/>
              <w:rPr>
                <w:sz w:val="9"/>
                <w:szCs w:val="9"/>
                <w:color w:val="auto"/>
              </w:rPr>
            </w:pPr>
          </w:p>
        </w:tc>
        <w:tc>
          <w:tcPr>
            <w:tcW w:w="1260" w:type="dxa"/>
            <w:vAlign w:val="bottom"/>
            <w:shd w:val="clear" w:color="auto" w:fill="870064"/>
          </w:tcPr>
          <w:p>
            <w:pPr>
              <w:spacing w:after="0"/>
              <w:rPr>
                <w:sz w:val="9"/>
                <w:szCs w:val="9"/>
                <w:color w:val="auto"/>
              </w:rPr>
            </w:pPr>
          </w:p>
        </w:tc>
        <w:tc>
          <w:tcPr>
            <w:tcW w:w="1560" w:type="dxa"/>
            <w:vAlign w:val="bottom"/>
            <w:shd w:val="clear" w:color="auto" w:fill="870064"/>
          </w:tcPr>
          <w:p>
            <w:pPr>
              <w:spacing w:after="0"/>
              <w:rPr>
                <w:sz w:val="9"/>
                <w:szCs w:val="9"/>
                <w:color w:val="auto"/>
              </w:rPr>
            </w:pPr>
          </w:p>
        </w:tc>
        <w:tc>
          <w:tcPr>
            <w:tcW w:w="1500" w:type="dxa"/>
            <w:vAlign w:val="bottom"/>
            <w:shd w:val="clear" w:color="auto" w:fill="870064"/>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580" w:type="dxa"/>
            <w:vAlign w:val="bottom"/>
            <w:shd w:val="clear" w:color="auto" w:fill="870064"/>
          </w:tcPr>
          <w:p>
            <w:pPr>
              <w:spacing w:after="0"/>
              <w:rPr>
                <w:sz w:val="14"/>
                <w:szCs w:val="14"/>
                <w:color w:val="auto"/>
              </w:rPr>
            </w:pPr>
          </w:p>
        </w:tc>
        <w:tc>
          <w:tcPr>
            <w:tcW w:w="1400" w:type="dxa"/>
            <w:vAlign w:val="bottom"/>
            <w:shd w:val="clear" w:color="auto" w:fill="870064"/>
          </w:tcPr>
          <w:p>
            <w:pPr>
              <w:jc w:val="right"/>
              <w:ind w:right="51"/>
              <w:spacing w:after="0"/>
              <w:rPr>
                <w:sz w:val="20"/>
                <w:szCs w:val="20"/>
                <w:color w:val="auto"/>
              </w:rPr>
            </w:pPr>
            <w:r>
              <w:rPr>
                <w:rFonts w:ascii="Arial" w:cs="Arial" w:eastAsia="Arial" w:hAnsi="Arial"/>
                <w:sz w:val="14"/>
                <w:szCs w:val="14"/>
                <w:b w:val="1"/>
                <w:bCs w:val="1"/>
                <w:color w:val="FFFFFF"/>
              </w:rPr>
              <w:t>Summary</w:t>
            </w:r>
          </w:p>
        </w:tc>
        <w:tc>
          <w:tcPr>
            <w:tcW w:w="1200" w:type="dxa"/>
            <w:vAlign w:val="bottom"/>
            <w:shd w:val="clear" w:color="auto" w:fill="870064"/>
          </w:tcPr>
          <w:p>
            <w:pPr>
              <w:spacing w:after="0"/>
              <w:rPr>
                <w:sz w:val="14"/>
                <w:szCs w:val="14"/>
                <w:color w:val="auto"/>
              </w:rPr>
            </w:pPr>
          </w:p>
        </w:tc>
        <w:tc>
          <w:tcPr>
            <w:tcW w:w="1300" w:type="dxa"/>
            <w:vAlign w:val="bottom"/>
            <w:shd w:val="clear" w:color="auto" w:fill="870064"/>
          </w:tcPr>
          <w:p>
            <w:pPr>
              <w:jc w:val="right"/>
              <w:spacing w:after="0"/>
              <w:rPr>
                <w:sz w:val="20"/>
                <w:szCs w:val="20"/>
                <w:color w:val="auto"/>
              </w:rPr>
            </w:pPr>
            <w:r>
              <w:rPr>
                <w:rFonts w:ascii="Arial" w:cs="Arial" w:eastAsia="Arial" w:hAnsi="Arial"/>
                <w:sz w:val="14"/>
                <w:szCs w:val="14"/>
                <w:b w:val="1"/>
                <w:bCs w:val="1"/>
                <w:color w:val="FFFFFF"/>
              </w:rPr>
              <w:t>Compensation</w:t>
            </w:r>
          </w:p>
        </w:tc>
        <w:tc>
          <w:tcPr>
            <w:tcW w:w="1300" w:type="dxa"/>
            <w:vAlign w:val="bottom"/>
            <w:shd w:val="clear" w:color="auto" w:fill="870064"/>
          </w:tcPr>
          <w:p>
            <w:pPr>
              <w:jc w:val="right"/>
              <w:spacing w:after="0"/>
              <w:rPr>
                <w:sz w:val="20"/>
                <w:szCs w:val="20"/>
                <w:color w:val="auto"/>
              </w:rPr>
            </w:pPr>
            <w:r>
              <w:rPr>
                <w:rFonts w:ascii="Arial" w:cs="Arial" w:eastAsia="Arial" w:hAnsi="Arial"/>
                <w:sz w:val="14"/>
                <w:szCs w:val="14"/>
                <w:b w:val="1"/>
                <w:bCs w:val="1"/>
                <w:color w:val="FFFFFF"/>
              </w:rPr>
              <w:t>Average</w:t>
            </w:r>
          </w:p>
        </w:tc>
        <w:tc>
          <w:tcPr>
            <w:tcW w:w="1140" w:type="dxa"/>
            <w:vAlign w:val="bottom"/>
            <w:shd w:val="clear" w:color="auto" w:fill="870064"/>
          </w:tcPr>
          <w:p>
            <w:pPr>
              <w:spacing w:after="0"/>
              <w:rPr>
                <w:sz w:val="14"/>
                <w:szCs w:val="14"/>
                <w:color w:val="auto"/>
              </w:rPr>
            </w:pPr>
          </w:p>
        </w:tc>
        <w:tc>
          <w:tcPr>
            <w:tcW w:w="1260" w:type="dxa"/>
            <w:vAlign w:val="bottom"/>
            <w:shd w:val="clear" w:color="auto" w:fill="870064"/>
          </w:tcPr>
          <w:p>
            <w:pPr>
              <w:jc w:val="right"/>
              <w:ind w:right="71"/>
              <w:spacing w:after="0"/>
              <w:rPr>
                <w:sz w:val="20"/>
                <w:szCs w:val="20"/>
                <w:color w:val="auto"/>
              </w:rPr>
            </w:pPr>
            <w:r>
              <w:rPr>
                <w:rFonts w:ascii="Arial" w:cs="Arial" w:eastAsia="Arial" w:hAnsi="Arial"/>
                <w:sz w:val="14"/>
                <w:szCs w:val="14"/>
                <w:b w:val="1"/>
                <w:bCs w:val="1"/>
                <w:color w:val="FFFFFF"/>
              </w:rPr>
              <w:t>Peer Group</w:t>
            </w:r>
          </w:p>
        </w:tc>
        <w:tc>
          <w:tcPr>
            <w:tcW w:w="1560" w:type="dxa"/>
            <w:vAlign w:val="bottom"/>
            <w:shd w:val="clear" w:color="auto" w:fill="870064"/>
          </w:tcPr>
          <w:p>
            <w:pPr>
              <w:spacing w:after="0"/>
              <w:rPr>
                <w:sz w:val="14"/>
                <w:szCs w:val="14"/>
                <w:color w:val="auto"/>
              </w:rPr>
            </w:pPr>
          </w:p>
        </w:tc>
        <w:tc>
          <w:tcPr>
            <w:tcW w:w="1500" w:type="dxa"/>
            <w:vAlign w:val="bottom"/>
            <w:shd w:val="clear" w:color="auto" w:fill="870064"/>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80" w:type="dxa"/>
            <w:vAlign w:val="bottom"/>
            <w:shd w:val="clear" w:color="auto" w:fill="870064"/>
          </w:tcPr>
          <w:p>
            <w:pPr>
              <w:spacing w:after="0"/>
              <w:rPr>
                <w:sz w:val="15"/>
                <w:szCs w:val="15"/>
                <w:color w:val="auto"/>
              </w:rPr>
            </w:pPr>
          </w:p>
        </w:tc>
        <w:tc>
          <w:tcPr>
            <w:tcW w:w="1400" w:type="dxa"/>
            <w:vAlign w:val="bottom"/>
            <w:shd w:val="clear" w:color="auto" w:fill="870064"/>
          </w:tcPr>
          <w:p>
            <w:pPr>
              <w:jc w:val="right"/>
              <w:ind w:right="51"/>
              <w:spacing w:after="0"/>
              <w:rPr>
                <w:sz w:val="20"/>
                <w:szCs w:val="20"/>
                <w:color w:val="auto"/>
              </w:rPr>
            </w:pPr>
            <w:r>
              <w:rPr>
                <w:rFonts w:ascii="Arial" w:cs="Arial" w:eastAsia="Arial" w:hAnsi="Arial"/>
                <w:sz w:val="14"/>
                <w:szCs w:val="14"/>
                <w:b w:val="1"/>
                <w:bCs w:val="1"/>
                <w:color w:val="FFFFFF"/>
              </w:rPr>
              <w:t>Compensation</w:t>
            </w:r>
          </w:p>
        </w:tc>
        <w:tc>
          <w:tcPr>
            <w:tcW w:w="1200" w:type="dxa"/>
            <w:vAlign w:val="bottom"/>
            <w:shd w:val="clear" w:color="auto" w:fill="870064"/>
          </w:tcPr>
          <w:p>
            <w:pPr>
              <w:jc w:val="right"/>
              <w:spacing w:after="0"/>
              <w:rPr>
                <w:sz w:val="20"/>
                <w:szCs w:val="20"/>
                <w:color w:val="auto"/>
              </w:rPr>
            </w:pPr>
            <w:r>
              <w:rPr>
                <w:rFonts w:ascii="Arial" w:cs="Arial" w:eastAsia="Arial" w:hAnsi="Arial"/>
                <w:sz w:val="14"/>
                <w:szCs w:val="14"/>
                <w:b w:val="1"/>
                <w:bCs w:val="1"/>
                <w:color w:val="FFFFFF"/>
              </w:rPr>
              <w:t>Compensation</w:t>
            </w:r>
          </w:p>
        </w:tc>
        <w:tc>
          <w:tcPr>
            <w:tcW w:w="1300" w:type="dxa"/>
            <w:vAlign w:val="bottom"/>
            <w:shd w:val="clear" w:color="auto" w:fill="870064"/>
          </w:tcPr>
          <w:p>
            <w:pPr>
              <w:jc w:val="right"/>
              <w:spacing w:after="0"/>
              <w:rPr>
                <w:sz w:val="20"/>
                <w:szCs w:val="20"/>
                <w:color w:val="auto"/>
              </w:rPr>
            </w:pPr>
            <w:r>
              <w:rPr>
                <w:rFonts w:ascii="Arial" w:cs="Arial" w:eastAsia="Arial" w:hAnsi="Arial"/>
                <w:sz w:val="14"/>
                <w:szCs w:val="14"/>
                <w:b w:val="1"/>
                <w:bCs w:val="1"/>
                <w:color w:val="FFFFFF"/>
              </w:rPr>
              <w:t>Table Total</w:t>
            </w:r>
          </w:p>
        </w:tc>
        <w:tc>
          <w:tcPr>
            <w:tcW w:w="1300" w:type="dxa"/>
            <w:vAlign w:val="bottom"/>
            <w:shd w:val="clear" w:color="auto" w:fill="870064"/>
          </w:tcPr>
          <w:p>
            <w:pPr>
              <w:jc w:val="right"/>
              <w:spacing w:after="0"/>
              <w:rPr>
                <w:sz w:val="20"/>
                <w:szCs w:val="20"/>
                <w:color w:val="auto"/>
              </w:rPr>
            </w:pPr>
            <w:r>
              <w:rPr>
                <w:rFonts w:ascii="Arial" w:cs="Arial" w:eastAsia="Arial" w:hAnsi="Arial"/>
                <w:sz w:val="14"/>
                <w:szCs w:val="14"/>
                <w:b w:val="1"/>
                <w:bCs w:val="1"/>
                <w:color w:val="FFFFFF"/>
              </w:rPr>
              <w:t>Compensation</w:t>
            </w:r>
          </w:p>
        </w:tc>
        <w:tc>
          <w:tcPr>
            <w:tcW w:w="1140" w:type="dxa"/>
            <w:vAlign w:val="bottom"/>
            <w:shd w:val="clear" w:color="auto" w:fill="870064"/>
          </w:tcPr>
          <w:p>
            <w:pPr>
              <w:jc w:val="right"/>
              <w:spacing w:after="0"/>
              <w:rPr>
                <w:sz w:val="20"/>
                <w:szCs w:val="20"/>
                <w:color w:val="auto"/>
              </w:rPr>
            </w:pPr>
            <w:r>
              <w:rPr>
                <w:rFonts w:ascii="Arial" w:cs="Arial" w:eastAsia="Arial" w:hAnsi="Arial"/>
                <w:sz w:val="14"/>
                <w:szCs w:val="14"/>
                <w:b w:val="1"/>
                <w:bCs w:val="1"/>
                <w:color w:val="FFFFFF"/>
              </w:rPr>
              <w:t>Total</w:t>
            </w:r>
          </w:p>
        </w:tc>
        <w:tc>
          <w:tcPr>
            <w:tcW w:w="1260" w:type="dxa"/>
            <w:vAlign w:val="bottom"/>
            <w:shd w:val="clear" w:color="auto" w:fill="870064"/>
          </w:tcPr>
          <w:p>
            <w:pPr>
              <w:jc w:val="right"/>
              <w:ind w:right="71"/>
              <w:spacing w:after="0"/>
              <w:rPr>
                <w:sz w:val="20"/>
                <w:szCs w:val="20"/>
                <w:color w:val="auto"/>
              </w:rPr>
            </w:pPr>
            <w:r>
              <w:rPr>
                <w:rFonts w:ascii="Arial" w:cs="Arial" w:eastAsia="Arial" w:hAnsi="Arial"/>
                <w:sz w:val="14"/>
                <w:szCs w:val="14"/>
                <w:b w:val="1"/>
                <w:bCs w:val="1"/>
                <w:color w:val="FFFFFF"/>
              </w:rPr>
              <w:t>Total</w:t>
            </w:r>
          </w:p>
        </w:tc>
        <w:tc>
          <w:tcPr>
            <w:tcW w:w="1560" w:type="dxa"/>
            <w:vAlign w:val="bottom"/>
            <w:shd w:val="clear" w:color="auto" w:fill="870064"/>
          </w:tcPr>
          <w:p>
            <w:pPr>
              <w:spacing w:after="0"/>
              <w:rPr>
                <w:sz w:val="15"/>
                <w:szCs w:val="15"/>
                <w:color w:val="auto"/>
              </w:rPr>
            </w:pPr>
          </w:p>
        </w:tc>
        <w:tc>
          <w:tcPr>
            <w:tcW w:w="1500" w:type="dxa"/>
            <w:vAlign w:val="bottom"/>
            <w:shd w:val="clear" w:color="auto" w:fill="870064"/>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 w:type="dxa"/>
            <w:vAlign w:val="bottom"/>
            <w:shd w:val="clear" w:color="auto" w:fill="870064"/>
          </w:tcPr>
          <w:p>
            <w:pPr>
              <w:spacing w:after="0"/>
              <w:rPr>
                <w:sz w:val="15"/>
                <w:szCs w:val="15"/>
                <w:color w:val="auto"/>
              </w:rPr>
            </w:pPr>
          </w:p>
        </w:tc>
        <w:tc>
          <w:tcPr>
            <w:tcW w:w="1400" w:type="dxa"/>
            <w:vAlign w:val="bottom"/>
            <w:shd w:val="clear" w:color="auto" w:fill="870064"/>
          </w:tcPr>
          <w:p>
            <w:pPr>
              <w:jc w:val="right"/>
              <w:ind w:right="51"/>
              <w:spacing w:after="0"/>
              <w:rPr>
                <w:sz w:val="20"/>
                <w:szCs w:val="20"/>
                <w:color w:val="auto"/>
              </w:rPr>
            </w:pPr>
            <w:r>
              <w:rPr>
                <w:rFonts w:ascii="Arial" w:cs="Arial" w:eastAsia="Arial" w:hAnsi="Arial"/>
                <w:sz w:val="14"/>
                <w:szCs w:val="14"/>
                <w:b w:val="1"/>
                <w:bCs w:val="1"/>
                <w:color w:val="FFFFFF"/>
              </w:rPr>
              <w:t>Table Total</w:t>
            </w:r>
          </w:p>
        </w:tc>
        <w:tc>
          <w:tcPr>
            <w:tcW w:w="1200" w:type="dxa"/>
            <w:vAlign w:val="bottom"/>
            <w:shd w:val="clear" w:color="auto" w:fill="870064"/>
          </w:tcPr>
          <w:p>
            <w:pPr>
              <w:jc w:val="right"/>
              <w:spacing w:after="0"/>
              <w:rPr>
                <w:sz w:val="20"/>
                <w:szCs w:val="20"/>
                <w:color w:val="auto"/>
              </w:rPr>
            </w:pPr>
            <w:r>
              <w:rPr>
                <w:rFonts w:ascii="Arial" w:cs="Arial" w:eastAsia="Arial" w:hAnsi="Arial"/>
                <w:sz w:val="14"/>
                <w:szCs w:val="14"/>
                <w:b w:val="1"/>
                <w:bCs w:val="1"/>
                <w:color w:val="FFFFFF"/>
              </w:rPr>
              <w:t>Actually Paid to</w:t>
            </w:r>
          </w:p>
        </w:tc>
        <w:tc>
          <w:tcPr>
            <w:tcW w:w="1300" w:type="dxa"/>
            <w:vAlign w:val="bottom"/>
            <w:shd w:val="clear" w:color="auto" w:fill="870064"/>
          </w:tcPr>
          <w:p>
            <w:pPr>
              <w:jc w:val="right"/>
              <w:spacing w:after="0"/>
              <w:rPr>
                <w:sz w:val="20"/>
                <w:szCs w:val="20"/>
                <w:color w:val="auto"/>
              </w:rPr>
            </w:pPr>
            <w:r>
              <w:rPr>
                <w:rFonts w:ascii="Arial" w:cs="Arial" w:eastAsia="Arial" w:hAnsi="Arial"/>
                <w:sz w:val="14"/>
                <w:szCs w:val="14"/>
                <w:b w:val="1"/>
                <w:bCs w:val="1"/>
                <w:color w:val="FFFFFF"/>
              </w:rPr>
              <w:t>for Non-PEO</w:t>
            </w:r>
          </w:p>
        </w:tc>
        <w:tc>
          <w:tcPr>
            <w:tcW w:w="1300" w:type="dxa"/>
            <w:vAlign w:val="bottom"/>
            <w:shd w:val="clear" w:color="auto" w:fill="870064"/>
          </w:tcPr>
          <w:p>
            <w:pPr>
              <w:jc w:val="right"/>
              <w:spacing w:after="0"/>
              <w:rPr>
                <w:sz w:val="20"/>
                <w:szCs w:val="20"/>
                <w:color w:val="auto"/>
              </w:rPr>
            </w:pPr>
            <w:r>
              <w:rPr>
                <w:rFonts w:ascii="Arial" w:cs="Arial" w:eastAsia="Arial" w:hAnsi="Arial"/>
                <w:sz w:val="14"/>
                <w:szCs w:val="14"/>
                <w:b w:val="1"/>
                <w:bCs w:val="1"/>
                <w:color w:val="FFFFFF"/>
              </w:rPr>
              <w:t>Actually Paid to</w:t>
            </w:r>
          </w:p>
        </w:tc>
        <w:tc>
          <w:tcPr>
            <w:tcW w:w="1140" w:type="dxa"/>
            <w:vAlign w:val="bottom"/>
            <w:shd w:val="clear" w:color="auto" w:fill="870064"/>
          </w:tcPr>
          <w:p>
            <w:pPr>
              <w:jc w:val="right"/>
              <w:spacing w:after="0"/>
              <w:rPr>
                <w:sz w:val="20"/>
                <w:szCs w:val="20"/>
                <w:color w:val="auto"/>
              </w:rPr>
            </w:pPr>
            <w:r>
              <w:rPr>
                <w:rFonts w:ascii="Arial" w:cs="Arial" w:eastAsia="Arial" w:hAnsi="Arial"/>
                <w:sz w:val="14"/>
                <w:szCs w:val="14"/>
                <w:b w:val="1"/>
                <w:bCs w:val="1"/>
                <w:color w:val="FFFFFF"/>
              </w:rPr>
              <w:t>Shareholder</w:t>
            </w:r>
          </w:p>
        </w:tc>
        <w:tc>
          <w:tcPr>
            <w:tcW w:w="1260" w:type="dxa"/>
            <w:vAlign w:val="bottom"/>
            <w:shd w:val="clear" w:color="auto" w:fill="870064"/>
          </w:tcPr>
          <w:p>
            <w:pPr>
              <w:jc w:val="right"/>
              <w:ind w:right="71"/>
              <w:spacing w:after="0"/>
              <w:rPr>
                <w:sz w:val="20"/>
                <w:szCs w:val="20"/>
                <w:color w:val="auto"/>
              </w:rPr>
            </w:pPr>
            <w:r>
              <w:rPr>
                <w:rFonts w:ascii="Arial" w:cs="Arial" w:eastAsia="Arial" w:hAnsi="Arial"/>
                <w:sz w:val="14"/>
                <w:szCs w:val="14"/>
                <w:b w:val="1"/>
                <w:bCs w:val="1"/>
                <w:color w:val="FFFFFF"/>
              </w:rPr>
              <w:t>Shareholder</w:t>
            </w:r>
          </w:p>
        </w:tc>
        <w:tc>
          <w:tcPr>
            <w:tcW w:w="1560" w:type="dxa"/>
            <w:vAlign w:val="bottom"/>
            <w:shd w:val="clear" w:color="auto" w:fill="870064"/>
          </w:tcPr>
          <w:p>
            <w:pPr>
              <w:jc w:val="right"/>
              <w:ind w:right="88"/>
              <w:spacing w:after="0"/>
              <w:rPr>
                <w:sz w:val="20"/>
                <w:szCs w:val="20"/>
                <w:color w:val="auto"/>
              </w:rPr>
            </w:pPr>
            <w:r>
              <w:rPr>
                <w:rFonts w:ascii="Arial" w:cs="Arial" w:eastAsia="Arial" w:hAnsi="Arial"/>
                <w:sz w:val="14"/>
                <w:szCs w:val="14"/>
                <w:b w:val="1"/>
                <w:bCs w:val="1"/>
                <w:color w:val="FFFFFF"/>
              </w:rPr>
              <w:t>GAAP Net Income/</w:t>
            </w:r>
          </w:p>
        </w:tc>
        <w:tc>
          <w:tcPr>
            <w:tcW w:w="1500" w:type="dxa"/>
            <w:vAlign w:val="bottom"/>
            <w:shd w:val="clear" w:color="auto" w:fill="870064"/>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80" w:type="dxa"/>
            <w:vAlign w:val="bottom"/>
            <w:shd w:val="clear" w:color="auto" w:fill="870064"/>
          </w:tcPr>
          <w:p>
            <w:pPr>
              <w:spacing w:after="0"/>
              <w:rPr>
                <w:sz w:val="15"/>
                <w:szCs w:val="15"/>
                <w:color w:val="auto"/>
              </w:rPr>
            </w:pPr>
          </w:p>
        </w:tc>
        <w:tc>
          <w:tcPr>
            <w:tcW w:w="1400" w:type="dxa"/>
            <w:vAlign w:val="bottom"/>
            <w:shd w:val="clear" w:color="auto" w:fill="870064"/>
          </w:tcPr>
          <w:p>
            <w:pPr>
              <w:jc w:val="right"/>
              <w:ind w:right="51"/>
              <w:spacing w:after="0"/>
              <w:rPr>
                <w:sz w:val="20"/>
                <w:szCs w:val="20"/>
                <w:color w:val="auto"/>
              </w:rPr>
            </w:pPr>
            <w:r>
              <w:rPr>
                <w:rFonts w:ascii="Arial" w:cs="Arial" w:eastAsia="Arial" w:hAnsi="Arial"/>
                <w:sz w:val="14"/>
                <w:szCs w:val="14"/>
                <w:b w:val="1"/>
                <w:bCs w:val="1"/>
                <w:color w:val="FFFFFF"/>
              </w:rPr>
              <w:t>for PEO</w:t>
            </w:r>
          </w:p>
        </w:tc>
        <w:tc>
          <w:tcPr>
            <w:tcW w:w="1200" w:type="dxa"/>
            <w:vAlign w:val="bottom"/>
            <w:shd w:val="clear" w:color="auto" w:fill="870064"/>
          </w:tcPr>
          <w:p>
            <w:pPr>
              <w:jc w:val="right"/>
              <w:spacing w:after="0"/>
              <w:rPr>
                <w:sz w:val="20"/>
                <w:szCs w:val="20"/>
                <w:color w:val="auto"/>
              </w:rPr>
            </w:pPr>
            <w:r>
              <w:rPr>
                <w:rFonts w:ascii="Arial" w:cs="Arial" w:eastAsia="Arial" w:hAnsi="Arial"/>
                <w:sz w:val="14"/>
                <w:szCs w:val="14"/>
                <w:b w:val="1"/>
                <w:bCs w:val="1"/>
                <w:color w:val="FFFFFF"/>
              </w:rPr>
              <w:t>PEO</w:t>
            </w:r>
          </w:p>
        </w:tc>
        <w:tc>
          <w:tcPr>
            <w:tcW w:w="1300" w:type="dxa"/>
            <w:vAlign w:val="bottom"/>
            <w:shd w:val="clear" w:color="auto" w:fill="870064"/>
          </w:tcPr>
          <w:p>
            <w:pPr>
              <w:jc w:val="right"/>
              <w:spacing w:after="0"/>
              <w:rPr>
                <w:sz w:val="20"/>
                <w:szCs w:val="20"/>
                <w:color w:val="auto"/>
              </w:rPr>
            </w:pPr>
            <w:r>
              <w:rPr>
                <w:rFonts w:ascii="Arial" w:cs="Arial" w:eastAsia="Arial" w:hAnsi="Arial"/>
                <w:sz w:val="14"/>
                <w:szCs w:val="14"/>
                <w:b w:val="1"/>
                <w:bCs w:val="1"/>
                <w:color w:val="FFFFFF"/>
              </w:rPr>
              <w:t>NEOs</w:t>
            </w:r>
          </w:p>
        </w:tc>
        <w:tc>
          <w:tcPr>
            <w:tcW w:w="1300" w:type="dxa"/>
            <w:vAlign w:val="bottom"/>
            <w:shd w:val="clear" w:color="auto" w:fill="870064"/>
          </w:tcPr>
          <w:p>
            <w:pPr>
              <w:jc w:val="right"/>
              <w:spacing w:after="0"/>
              <w:rPr>
                <w:sz w:val="20"/>
                <w:szCs w:val="20"/>
                <w:color w:val="auto"/>
              </w:rPr>
            </w:pPr>
            <w:r>
              <w:rPr>
                <w:rFonts w:ascii="Arial" w:cs="Arial" w:eastAsia="Arial" w:hAnsi="Arial"/>
                <w:sz w:val="14"/>
                <w:szCs w:val="14"/>
                <w:b w:val="1"/>
                <w:bCs w:val="1"/>
                <w:color w:val="FFFFFF"/>
              </w:rPr>
              <w:t>Non-PEO NEOs</w:t>
            </w:r>
          </w:p>
        </w:tc>
        <w:tc>
          <w:tcPr>
            <w:tcW w:w="1140" w:type="dxa"/>
            <w:vAlign w:val="bottom"/>
            <w:shd w:val="clear" w:color="auto" w:fill="870064"/>
          </w:tcPr>
          <w:p>
            <w:pPr>
              <w:jc w:val="right"/>
              <w:spacing w:after="0"/>
              <w:rPr>
                <w:sz w:val="20"/>
                <w:szCs w:val="20"/>
                <w:color w:val="auto"/>
              </w:rPr>
            </w:pPr>
            <w:r>
              <w:rPr>
                <w:rFonts w:ascii="Arial" w:cs="Arial" w:eastAsia="Arial" w:hAnsi="Arial"/>
                <w:sz w:val="14"/>
                <w:szCs w:val="14"/>
                <w:b w:val="1"/>
                <w:bCs w:val="1"/>
                <w:color w:val="FFFFFF"/>
              </w:rPr>
              <w:t>Return</w:t>
            </w:r>
          </w:p>
        </w:tc>
        <w:tc>
          <w:tcPr>
            <w:tcW w:w="1260" w:type="dxa"/>
            <w:vAlign w:val="bottom"/>
            <w:shd w:val="clear" w:color="auto" w:fill="870064"/>
          </w:tcPr>
          <w:p>
            <w:pPr>
              <w:jc w:val="right"/>
              <w:ind w:right="71"/>
              <w:spacing w:after="0"/>
              <w:rPr>
                <w:sz w:val="20"/>
                <w:szCs w:val="20"/>
                <w:color w:val="auto"/>
              </w:rPr>
            </w:pPr>
            <w:r>
              <w:rPr>
                <w:rFonts w:ascii="Arial" w:cs="Arial" w:eastAsia="Arial" w:hAnsi="Arial"/>
                <w:sz w:val="14"/>
                <w:szCs w:val="14"/>
                <w:b w:val="1"/>
                <w:bCs w:val="1"/>
                <w:color w:val="FFFFFF"/>
              </w:rPr>
              <w:t>Return</w:t>
            </w:r>
          </w:p>
        </w:tc>
        <w:tc>
          <w:tcPr>
            <w:tcW w:w="1560" w:type="dxa"/>
            <w:vAlign w:val="bottom"/>
            <w:shd w:val="clear" w:color="auto" w:fill="870064"/>
          </w:tcPr>
          <w:p>
            <w:pPr>
              <w:jc w:val="right"/>
              <w:ind w:right="88"/>
              <w:spacing w:after="0"/>
              <w:rPr>
                <w:sz w:val="20"/>
                <w:szCs w:val="20"/>
                <w:color w:val="auto"/>
              </w:rPr>
            </w:pPr>
            <w:r>
              <w:rPr>
                <w:rFonts w:ascii="Arial" w:cs="Arial" w:eastAsia="Arial" w:hAnsi="Arial"/>
                <w:sz w:val="14"/>
                <w:szCs w:val="14"/>
                <w:b w:val="1"/>
                <w:bCs w:val="1"/>
                <w:color w:val="FFFFFF"/>
              </w:rPr>
              <w:t>(Loss)</w:t>
            </w:r>
          </w:p>
        </w:tc>
        <w:tc>
          <w:tcPr>
            <w:tcW w:w="1500" w:type="dxa"/>
            <w:vAlign w:val="bottom"/>
            <w:shd w:val="clear" w:color="auto" w:fill="870064"/>
          </w:tcPr>
          <w:p>
            <w:pPr>
              <w:jc w:val="right"/>
              <w:ind w:right="48"/>
              <w:spacing w:after="0"/>
              <w:rPr>
                <w:sz w:val="20"/>
                <w:szCs w:val="20"/>
                <w:color w:val="auto"/>
              </w:rPr>
            </w:pPr>
            <w:r>
              <w:rPr>
                <w:rFonts w:ascii="Arial" w:cs="Arial" w:eastAsia="Arial" w:hAnsi="Arial"/>
                <w:sz w:val="14"/>
                <w:szCs w:val="14"/>
                <w:b w:val="1"/>
                <w:bCs w:val="1"/>
                <w:color w:val="FFFFFF"/>
              </w:rPr>
              <w:t>Total Revenues</w:t>
            </w:r>
          </w:p>
        </w:tc>
        <w:tc>
          <w:tcPr>
            <w:tcW w:w="0" w:type="dxa"/>
            <w:vAlign w:val="bottom"/>
          </w:tcPr>
          <w:p>
            <w:pPr>
              <w:spacing w:after="0"/>
              <w:rPr>
                <w:sz w:val="1"/>
                <w:szCs w:val="1"/>
                <w:color w:val="auto"/>
              </w:rPr>
            </w:pPr>
          </w:p>
        </w:tc>
      </w:tr>
      <w:tr>
        <w:trPr>
          <w:trHeight w:val="248"/>
        </w:trPr>
        <w:tc>
          <w:tcPr>
            <w:tcW w:w="580" w:type="dxa"/>
            <w:vAlign w:val="bottom"/>
            <w:tcBorders>
              <w:bottom w:val="single" w:sz="8" w:color="870064"/>
            </w:tcBorders>
            <w:shd w:val="clear" w:color="auto" w:fill="870064"/>
          </w:tcPr>
          <w:p>
            <w:pPr>
              <w:ind w:left="100"/>
              <w:spacing w:after="0"/>
              <w:rPr>
                <w:sz w:val="20"/>
                <w:szCs w:val="20"/>
                <w:color w:val="auto"/>
              </w:rPr>
            </w:pPr>
            <w:r>
              <w:rPr>
                <w:rFonts w:ascii="Arial" w:cs="Arial" w:eastAsia="Arial" w:hAnsi="Arial"/>
                <w:sz w:val="14"/>
                <w:szCs w:val="14"/>
                <w:b w:val="1"/>
                <w:bCs w:val="1"/>
                <w:color w:val="FFFFFF"/>
              </w:rPr>
              <w:t>Year</w:t>
            </w:r>
          </w:p>
        </w:tc>
        <w:tc>
          <w:tcPr>
            <w:tcW w:w="1400" w:type="dxa"/>
            <w:vAlign w:val="bottom"/>
            <w:tcBorders>
              <w:bottom w:val="single" w:sz="8" w:color="870064"/>
            </w:tcBorders>
            <w:shd w:val="clear" w:color="auto" w:fill="870064"/>
          </w:tcPr>
          <w:p>
            <w:pPr>
              <w:jc w:val="right"/>
              <w:ind w:right="51"/>
              <w:spacing w:after="0" w:line="214"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9"/>
                <w:szCs w:val="9"/>
                <w:b w:val="1"/>
                <w:bCs w:val="1"/>
                <w:color w:val="FFFFFF"/>
              </w:rPr>
              <w:t>(1)</w:t>
            </w:r>
          </w:p>
        </w:tc>
        <w:tc>
          <w:tcPr>
            <w:tcW w:w="1200" w:type="dxa"/>
            <w:vAlign w:val="bottom"/>
            <w:tcBorders>
              <w:bottom w:val="single" w:sz="8" w:color="870064"/>
            </w:tcBorders>
            <w:shd w:val="clear" w:color="auto" w:fill="870064"/>
          </w:tcPr>
          <w:p>
            <w:pPr>
              <w:jc w:val="right"/>
              <w:spacing w:after="0" w:line="214"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9"/>
                <w:szCs w:val="9"/>
                <w:b w:val="1"/>
                <w:bCs w:val="1"/>
                <w:color w:val="FFFFFF"/>
              </w:rPr>
              <w:t>(2)</w:t>
            </w:r>
          </w:p>
        </w:tc>
        <w:tc>
          <w:tcPr>
            <w:tcW w:w="1300" w:type="dxa"/>
            <w:vAlign w:val="bottom"/>
            <w:tcBorders>
              <w:bottom w:val="single" w:sz="8" w:color="870064"/>
            </w:tcBorders>
            <w:shd w:val="clear" w:color="auto" w:fill="870064"/>
          </w:tcPr>
          <w:p>
            <w:pPr>
              <w:jc w:val="right"/>
              <w:spacing w:after="0" w:line="214"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9"/>
                <w:szCs w:val="9"/>
                <w:b w:val="1"/>
                <w:bCs w:val="1"/>
                <w:color w:val="FFFFFF"/>
              </w:rPr>
              <w:t>(1)</w:t>
            </w:r>
          </w:p>
        </w:tc>
        <w:tc>
          <w:tcPr>
            <w:tcW w:w="1300" w:type="dxa"/>
            <w:vAlign w:val="bottom"/>
            <w:tcBorders>
              <w:bottom w:val="single" w:sz="8" w:color="870064"/>
            </w:tcBorders>
            <w:shd w:val="clear" w:color="auto" w:fill="870064"/>
          </w:tcPr>
          <w:p>
            <w:pPr>
              <w:jc w:val="right"/>
              <w:spacing w:after="0" w:line="214"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9"/>
                <w:szCs w:val="9"/>
                <w:b w:val="1"/>
                <w:bCs w:val="1"/>
                <w:color w:val="FFFFFF"/>
              </w:rPr>
              <w:t>(2)</w:t>
            </w:r>
          </w:p>
        </w:tc>
        <w:tc>
          <w:tcPr>
            <w:tcW w:w="1140" w:type="dxa"/>
            <w:vAlign w:val="bottom"/>
            <w:tcBorders>
              <w:bottom w:val="single" w:sz="8" w:color="870064"/>
            </w:tcBorders>
            <w:shd w:val="clear" w:color="auto" w:fill="870064"/>
          </w:tcPr>
          <w:p>
            <w:pPr>
              <w:jc w:val="right"/>
              <w:spacing w:after="0" w:line="214"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9"/>
                <w:szCs w:val="9"/>
                <w:b w:val="1"/>
                <w:bCs w:val="1"/>
                <w:color w:val="FFFFFF"/>
              </w:rPr>
              <w:t>(3)</w:t>
            </w:r>
          </w:p>
        </w:tc>
        <w:tc>
          <w:tcPr>
            <w:tcW w:w="1260" w:type="dxa"/>
            <w:vAlign w:val="bottom"/>
            <w:tcBorders>
              <w:bottom w:val="single" w:sz="8" w:color="870064"/>
            </w:tcBorders>
            <w:shd w:val="clear" w:color="auto" w:fill="870064"/>
          </w:tcPr>
          <w:p>
            <w:pPr>
              <w:jc w:val="right"/>
              <w:ind w:right="71"/>
              <w:spacing w:after="0" w:line="214"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9"/>
                <w:szCs w:val="9"/>
                <w:b w:val="1"/>
                <w:bCs w:val="1"/>
                <w:color w:val="FFFFFF"/>
              </w:rPr>
              <w:t>(3)</w:t>
            </w:r>
          </w:p>
        </w:tc>
        <w:tc>
          <w:tcPr>
            <w:tcW w:w="1560" w:type="dxa"/>
            <w:vAlign w:val="bottom"/>
            <w:tcBorders>
              <w:bottom w:val="single" w:sz="8" w:color="870064"/>
            </w:tcBorders>
            <w:shd w:val="clear" w:color="auto" w:fill="870064"/>
          </w:tcPr>
          <w:p>
            <w:pPr>
              <w:jc w:val="right"/>
              <w:ind w:right="88"/>
              <w:spacing w:after="0"/>
              <w:rPr>
                <w:sz w:val="20"/>
                <w:szCs w:val="20"/>
                <w:color w:val="auto"/>
              </w:rPr>
            </w:pPr>
            <w:r>
              <w:rPr>
                <w:rFonts w:ascii="Arial" w:cs="Arial" w:eastAsia="Arial" w:hAnsi="Arial"/>
                <w:sz w:val="14"/>
                <w:szCs w:val="14"/>
                <w:b w:val="1"/>
                <w:bCs w:val="1"/>
                <w:color w:val="FFFFFF"/>
              </w:rPr>
              <w:t>($ in thousands)</w:t>
            </w:r>
            <w:r>
              <w:rPr>
                <w:rFonts w:ascii="Arial" w:cs="Arial" w:eastAsia="Arial" w:hAnsi="Arial"/>
                <w:sz w:val="9"/>
                <w:szCs w:val="9"/>
                <w:b w:val="1"/>
                <w:bCs w:val="1"/>
                <w:color w:val="FFFFFF"/>
              </w:rPr>
              <w:t>(4)</w:t>
            </w:r>
          </w:p>
        </w:tc>
        <w:tc>
          <w:tcPr>
            <w:tcW w:w="1500" w:type="dxa"/>
            <w:vAlign w:val="bottom"/>
            <w:tcBorders>
              <w:bottom w:val="single" w:sz="8" w:color="870064"/>
            </w:tcBorders>
            <w:shd w:val="clear" w:color="auto" w:fill="870064"/>
          </w:tcPr>
          <w:p>
            <w:pPr>
              <w:jc w:val="right"/>
              <w:ind w:right="48"/>
              <w:spacing w:after="0"/>
              <w:rPr>
                <w:sz w:val="20"/>
                <w:szCs w:val="20"/>
                <w:color w:val="auto"/>
              </w:rPr>
            </w:pPr>
            <w:r>
              <w:rPr>
                <w:rFonts w:ascii="Arial" w:cs="Arial" w:eastAsia="Arial" w:hAnsi="Arial"/>
                <w:sz w:val="14"/>
                <w:szCs w:val="14"/>
                <w:b w:val="1"/>
                <w:bCs w:val="1"/>
                <w:color w:val="FFFFFF"/>
              </w:rPr>
              <w:t>($ in thousands)</w:t>
            </w:r>
            <w:r>
              <w:rPr>
                <w:rFonts w:ascii="Arial" w:cs="Arial" w:eastAsia="Arial" w:hAnsi="Arial"/>
                <w:sz w:val="18"/>
                <w:szCs w:val="18"/>
                <w:b w:val="1"/>
                <w:bCs w:val="1"/>
                <w:color w:val="FFFFFF"/>
                <w:vertAlign w:val="superscript"/>
              </w:rPr>
              <w:t>(5)</w:t>
            </w:r>
          </w:p>
        </w:tc>
        <w:tc>
          <w:tcPr>
            <w:tcW w:w="0" w:type="dxa"/>
            <w:vAlign w:val="bottom"/>
          </w:tcPr>
          <w:p>
            <w:pPr>
              <w:spacing w:after="0"/>
              <w:rPr>
                <w:sz w:val="1"/>
                <w:szCs w:val="1"/>
                <w:color w:val="auto"/>
              </w:rPr>
            </w:pPr>
          </w:p>
        </w:tc>
      </w:tr>
      <w:tr>
        <w:trPr>
          <w:trHeight w:val="235"/>
        </w:trPr>
        <w:tc>
          <w:tcPr>
            <w:tcW w:w="580" w:type="dxa"/>
            <w:vAlign w:val="bottom"/>
          </w:tcPr>
          <w:p>
            <w:pPr>
              <w:ind w:left="100"/>
              <w:spacing w:after="0"/>
              <w:rPr>
                <w:sz w:val="20"/>
                <w:szCs w:val="20"/>
                <w:color w:val="auto"/>
              </w:rPr>
            </w:pPr>
            <w:r>
              <w:rPr>
                <w:rFonts w:ascii="Arial" w:cs="Arial" w:eastAsia="Arial" w:hAnsi="Arial"/>
                <w:sz w:val="14"/>
                <w:szCs w:val="14"/>
                <w:color w:val="auto"/>
              </w:rPr>
              <w:t>2023</w:t>
            </w:r>
          </w:p>
        </w:tc>
        <w:tc>
          <w:tcPr>
            <w:tcW w:w="1400" w:type="dxa"/>
            <w:vAlign w:val="bottom"/>
          </w:tcPr>
          <w:p>
            <w:pPr>
              <w:jc w:val="right"/>
              <w:ind w:right="51"/>
              <w:spacing w:after="0"/>
              <w:rPr>
                <w:sz w:val="20"/>
                <w:szCs w:val="20"/>
                <w:color w:val="auto"/>
              </w:rPr>
            </w:pPr>
            <w:r>
              <w:rPr>
                <w:rFonts w:ascii="Arial" w:cs="Arial" w:eastAsia="Arial" w:hAnsi="Arial"/>
                <w:sz w:val="14"/>
                <w:szCs w:val="14"/>
                <w:color w:val="auto"/>
              </w:rPr>
              <w:t>15,341,235</w:t>
            </w:r>
          </w:p>
        </w:tc>
        <w:tc>
          <w:tcPr>
            <w:tcW w:w="1200" w:type="dxa"/>
            <w:vAlign w:val="bottom"/>
          </w:tcPr>
          <w:p>
            <w:pPr>
              <w:jc w:val="right"/>
              <w:spacing w:after="0"/>
              <w:rPr>
                <w:sz w:val="20"/>
                <w:szCs w:val="20"/>
                <w:color w:val="auto"/>
              </w:rPr>
            </w:pPr>
            <w:r>
              <w:rPr>
                <w:rFonts w:ascii="Arial" w:cs="Arial" w:eastAsia="Arial" w:hAnsi="Arial"/>
                <w:sz w:val="14"/>
                <w:szCs w:val="14"/>
                <w:color w:val="auto"/>
              </w:rPr>
              <w:t>(2,503,427)</w:t>
            </w:r>
          </w:p>
        </w:tc>
        <w:tc>
          <w:tcPr>
            <w:tcW w:w="1300" w:type="dxa"/>
            <w:vAlign w:val="bottom"/>
          </w:tcPr>
          <w:p>
            <w:pPr>
              <w:jc w:val="right"/>
              <w:spacing w:after="0"/>
              <w:rPr>
                <w:sz w:val="20"/>
                <w:szCs w:val="20"/>
                <w:color w:val="auto"/>
              </w:rPr>
            </w:pPr>
            <w:r>
              <w:rPr>
                <w:rFonts w:ascii="Arial" w:cs="Arial" w:eastAsia="Arial" w:hAnsi="Arial"/>
                <w:sz w:val="14"/>
                <w:szCs w:val="14"/>
                <w:color w:val="auto"/>
              </w:rPr>
              <w:t>4,231,034</w:t>
            </w:r>
          </w:p>
        </w:tc>
        <w:tc>
          <w:tcPr>
            <w:tcW w:w="1300" w:type="dxa"/>
            <w:vAlign w:val="bottom"/>
          </w:tcPr>
          <w:p>
            <w:pPr>
              <w:jc w:val="right"/>
              <w:spacing w:after="0"/>
              <w:rPr>
                <w:sz w:val="20"/>
                <w:szCs w:val="20"/>
                <w:color w:val="auto"/>
              </w:rPr>
            </w:pPr>
            <w:r>
              <w:rPr>
                <w:rFonts w:ascii="Arial" w:cs="Arial" w:eastAsia="Arial" w:hAnsi="Arial"/>
                <w:sz w:val="14"/>
                <w:szCs w:val="14"/>
                <w:color w:val="auto"/>
              </w:rPr>
              <w:t>208,193</w:t>
            </w:r>
          </w:p>
        </w:tc>
        <w:tc>
          <w:tcPr>
            <w:tcW w:w="1140" w:type="dxa"/>
            <w:vAlign w:val="bottom"/>
          </w:tcPr>
          <w:p>
            <w:pPr>
              <w:jc w:val="right"/>
              <w:spacing w:after="0"/>
              <w:rPr>
                <w:sz w:val="20"/>
                <w:szCs w:val="20"/>
                <w:color w:val="auto"/>
              </w:rPr>
            </w:pPr>
            <w:r>
              <w:rPr>
                <w:rFonts w:ascii="Arial" w:cs="Arial" w:eastAsia="Arial" w:hAnsi="Arial"/>
                <w:sz w:val="14"/>
                <w:szCs w:val="14"/>
                <w:color w:val="auto"/>
              </w:rPr>
              <w:t>82.40</w:t>
            </w:r>
          </w:p>
        </w:tc>
        <w:tc>
          <w:tcPr>
            <w:tcW w:w="1260" w:type="dxa"/>
            <w:vAlign w:val="bottom"/>
          </w:tcPr>
          <w:p>
            <w:pPr>
              <w:jc w:val="right"/>
              <w:ind w:right="71"/>
              <w:spacing w:after="0"/>
              <w:rPr>
                <w:sz w:val="20"/>
                <w:szCs w:val="20"/>
                <w:color w:val="auto"/>
              </w:rPr>
            </w:pPr>
            <w:r>
              <w:rPr>
                <w:rFonts w:ascii="Arial" w:cs="Arial" w:eastAsia="Arial" w:hAnsi="Arial"/>
                <w:sz w:val="14"/>
                <w:szCs w:val="14"/>
                <w:color w:val="auto"/>
              </w:rPr>
              <w:t>118.87</w:t>
            </w: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414,832</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3,834,204</w:t>
            </w:r>
          </w:p>
        </w:tc>
        <w:tc>
          <w:tcPr>
            <w:tcW w:w="0" w:type="dxa"/>
            <w:vAlign w:val="bottom"/>
          </w:tcPr>
          <w:p>
            <w:pPr>
              <w:spacing w:after="0"/>
              <w:rPr>
                <w:sz w:val="1"/>
                <w:szCs w:val="1"/>
                <w:color w:val="auto"/>
              </w:rPr>
            </w:pPr>
          </w:p>
        </w:tc>
      </w:tr>
      <w:tr>
        <w:trPr>
          <w:trHeight w:val="49"/>
        </w:trPr>
        <w:tc>
          <w:tcPr>
            <w:tcW w:w="5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8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14"/>
                <w:szCs w:val="14"/>
                <w:color w:val="auto"/>
              </w:rPr>
              <w:t>2022</w:t>
            </w:r>
          </w:p>
        </w:tc>
        <w:tc>
          <w:tcPr>
            <w:tcW w:w="1400" w:type="dxa"/>
            <w:vAlign w:val="bottom"/>
            <w:tcBorders>
              <w:bottom w:val="single" w:sz="8" w:color="EAEAEA"/>
            </w:tcBorders>
            <w:shd w:val="clear" w:color="auto" w:fill="EAEAEA"/>
          </w:tcPr>
          <w:p>
            <w:pPr>
              <w:jc w:val="right"/>
              <w:ind w:right="51"/>
              <w:spacing w:after="0"/>
              <w:rPr>
                <w:sz w:val="20"/>
                <w:szCs w:val="20"/>
                <w:color w:val="auto"/>
              </w:rPr>
            </w:pPr>
            <w:r>
              <w:rPr>
                <w:rFonts w:ascii="Arial" w:cs="Arial" w:eastAsia="Arial" w:hAnsi="Arial"/>
                <w:sz w:val="14"/>
                <w:szCs w:val="14"/>
                <w:color w:val="auto"/>
              </w:rPr>
              <w:t>17,325,618</w:t>
            </w:r>
          </w:p>
        </w:tc>
        <w:tc>
          <w:tcPr>
            <w:tcW w:w="12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26,315,005</w:t>
            </w:r>
          </w:p>
        </w:tc>
        <w:tc>
          <w:tcPr>
            <w:tcW w:w="13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5,035,509</w:t>
            </w:r>
          </w:p>
        </w:tc>
        <w:tc>
          <w:tcPr>
            <w:tcW w:w="13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7,254,180</w:t>
            </w:r>
          </w:p>
        </w:tc>
        <w:tc>
          <w:tcPr>
            <w:tcW w:w="11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106.72</w:t>
            </w:r>
          </w:p>
        </w:tc>
        <w:tc>
          <w:tcPr>
            <w:tcW w:w="1260" w:type="dxa"/>
            <w:vAlign w:val="bottom"/>
            <w:tcBorders>
              <w:bottom w:val="single" w:sz="8" w:color="EAEAEA"/>
            </w:tcBorders>
            <w:shd w:val="clear" w:color="auto" w:fill="EAEAEA"/>
          </w:tcPr>
          <w:p>
            <w:pPr>
              <w:jc w:val="right"/>
              <w:ind w:right="71"/>
              <w:spacing w:after="0"/>
              <w:rPr>
                <w:sz w:val="20"/>
                <w:szCs w:val="20"/>
                <w:color w:val="auto"/>
              </w:rPr>
            </w:pPr>
            <w:r>
              <w:rPr>
                <w:rFonts w:ascii="Arial" w:cs="Arial" w:eastAsia="Arial" w:hAnsi="Arial"/>
                <w:sz w:val="14"/>
                <w:szCs w:val="14"/>
                <w:color w:val="auto"/>
              </w:rPr>
              <w:t>113.65</w:t>
            </w:r>
          </w:p>
        </w:tc>
        <w:tc>
          <w:tcPr>
            <w:tcW w:w="1560" w:type="dxa"/>
            <w:vAlign w:val="bottom"/>
            <w:tcBorders>
              <w:bottom w:val="single" w:sz="8" w:color="EAEAEA"/>
            </w:tcBorders>
            <w:shd w:val="clear" w:color="auto" w:fill="EAEAEA"/>
          </w:tcPr>
          <w:p>
            <w:pPr>
              <w:jc w:val="right"/>
              <w:ind w:right="88"/>
              <w:spacing w:after="0"/>
              <w:rPr>
                <w:sz w:val="20"/>
                <w:szCs w:val="20"/>
                <w:color w:val="auto"/>
              </w:rPr>
            </w:pPr>
            <w:r>
              <w:rPr>
                <w:rFonts w:ascii="Arial" w:cs="Arial" w:eastAsia="Arial" w:hAnsi="Arial"/>
                <w:sz w:val="14"/>
                <w:szCs w:val="14"/>
                <w:color w:val="auto"/>
              </w:rPr>
              <w:t>(224,060)</w:t>
            </w:r>
          </w:p>
        </w:tc>
        <w:tc>
          <w:tcPr>
            <w:tcW w:w="1500" w:type="dxa"/>
            <w:vAlign w:val="bottom"/>
            <w:tcBorders>
              <w:bottom w:val="single" w:sz="8" w:color="EAEAEA"/>
            </w:tcBorders>
            <w:shd w:val="clear" w:color="auto" w:fill="EAEAEA"/>
          </w:tcPr>
          <w:p>
            <w:pPr>
              <w:jc w:val="right"/>
              <w:ind w:right="48"/>
              <w:spacing w:after="0"/>
              <w:rPr>
                <w:sz w:val="20"/>
                <w:szCs w:val="20"/>
                <w:color w:val="auto"/>
              </w:rPr>
            </w:pPr>
            <w:r>
              <w:rPr>
                <w:rFonts w:ascii="Arial" w:cs="Arial" w:eastAsia="Arial" w:hAnsi="Arial"/>
                <w:sz w:val="14"/>
                <w:szCs w:val="14"/>
                <w:color w:val="auto"/>
              </w:rPr>
              <w:t>3,659,374</w:t>
            </w:r>
          </w:p>
        </w:tc>
        <w:tc>
          <w:tcPr>
            <w:tcW w:w="0" w:type="dxa"/>
            <w:vAlign w:val="bottom"/>
          </w:tcPr>
          <w:p>
            <w:pPr>
              <w:spacing w:after="0"/>
              <w:rPr>
                <w:sz w:val="1"/>
                <w:szCs w:val="1"/>
                <w:color w:val="auto"/>
              </w:rPr>
            </w:pPr>
          </w:p>
        </w:tc>
      </w:tr>
      <w:tr>
        <w:trPr>
          <w:trHeight w:val="235"/>
        </w:trPr>
        <w:tc>
          <w:tcPr>
            <w:tcW w:w="580" w:type="dxa"/>
            <w:vAlign w:val="bottom"/>
          </w:tcPr>
          <w:p>
            <w:pPr>
              <w:ind w:left="100"/>
              <w:spacing w:after="0"/>
              <w:rPr>
                <w:sz w:val="20"/>
                <w:szCs w:val="20"/>
                <w:color w:val="auto"/>
              </w:rPr>
            </w:pPr>
            <w:r>
              <w:rPr>
                <w:rFonts w:ascii="Arial" w:cs="Arial" w:eastAsia="Arial" w:hAnsi="Arial"/>
                <w:sz w:val="14"/>
                <w:szCs w:val="14"/>
                <w:color w:val="auto"/>
              </w:rPr>
              <w:t>2021</w:t>
            </w:r>
          </w:p>
        </w:tc>
        <w:tc>
          <w:tcPr>
            <w:tcW w:w="1400" w:type="dxa"/>
            <w:vAlign w:val="bottom"/>
          </w:tcPr>
          <w:p>
            <w:pPr>
              <w:jc w:val="right"/>
              <w:ind w:right="51"/>
              <w:spacing w:after="0"/>
              <w:rPr>
                <w:sz w:val="20"/>
                <w:szCs w:val="20"/>
                <w:color w:val="auto"/>
              </w:rPr>
            </w:pPr>
            <w:r>
              <w:rPr>
                <w:rFonts w:ascii="Arial" w:cs="Arial" w:eastAsia="Arial" w:hAnsi="Arial"/>
                <w:sz w:val="14"/>
                <w:szCs w:val="14"/>
                <w:color w:val="auto"/>
              </w:rPr>
              <w:t>15,679,311</w:t>
            </w:r>
          </w:p>
        </w:tc>
        <w:tc>
          <w:tcPr>
            <w:tcW w:w="1200" w:type="dxa"/>
            <w:vAlign w:val="bottom"/>
          </w:tcPr>
          <w:p>
            <w:pPr>
              <w:jc w:val="right"/>
              <w:spacing w:after="0"/>
              <w:rPr>
                <w:sz w:val="20"/>
                <w:szCs w:val="20"/>
                <w:color w:val="auto"/>
              </w:rPr>
            </w:pPr>
            <w:r>
              <w:rPr>
                <w:rFonts w:ascii="Arial" w:cs="Arial" w:eastAsia="Arial" w:hAnsi="Arial"/>
                <w:sz w:val="14"/>
                <w:szCs w:val="14"/>
                <w:color w:val="auto"/>
              </w:rPr>
              <w:t>4,921,238</w:t>
            </w:r>
          </w:p>
        </w:tc>
        <w:tc>
          <w:tcPr>
            <w:tcW w:w="1300" w:type="dxa"/>
            <w:vAlign w:val="bottom"/>
          </w:tcPr>
          <w:p>
            <w:pPr>
              <w:jc w:val="right"/>
              <w:spacing w:after="0"/>
              <w:rPr>
                <w:sz w:val="20"/>
                <w:szCs w:val="20"/>
                <w:color w:val="auto"/>
              </w:rPr>
            </w:pPr>
            <w:r>
              <w:rPr>
                <w:rFonts w:ascii="Arial" w:cs="Arial" w:eastAsia="Arial" w:hAnsi="Arial"/>
                <w:sz w:val="14"/>
                <w:szCs w:val="14"/>
                <w:color w:val="auto"/>
              </w:rPr>
              <w:t>4,544,613</w:t>
            </w:r>
          </w:p>
        </w:tc>
        <w:tc>
          <w:tcPr>
            <w:tcW w:w="1300" w:type="dxa"/>
            <w:vAlign w:val="bottom"/>
          </w:tcPr>
          <w:p>
            <w:pPr>
              <w:jc w:val="right"/>
              <w:spacing w:after="0"/>
              <w:rPr>
                <w:sz w:val="20"/>
                <w:szCs w:val="20"/>
                <w:color w:val="auto"/>
              </w:rPr>
            </w:pPr>
            <w:r>
              <w:rPr>
                <w:rFonts w:ascii="Arial" w:cs="Arial" w:eastAsia="Arial" w:hAnsi="Arial"/>
                <w:sz w:val="14"/>
                <w:szCs w:val="14"/>
                <w:color w:val="auto"/>
              </w:rPr>
              <w:t>2,655,063</w:t>
            </w:r>
          </w:p>
        </w:tc>
        <w:tc>
          <w:tcPr>
            <w:tcW w:w="1140" w:type="dxa"/>
            <w:vAlign w:val="bottom"/>
          </w:tcPr>
          <w:p>
            <w:pPr>
              <w:jc w:val="right"/>
              <w:spacing w:after="0"/>
              <w:rPr>
                <w:sz w:val="20"/>
                <w:szCs w:val="20"/>
                <w:color w:val="auto"/>
              </w:rPr>
            </w:pPr>
            <w:r>
              <w:rPr>
                <w:rFonts w:ascii="Arial" w:cs="Arial" w:eastAsia="Arial" w:hAnsi="Arial"/>
                <w:sz w:val="14"/>
                <w:szCs w:val="14"/>
                <w:color w:val="auto"/>
              </w:rPr>
              <w:t>85.34</w:t>
            </w:r>
          </w:p>
        </w:tc>
        <w:tc>
          <w:tcPr>
            <w:tcW w:w="1260" w:type="dxa"/>
            <w:vAlign w:val="bottom"/>
          </w:tcPr>
          <w:p>
            <w:pPr>
              <w:jc w:val="right"/>
              <w:ind w:right="71"/>
              <w:spacing w:after="0"/>
              <w:rPr>
                <w:sz w:val="20"/>
                <w:szCs w:val="20"/>
                <w:color w:val="auto"/>
              </w:rPr>
            </w:pPr>
            <w:r>
              <w:rPr>
                <w:rFonts w:ascii="Arial" w:cs="Arial" w:eastAsia="Arial" w:hAnsi="Arial"/>
                <w:sz w:val="14"/>
                <w:szCs w:val="14"/>
                <w:color w:val="auto"/>
              </w:rPr>
              <w:t>126.45</w:t>
            </w: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(329,668)</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3,094,238</w:t>
            </w:r>
          </w:p>
        </w:tc>
        <w:tc>
          <w:tcPr>
            <w:tcW w:w="0" w:type="dxa"/>
            <w:vAlign w:val="bottom"/>
          </w:tcPr>
          <w:p>
            <w:pPr>
              <w:spacing w:after="0"/>
              <w:rPr>
                <w:sz w:val="1"/>
                <w:szCs w:val="1"/>
                <w:color w:val="auto"/>
              </w:rPr>
            </w:pPr>
          </w:p>
        </w:tc>
      </w:tr>
      <w:tr>
        <w:trPr>
          <w:trHeight w:val="48"/>
        </w:trPr>
        <w:tc>
          <w:tcPr>
            <w:tcW w:w="5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58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14"/>
                <w:szCs w:val="14"/>
                <w:color w:val="auto"/>
              </w:rPr>
              <w:t>2020</w:t>
            </w:r>
          </w:p>
        </w:tc>
        <w:tc>
          <w:tcPr>
            <w:tcW w:w="1400" w:type="dxa"/>
            <w:vAlign w:val="bottom"/>
            <w:tcBorders>
              <w:bottom w:val="single" w:sz="8" w:color="EAEAEA"/>
            </w:tcBorders>
            <w:shd w:val="clear" w:color="auto" w:fill="EAEAEA"/>
          </w:tcPr>
          <w:p>
            <w:pPr>
              <w:jc w:val="right"/>
              <w:ind w:right="51"/>
              <w:spacing w:after="0"/>
              <w:rPr>
                <w:sz w:val="20"/>
                <w:szCs w:val="20"/>
                <w:color w:val="auto"/>
              </w:rPr>
            </w:pPr>
            <w:r>
              <w:rPr>
                <w:rFonts w:ascii="Arial" w:cs="Arial" w:eastAsia="Arial" w:hAnsi="Arial"/>
                <w:sz w:val="14"/>
                <w:szCs w:val="14"/>
                <w:color w:val="auto"/>
              </w:rPr>
              <w:t>12,573,300</w:t>
            </w:r>
          </w:p>
        </w:tc>
        <w:tc>
          <w:tcPr>
            <w:tcW w:w="12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19,597,659</w:t>
            </w:r>
          </w:p>
        </w:tc>
        <w:tc>
          <w:tcPr>
            <w:tcW w:w="13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4,091,303</w:t>
            </w:r>
          </w:p>
        </w:tc>
        <w:tc>
          <w:tcPr>
            <w:tcW w:w="13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6,154,655</w:t>
            </w:r>
          </w:p>
        </w:tc>
        <w:tc>
          <w:tcPr>
            <w:tcW w:w="11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110.56</w:t>
            </w:r>
          </w:p>
        </w:tc>
        <w:tc>
          <w:tcPr>
            <w:tcW w:w="1260" w:type="dxa"/>
            <w:vAlign w:val="bottom"/>
            <w:tcBorders>
              <w:bottom w:val="single" w:sz="8" w:color="EAEAEA"/>
            </w:tcBorders>
            <w:shd w:val="clear" w:color="auto" w:fill="EAEAEA"/>
          </w:tcPr>
          <w:p>
            <w:pPr>
              <w:jc w:val="right"/>
              <w:ind w:right="71"/>
              <w:spacing w:after="0"/>
              <w:rPr>
                <w:sz w:val="20"/>
                <w:szCs w:val="20"/>
                <w:color w:val="auto"/>
              </w:rPr>
            </w:pPr>
            <w:r>
              <w:rPr>
                <w:rFonts w:ascii="Arial" w:cs="Arial" w:eastAsia="Arial" w:hAnsi="Arial"/>
                <w:sz w:val="14"/>
                <w:szCs w:val="14"/>
                <w:color w:val="auto"/>
              </w:rPr>
              <w:t>126.42</w:t>
            </w:r>
          </w:p>
        </w:tc>
        <w:tc>
          <w:tcPr>
            <w:tcW w:w="1560" w:type="dxa"/>
            <w:vAlign w:val="bottom"/>
            <w:tcBorders>
              <w:bottom w:val="single" w:sz="8" w:color="EAEAEA"/>
            </w:tcBorders>
            <w:shd w:val="clear" w:color="auto" w:fill="EAEAEA"/>
          </w:tcPr>
          <w:p>
            <w:pPr>
              <w:jc w:val="right"/>
              <w:ind w:right="88"/>
              <w:spacing w:after="0"/>
              <w:rPr>
                <w:sz w:val="20"/>
                <w:szCs w:val="20"/>
                <w:color w:val="auto"/>
              </w:rPr>
            </w:pPr>
            <w:r>
              <w:rPr>
                <w:rFonts w:ascii="Arial" w:cs="Arial" w:eastAsia="Arial" w:hAnsi="Arial"/>
                <w:sz w:val="14"/>
                <w:szCs w:val="14"/>
                <w:color w:val="auto"/>
              </w:rPr>
              <w:t>238,616</w:t>
            </w:r>
          </w:p>
        </w:tc>
        <w:tc>
          <w:tcPr>
            <w:tcW w:w="1500" w:type="dxa"/>
            <w:vAlign w:val="bottom"/>
            <w:tcBorders>
              <w:bottom w:val="single" w:sz="8" w:color="EAEAEA"/>
            </w:tcBorders>
            <w:shd w:val="clear" w:color="auto" w:fill="EAEAEA"/>
          </w:tcPr>
          <w:p>
            <w:pPr>
              <w:jc w:val="right"/>
              <w:ind w:right="48"/>
              <w:spacing w:after="0"/>
              <w:rPr>
                <w:sz w:val="20"/>
                <w:szCs w:val="20"/>
                <w:color w:val="auto"/>
              </w:rPr>
            </w:pPr>
            <w:r>
              <w:rPr>
                <w:rFonts w:ascii="Arial" w:cs="Arial" w:eastAsia="Arial" w:hAnsi="Arial"/>
                <w:sz w:val="14"/>
                <w:szCs w:val="14"/>
                <w:color w:val="auto"/>
              </w:rPr>
              <w:t>2,363,567</w:t>
            </w:r>
          </w:p>
        </w:tc>
        <w:tc>
          <w:tcPr>
            <w:tcW w:w="0" w:type="dxa"/>
            <w:vAlign w:val="bottom"/>
          </w:tcPr>
          <w:p>
            <w:pPr>
              <w:spacing w:after="0"/>
              <w:rPr>
                <w:sz w:val="1"/>
                <w:szCs w:val="1"/>
                <w:color w:val="auto"/>
              </w:rPr>
            </w:pPr>
          </w:p>
        </w:tc>
      </w:tr>
      <w:tr>
        <w:trPr>
          <w:trHeight w:val="20"/>
        </w:trPr>
        <w:tc>
          <w:tcPr>
            <w:tcW w:w="580" w:type="dxa"/>
            <w:vAlign w:val="bottom"/>
            <w:shd w:val="clear" w:color="auto" w:fill="852166"/>
          </w:tcPr>
          <w:p>
            <w:pPr>
              <w:spacing w:after="0" w:line="20" w:lineRule="exact"/>
              <w:rPr>
                <w:sz w:val="1"/>
                <w:szCs w:val="1"/>
                <w:color w:val="auto"/>
              </w:rPr>
            </w:pPr>
          </w:p>
        </w:tc>
        <w:tc>
          <w:tcPr>
            <w:tcW w:w="1400" w:type="dxa"/>
            <w:vAlign w:val="bottom"/>
            <w:shd w:val="clear" w:color="auto" w:fill="852166"/>
          </w:tcPr>
          <w:p>
            <w:pPr>
              <w:spacing w:after="0" w:line="20" w:lineRule="exact"/>
              <w:rPr>
                <w:sz w:val="1"/>
                <w:szCs w:val="1"/>
                <w:color w:val="auto"/>
              </w:rPr>
            </w:pPr>
          </w:p>
        </w:tc>
        <w:tc>
          <w:tcPr>
            <w:tcW w:w="1200" w:type="dxa"/>
            <w:vAlign w:val="bottom"/>
            <w:shd w:val="clear" w:color="auto" w:fill="852166"/>
          </w:tcPr>
          <w:p>
            <w:pPr>
              <w:spacing w:after="0" w:line="20" w:lineRule="exact"/>
              <w:rPr>
                <w:sz w:val="1"/>
                <w:szCs w:val="1"/>
                <w:color w:val="auto"/>
              </w:rPr>
            </w:pPr>
          </w:p>
        </w:tc>
        <w:tc>
          <w:tcPr>
            <w:tcW w:w="1300" w:type="dxa"/>
            <w:vAlign w:val="bottom"/>
            <w:shd w:val="clear" w:color="auto" w:fill="852166"/>
          </w:tcPr>
          <w:p>
            <w:pPr>
              <w:spacing w:after="0" w:line="20" w:lineRule="exact"/>
              <w:rPr>
                <w:sz w:val="1"/>
                <w:szCs w:val="1"/>
                <w:color w:val="auto"/>
              </w:rPr>
            </w:pPr>
          </w:p>
        </w:tc>
        <w:tc>
          <w:tcPr>
            <w:tcW w:w="1300" w:type="dxa"/>
            <w:vAlign w:val="bottom"/>
            <w:shd w:val="clear" w:color="auto" w:fill="852166"/>
          </w:tcPr>
          <w:p>
            <w:pPr>
              <w:spacing w:after="0" w:line="20" w:lineRule="exact"/>
              <w:rPr>
                <w:sz w:val="1"/>
                <w:szCs w:val="1"/>
                <w:color w:val="auto"/>
              </w:rPr>
            </w:pPr>
          </w:p>
        </w:tc>
        <w:tc>
          <w:tcPr>
            <w:tcW w:w="1140" w:type="dxa"/>
            <w:vAlign w:val="bottom"/>
            <w:shd w:val="clear" w:color="auto" w:fill="852166"/>
          </w:tcPr>
          <w:p>
            <w:pPr>
              <w:spacing w:after="0" w:line="20" w:lineRule="exact"/>
              <w:rPr>
                <w:sz w:val="1"/>
                <w:szCs w:val="1"/>
                <w:color w:val="auto"/>
              </w:rPr>
            </w:pPr>
          </w:p>
        </w:tc>
        <w:tc>
          <w:tcPr>
            <w:tcW w:w="1260" w:type="dxa"/>
            <w:vAlign w:val="bottom"/>
            <w:shd w:val="clear" w:color="auto" w:fill="852166"/>
          </w:tcPr>
          <w:p>
            <w:pPr>
              <w:spacing w:after="0" w:line="20" w:lineRule="exact"/>
              <w:rPr>
                <w:sz w:val="1"/>
                <w:szCs w:val="1"/>
                <w:color w:val="auto"/>
              </w:rPr>
            </w:pPr>
          </w:p>
        </w:tc>
        <w:tc>
          <w:tcPr>
            <w:tcW w:w="1560" w:type="dxa"/>
            <w:vAlign w:val="bottom"/>
            <w:shd w:val="clear" w:color="auto" w:fill="852166"/>
          </w:tcPr>
          <w:p>
            <w:pPr>
              <w:spacing w:after="0" w:line="20" w:lineRule="exact"/>
              <w:rPr>
                <w:sz w:val="1"/>
                <w:szCs w:val="1"/>
                <w:color w:val="auto"/>
              </w:rPr>
            </w:pPr>
          </w:p>
        </w:tc>
        <w:tc>
          <w:tcPr>
            <w:tcW w:w="1500" w:type="dxa"/>
            <w:vAlign w:val="bottom"/>
            <w:shd w:val="clear" w:color="auto" w:fill="85216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-1336675</wp:posOffset>
            </wp:positionV>
            <wp:extent cx="14484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106" w:lineRule="exact"/>
        <w:rPr>
          <w:sz w:val="20"/>
          <w:szCs w:val="20"/>
          <w:color w:val="auto"/>
        </w:rPr>
      </w:pPr>
    </w:p>
    <w:p>
      <w:pPr>
        <w:ind w:left="300" w:right="220" w:hanging="292"/>
        <w:spacing w:after="0" w:line="325" w:lineRule="auto"/>
        <w:tabs>
          <w:tab w:leader="none" w:pos="291" w:val="left"/>
        </w:tabs>
        <w:numPr>
          <w:ilvl w:val="0"/>
          <w:numId w:val="86"/>
        </w:numPr>
        <w:rPr>
          <w:rFonts w:ascii="Arial" w:cs="Arial" w:eastAsia="Arial" w:hAnsi="Arial"/>
          <w:sz w:val="14"/>
          <w:szCs w:val="14"/>
          <w:color w:val="auto"/>
        </w:rPr>
      </w:pPr>
      <w:r>
        <w:rPr>
          <w:rFonts w:ascii="Arial" w:cs="Arial" w:eastAsia="Arial" w:hAnsi="Arial"/>
          <w:sz w:val="14"/>
          <w:szCs w:val="14"/>
          <w:color w:val="auto"/>
        </w:rPr>
        <w:t>For each fiscal year, represents amount reported for our principal executive officer (PEO) and average amount reported for our non-PEO NEOs, in each case in the Total column of the Summary Compensation Table. Our PEO and our non-PEO NEOs for each of the applicable years were as follows:</w:t>
      </w:r>
    </w:p>
    <w:p>
      <w:pPr>
        <w:spacing w:after="0" w:line="32"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720" w:type="dxa"/>
            <w:vAlign w:val="bottom"/>
            <w:shd w:val="clear" w:color="auto" w:fill="852166"/>
          </w:tcPr>
          <w:p>
            <w:pPr>
              <w:ind w:left="100"/>
              <w:spacing w:after="0"/>
              <w:rPr>
                <w:sz w:val="20"/>
                <w:szCs w:val="20"/>
                <w:color w:val="auto"/>
              </w:rPr>
            </w:pPr>
            <w:r>
              <w:rPr>
                <w:rFonts w:ascii="Arial" w:cs="Arial" w:eastAsia="Arial" w:hAnsi="Arial"/>
                <w:sz w:val="14"/>
                <w:szCs w:val="14"/>
                <w:b w:val="1"/>
                <w:bCs w:val="1"/>
                <w:color w:val="FFFFFF"/>
              </w:rPr>
              <w:t>Year</w:t>
            </w:r>
          </w:p>
        </w:tc>
        <w:tc>
          <w:tcPr>
            <w:tcW w:w="1760" w:type="dxa"/>
            <w:vAlign w:val="bottom"/>
            <w:shd w:val="clear" w:color="auto" w:fill="852166"/>
          </w:tcPr>
          <w:p>
            <w:pPr>
              <w:ind w:left="300"/>
              <w:spacing w:after="0"/>
              <w:rPr>
                <w:sz w:val="20"/>
                <w:szCs w:val="20"/>
                <w:color w:val="auto"/>
              </w:rPr>
            </w:pPr>
            <w:r>
              <w:rPr>
                <w:rFonts w:ascii="Arial" w:cs="Arial" w:eastAsia="Arial" w:hAnsi="Arial"/>
                <w:sz w:val="14"/>
                <w:szCs w:val="14"/>
                <w:b w:val="1"/>
                <w:bCs w:val="1"/>
                <w:color w:val="FFFFFF"/>
              </w:rPr>
              <w:t>PEO</w:t>
            </w:r>
          </w:p>
        </w:tc>
        <w:tc>
          <w:tcPr>
            <w:tcW w:w="8100" w:type="dxa"/>
            <w:vAlign w:val="bottom"/>
            <w:shd w:val="clear" w:color="auto" w:fill="852166"/>
          </w:tcPr>
          <w:p>
            <w:pPr>
              <w:ind w:left="340"/>
              <w:spacing w:after="0"/>
              <w:rPr>
                <w:sz w:val="20"/>
                <w:szCs w:val="20"/>
                <w:color w:val="auto"/>
              </w:rPr>
            </w:pPr>
            <w:r>
              <w:rPr>
                <w:rFonts w:ascii="Arial" w:cs="Arial" w:eastAsia="Arial" w:hAnsi="Arial"/>
                <w:sz w:val="14"/>
                <w:szCs w:val="14"/>
                <w:b w:val="1"/>
                <w:bCs w:val="1"/>
                <w:color w:val="FFFFFF"/>
              </w:rPr>
              <w:t>Non-PEO NEOs</w:t>
            </w:r>
          </w:p>
        </w:tc>
      </w:tr>
      <w:tr>
        <w:trPr>
          <w:trHeight w:val="67"/>
        </w:trPr>
        <w:tc>
          <w:tcPr>
            <w:tcW w:w="720" w:type="dxa"/>
            <w:vAlign w:val="bottom"/>
            <w:shd w:val="clear" w:color="auto" w:fill="852166"/>
          </w:tcPr>
          <w:p>
            <w:pPr>
              <w:spacing w:after="0"/>
              <w:rPr>
                <w:sz w:val="5"/>
                <w:szCs w:val="5"/>
                <w:color w:val="auto"/>
              </w:rPr>
            </w:pPr>
          </w:p>
        </w:tc>
        <w:tc>
          <w:tcPr>
            <w:tcW w:w="1760" w:type="dxa"/>
            <w:vAlign w:val="bottom"/>
            <w:shd w:val="clear" w:color="auto" w:fill="852166"/>
          </w:tcPr>
          <w:p>
            <w:pPr>
              <w:spacing w:after="0"/>
              <w:rPr>
                <w:sz w:val="5"/>
                <w:szCs w:val="5"/>
                <w:color w:val="auto"/>
              </w:rPr>
            </w:pPr>
          </w:p>
        </w:tc>
        <w:tc>
          <w:tcPr>
            <w:tcW w:w="8100" w:type="dxa"/>
            <w:vAlign w:val="bottom"/>
            <w:shd w:val="clear" w:color="auto" w:fill="852166"/>
          </w:tcPr>
          <w:p>
            <w:pPr>
              <w:spacing w:after="0"/>
              <w:rPr>
                <w:sz w:val="5"/>
                <w:szCs w:val="5"/>
                <w:color w:val="auto"/>
              </w:rPr>
            </w:pPr>
          </w:p>
        </w:tc>
      </w:tr>
      <w:tr>
        <w:trPr>
          <w:trHeight w:val="208"/>
        </w:trPr>
        <w:tc>
          <w:tcPr>
            <w:tcW w:w="720" w:type="dxa"/>
            <w:vAlign w:val="bottom"/>
          </w:tcPr>
          <w:p>
            <w:pPr>
              <w:ind w:left="100"/>
              <w:spacing w:after="0"/>
              <w:rPr>
                <w:sz w:val="20"/>
                <w:szCs w:val="20"/>
                <w:color w:val="auto"/>
              </w:rPr>
            </w:pPr>
            <w:r>
              <w:rPr>
                <w:rFonts w:ascii="Arial" w:cs="Arial" w:eastAsia="Arial" w:hAnsi="Arial"/>
                <w:sz w:val="14"/>
                <w:szCs w:val="14"/>
                <w:color w:val="auto"/>
              </w:rPr>
              <w:t>2023</w:t>
            </w:r>
          </w:p>
        </w:tc>
        <w:tc>
          <w:tcPr>
            <w:tcW w:w="1760" w:type="dxa"/>
            <w:vAlign w:val="bottom"/>
          </w:tcPr>
          <w:p>
            <w:pPr>
              <w:ind w:left="300"/>
              <w:spacing w:after="0"/>
              <w:rPr>
                <w:sz w:val="20"/>
                <w:szCs w:val="20"/>
                <w:color w:val="auto"/>
              </w:rPr>
            </w:pPr>
            <w:r>
              <w:rPr>
                <w:rFonts w:ascii="Arial" w:cs="Arial" w:eastAsia="Arial" w:hAnsi="Arial"/>
                <w:sz w:val="14"/>
                <w:szCs w:val="14"/>
                <w:color w:val="auto"/>
              </w:rPr>
              <w:t>Bruce C. Cozadd</w:t>
            </w:r>
          </w:p>
        </w:tc>
        <w:tc>
          <w:tcPr>
            <w:tcW w:w="8100" w:type="dxa"/>
            <w:vAlign w:val="bottom"/>
          </w:tcPr>
          <w:p>
            <w:pPr>
              <w:ind w:left="340"/>
              <w:spacing w:after="0"/>
              <w:rPr>
                <w:sz w:val="20"/>
                <w:szCs w:val="20"/>
                <w:color w:val="auto"/>
              </w:rPr>
            </w:pPr>
            <w:r>
              <w:rPr>
                <w:rFonts w:ascii="Arial" w:cs="Arial" w:eastAsia="Arial" w:hAnsi="Arial"/>
                <w:sz w:val="14"/>
                <w:szCs w:val="14"/>
                <w:color w:val="auto"/>
              </w:rPr>
              <w:t>Renee Gala, Patricia Carr, Robert Iannone, Neena Patil, Daniel N. Swisher, Jr. and Kim Sablich</w:t>
            </w:r>
          </w:p>
        </w:tc>
      </w:tr>
      <w:tr>
        <w:trPr>
          <w:trHeight w:val="22"/>
        </w:trPr>
        <w:tc>
          <w:tcPr>
            <w:tcW w:w="7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r>
      <w:tr>
        <w:trPr>
          <w:trHeight w:val="235"/>
        </w:trPr>
        <w:tc>
          <w:tcPr>
            <w:tcW w:w="720" w:type="dxa"/>
            <w:vAlign w:val="bottom"/>
            <w:shd w:val="clear" w:color="auto" w:fill="EAEAEA"/>
          </w:tcPr>
          <w:p>
            <w:pPr>
              <w:ind w:left="100"/>
              <w:spacing w:after="0"/>
              <w:rPr>
                <w:sz w:val="20"/>
                <w:szCs w:val="20"/>
                <w:color w:val="auto"/>
              </w:rPr>
            </w:pPr>
            <w:r>
              <w:rPr>
                <w:rFonts w:ascii="Arial" w:cs="Arial" w:eastAsia="Arial" w:hAnsi="Arial"/>
                <w:sz w:val="14"/>
                <w:szCs w:val="14"/>
                <w:color w:val="auto"/>
              </w:rPr>
              <w:t>2022</w:t>
            </w:r>
          </w:p>
        </w:tc>
        <w:tc>
          <w:tcPr>
            <w:tcW w:w="1760" w:type="dxa"/>
            <w:vAlign w:val="bottom"/>
            <w:shd w:val="clear" w:color="auto" w:fill="EAEAEA"/>
          </w:tcPr>
          <w:p>
            <w:pPr>
              <w:ind w:left="300"/>
              <w:spacing w:after="0"/>
              <w:rPr>
                <w:sz w:val="20"/>
                <w:szCs w:val="20"/>
                <w:color w:val="auto"/>
              </w:rPr>
            </w:pPr>
            <w:r>
              <w:rPr>
                <w:rFonts w:ascii="Arial" w:cs="Arial" w:eastAsia="Arial" w:hAnsi="Arial"/>
                <w:sz w:val="14"/>
                <w:szCs w:val="14"/>
                <w:color w:val="auto"/>
              </w:rPr>
              <w:t>Bruce C. Cozadd</w:t>
            </w:r>
          </w:p>
        </w:tc>
        <w:tc>
          <w:tcPr>
            <w:tcW w:w="8100" w:type="dxa"/>
            <w:vAlign w:val="bottom"/>
            <w:shd w:val="clear" w:color="auto" w:fill="EAEAEA"/>
          </w:tcPr>
          <w:p>
            <w:pPr>
              <w:ind w:left="340"/>
              <w:spacing w:after="0"/>
              <w:rPr>
                <w:sz w:val="20"/>
                <w:szCs w:val="20"/>
                <w:color w:val="auto"/>
              </w:rPr>
            </w:pPr>
            <w:r>
              <w:rPr>
                <w:rFonts w:ascii="Arial" w:cs="Arial" w:eastAsia="Arial" w:hAnsi="Arial"/>
                <w:sz w:val="14"/>
                <w:szCs w:val="14"/>
                <w:color w:val="auto"/>
              </w:rPr>
              <w:t>Daniel N. Swisher, Jr., Renee Gala, Robert Iannone and Kim Sablich</w:t>
            </w:r>
          </w:p>
        </w:tc>
      </w:tr>
      <w:tr>
        <w:trPr>
          <w:trHeight w:val="62"/>
        </w:trPr>
        <w:tc>
          <w:tcPr>
            <w:tcW w:w="720" w:type="dxa"/>
            <w:vAlign w:val="bottom"/>
            <w:shd w:val="clear" w:color="auto" w:fill="EAEAEA"/>
          </w:tcPr>
          <w:p>
            <w:pPr>
              <w:spacing w:after="0"/>
              <w:rPr>
                <w:sz w:val="5"/>
                <w:szCs w:val="5"/>
                <w:color w:val="auto"/>
              </w:rPr>
            </w:pPr>
          </w:p>
        </w:tc>
        <w:tc>
          <w:tcPr>
            <w:tcW w:w="1760" w:type="dxa"/>
            <w:vAlign w:val="bottom"/>
            <w:shd w:val="clear" w:color="auto" w:fill="EAEAEA"/>
          </w:tcPr>
          <w:p>
            <w:pPr>
              <w:spacing w:after="0"/>
              <w:rPr>
                <w:sz w:val="5"/>
                <w:szCs w:val="5"/>
                <w:color w:val="auto"/>
              </w:rPr>
            </w:pPr>
          </w:p>
        </w:tc>
        <w:tc>
          <w:tcPr>
            <w:tcW w:w="8100" w:type="dxa"/>
            <w:vAlign w:val="bottom"/>
            <w:shd w:val="clear" w:color="auto" w:fill="EAEAEA"/>
          </w:tcPr>
          <w:p>
            <w:pPr>
              <w:spacing w:after="0"/>
              <w:rPr>
                <w:sz w:val="5"/>
                <w:szCs w:val="5"/>
                <w:color w:val="auto"/>
              </w:rPr>
            </w:pPr>
          </w:p>
        </w:tc>
      </w:tr>
      <w:tr>
        <w:trPr>
          <w:trHeight w:val="235"/>
        </w:trPr>
        <w:tc>
          <w:tcPr>
            <w:tcW w:w="720" w:type="dxa"/>
            <w:vAlign w:val="bottom"/>
          </w:tcPr>
          <w:p>
            <w:pPr>
              <w:ind w:left="100"/>
              <w:spacing w:after="0"/>
              <w:rPr>
                <w:sz w:val="20"/>
                <w:szCs w:val="20"/>
                <w:color w:val="auto"/>
              </w:rPr>
            </w:pPr>
            <w:r>
              <w:rPr>
                <w:rFonts w:ascii="Arial" w:cs="Arial" w:eastAsia="Arial" w:hAnsi="Arial"/>
                <w:sz w:val="14"/>
                <w:szCs w:val="14"/>
                <w:color w:val="auto"/>
              </w:rPr>
              <w:t>2021</w:t>
            </w:r>
          </w:p>
        </w:tc>
        <w:tc>
          <w:tcPr>
            <w:tcW w:w="1760" w:type="dxa"/>
            <w:vAlign w:val="bottom"/>
          </w:tcPr>
          <w:p>
            <w:pPr>
              <w:ind w:left="300"/>
              <w:spacing w:after="0"/>
              <w:rPr>
                <w:sz w:val="20"/>
                <w:szCs w:val="20"/>
                <w:color w:val="auto"/>
              </w:rPr>
            </w:pPr>
            <w:r>
              <w:rPr>
                <w:rFonts w:ascii="Arial" w:cs="Arial" w:eastAsia="Arial" w:hAnsi="Arial"/>
                <w:sz w:val="14"/>
                <w:szCs w:val="14"/>
                <w:color w:val="auto"/>
              </w:rPr>
              <w:t>Bruce C. Cozadd</w:t>
            </w:r>
          </w:p>
        </w:tc>
        <w:tc>
          <w:tcPr>
            <w:tcW w:w="8100" w:type="dxa"/>
            <w:vAlign w:val="bottom"/>
          </w:tcPr>
          <w:p>
            <w:pPr>
              <w:ind w:left="340"/>
              <w:spacing w:after="0"/>
              <w:rPr>
                <w:sz w:val="20"/>
                <w:szCs w:val="20"/>
                <w:color w:val="auto"/>
              </w:rPr>
            </w:pPr>
            <w:r>
              <w:rPr>
                <w:rFonts w:ascii="Arial" w:cs="Arial" w:eastAsia="Arial" w:hAnsi="Arial"/>
                <w:sz w:val="14"/>
                <w:szCs w:val="14"/>
                <w:color w:val="auto"/>
              </w:rPr>
              <w:t>Daniel N. Swisher, Jr., Renee Gala, Robert Iannone and Chris Tovey</w:t>
            </w:r>
          </w:p>
        </w:tc>
      </w:tr>
      <w:tr>
        <w:trPr>
          <w:trHeight w:val="62"/>
        </w:trPr>
        <w:tc>
          <w:tcPr>
            <w:tcW w:w="7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100" w:type="dxa"/>
            <w:vAlign w:val="bottom"/>
          </w:tcPr>
          <w:p>
            <w:pPr>
              <w:spacing w:after="0"/>
              <w:rPr>
                <w:sz w:val="5"/>
                <w:szCs w:val="5"/>
                <w:color w:val="auto"/>
              </w:rPr>
            </w:pPr>
          </w:p>
        </w:tc>
      </w:tr>
      <w:tr>
        <w:trPr>
          <w:trHeight w:val="235"/>
        </w:trPr>
        <w:tc>
          <w:tcPr>
            <w:tcW w:w="720" w:type="dxa"/>
            <w:vAlign w:val="bottom"/>
            <w:shd w:val="clear" w:color="auto" w:fill="EAEAEA"/>
          </w:tcPr>
          <w:p>
            <w:pPr>
              <w:ind w:left="100"/>
              <w:spacing w:after="0"/>
              <w:rPr>
                <w:sz w:val="20"/>
                <w:szCs w:val="20"/>
                <w:color w:val="auto"/>
              </w:rPr>
            </w:pPr>
            <w:r>
              <w:rPr>
                <w:rFonts w:ascii="Arial" w:cs="Arial" w:eastAsia="Arial" w:hAnsi="Arial"/>
                <w:sz w:val="14"/>
                <w:szCs w:val="14"/>
                <w:color w:val="auto"/>
              </w:rPr>
              <w:t>2020</w:t>
            </w:r>
          </w:p>
        </w:tc>
        <w:tc>
          <w:tcPr>
            <w:tcW w:w="1760" w:type="dxa"/>
            <w:vAlign w:val="bottom"/>
            <w:shd w:val="clear" w:color="auto" w:fill="EAEAEA"/>
          </w:tcPr>
          <w:p>
            <w:pPr>
              <w:ind w:left="300"/>
              <w:spacing w:after="0"/>
              <w:rPr>
                <w:sz w:val="20"/>
                <w:szCs w:val="20"/>
                <w:color w:val="auto"/>
              </w:rPr>
            </w:pPr>
            <w:r>
              <w:rPr>
                <w:rFonts w:ascii="Arial" w:cs="Arial" w:eastAsia="Arial" w:hAnsi="Arial"/>
                <w:sz w:val="14"/>
                <w:szCs w:val="14"/>
                <w:color w:val="auto"/>
              </w:rPr>
              <w:t>Bruce C. Cozadd</w:t>
            </w:r>
          </w:p>
        </w:tc>
        <w:tc>
          <w:tcPr>
            <w:tcW w:w="8100" w:type="dxa"/>
            <w:vAlign w:val="bottom"/>
            <w:shd w:val="clear" w:color="auto" w:fill="EAEAEA"/>
          </w:tcPr>
          <w:p>
            <w:pPr>
              <w:ind w:left="340"/>
              <w:spacing w:after="0"/>
              <w:rPr>
                <w:sz w:val="20"/>
                <w:szCs w:val="20"/>
                <w:color w:val="auto"/>
              </w:rPr>
            </w:pPr>
            <w:r>
              <w:rPr>
                <w:rFonts w:ascii="Arial" w:cs="Arial" w:eastAsia="Arial" w:hAnsi="Arial"/>
                <w:sz w:val="14"/>
                <w:szCs w:val="14"/>
                <w:color w:val="auto"/>
              </w:rPr>
              <w:t>Daniel N. Swisher, Jr., Renee Gala, Robert Iannone and Kim Sablich</w:t>
            </w:r>
          </w:p>
        </w:tc>
      </w:tr>
      <w:tr>
        <w:trPr>
          <w:trHeight w:val="62"/>
        </w:trPr>
        <w:tc>
          <w:tcPr>
            <w:tcW w:w="720" w:type="dxa"/>
            <w:vAlign w:val="bottom"/>
            <w:tcBorders>
              <w:bottom w:val="single" w:sz="8" w:color="852166"/>
            </w:tcBorders>
            <w:shd w:val="clear" w:color="auto" w:fill="EAEAEA"/>
          </w:tcPr>
          <w:p>
            <w:pPr>
              <w:spacing w:after="0"/>
              <w:rPr>
                <w:sz w:val="5"/>
                <w:szCs w:val="5"/>
                <w:color w:val="auto"/>
              </w:rPr>
            </w:pPr>
          </w:p>
        </w:tc>
        <w:tc>
          <w:tcPr>
            <w:tcW w:w="1760" w:type="dxa"/>
            <w:vAlign w:val="bottom"/>
            <w:tcBorders>
              <w:bottom w:val="single" w:sz="8" w:color="852166"/>
            </w:tcBorders>
            <w:shd w:val="clear" w:color="auto" w:fill="EAEAEA"/>
          </w:tcPr>
          <w:p>
            <w:pPr>
              <w:spacing w:after="0"/>
              <w:rPr>
                <w:sz w:val="5"/>
                <w:szCs w:val="5"/>
                <w:color w:val="auto"/>
              </w:rPr>
            </w:pPr>
          </w:p>
        </w:tc>
        <w:tc>
          <w:tcPr>
            <w:tcW w:w="8100" w:type="dxa"/>
            <w:vAlign w:val="bottom"/>
            <w:tcBorders>
              <w:bottom w:val="single" w:sz="8" w:color="852166"/>
            </w:tcBorders>
            <w:shd w:val="clear" w:color="auto" w:fill="EAEAEA"/>
          </w:tcPr>
          <w:p>
            <w:pPr>
              <w:spacing w:after="0"/>
              <w:rPr>
                <w:sz w:val="5"/>
                <w:szCs w:val="5"/>
                <w:color w:val="auto"/>
              </w:rPr>
            </w:pPr>
          </w:p>
        </w:tc>
      </w:tr>
    </w:tbl>
    <w:p>
      <w:pPr>
        <w:spacing w:after="0" w:line="139" w:lineRule="exact"/>
        <w:rPr>
          <w:sz w:val="20"/>
          <w:szCs w:val="20"/>
          <w:color w:val="auto"/>
        </w:rPr>
      </w:pPr>
    </w:p>
    <w:p>
      <w:pPr>
        <w:ind w:left="300" w:right="20" w:hanging="292"/>
        <w:spacing w:after="0" w:line="285" w:lineRule="auto"/>
        <w:tabs>
          <w:tab w:leader="none" w:pos="288" w:val="left"/>
        </w:tabs>
        <w:numPr>
          <w:ilvl w:val="0"/>
          <w:numId w:val="87"/>
        </w:numPr>
        <w:rPr>
          <w:rFonts w:ascii="Calibri" w:cs="Calibri" w:eastAsia="Calibri" w:hAnsi="Calibri"/>
          <w:sz w:val="14"/>
          <w:szCs w:val="14"/>
          <w:color w:val="auto"/>
        </w:rPr>
      </w:pPr>
      <w:r>
        <w:rPr>
          <w:rFonts w:ascii="Arial" w:cs="Arial" w:eastAsia="Arial" w:hAnsi="Arial"/>
          <w:sz w:val="14"/>
          <w:szCs w:val="14"/>
          <w:color w:val="auto"/>
        </w:rPr>
        <w:t>Amounts represent Compensation Actually Paid to our PEO and the average Compensation Actually Paid to our non-PEO NEOs for the relevant fiscal year. Compensation Actually Paid represents the amount reported in the Total column of the Summary Compensation Table for the applicable fiscal year, adjusted as shown below. For the purposes of the below adjustments, the fair value of equity awards on the applicable date were determined in accordance with FASB ASC 718, using valuation methodologies that are generally consistent with those used to determine the grant-date fair value for accounting purposes. Fair value or change in fair value, as applicable, of equity awards in the Compensation Actually Paid columns was determined as follows: (i) for RSUs, the closing price of our ordinary shares on the applicable fiscal year-end date, or, in the case of vesting RSUs, the closing price of our ordinary shares on the applicable vesting date; (ii) for PSUs, the closing fair value of the awards using a Monte-Carlo simulation method, multiplied by a factor reflecting achievement of the probable outcome of the cumulative performance objective as of the measurement date; and (iii) for stock options, the closing fair value of the stock options based on a Black-Scholes option pricing model on the applicable fiscal year-end date, or, in the case of vesting stock options, the closing fair value on the applicable vesting date. Details of the adjustments made to the Summary Compensation Table are as follows:</w:t>
      </w:r>
    </w:p>
    <w:p>
      <w:pPr>
        <w:spacing w:after="0" w:line="59"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8360" w:type="dxa"/>
            <w:vAlign w:val="bottom"/>
            <w:shd w:val="clear" w:color="auto" w:fill="852166"/>
          </w:tcPr>
          <w:p>
            <w:pPr>
              <w:spacing w:after="0"/>
              <w:rPr>
                <w:sz w:val="18"/>
                <w:szCs w:val="18"/>
                <w:color w:val="auto"/>
              </w:rPr>
            </w:pPr>
          </w:p>
        </w:tc>
        <w:tc>
          <w:tcPr>
            <w:tcW w:w="2220" w:type="dxa"/>
            <w:vAlign w:val="bottom"/>
            <w:gridSpan w:val="2"/>
            <w:shd w:val="clear" w:color="auto" w:fill="852166"/>
          </w:tcPr>
          <w:p>
            <w:pPr>
              <w:jc w:val="right"/>
              <w:ind w:right="928"/>
              <w:spacing w:after="0"/>
              <w:rPr>
                <w:sz w:val="20"/>
                <w:szCs w:val="20"/>
                <w:color w:val="auto"/>
              </w:rPr>
            </w:pPr>
            <w:r>
              <w:rPr>
                <w:rFonts w:ascii="Arial" w:cs="Arial" w:eastAsia="Arial" w:hAnsi="Arial"/>
                <w:sz w:val="14"/>
                <w:szCs w:val="14"/>
                <w:b w:val="1"/>
                <w:bCs w:val="1"/>
                <w:color w:val="FFFFFF"/>
              </w:rPr>
              <w:t>2023</w:t>
            </w:r>
          </w:p>
        </w:tc>
      </w:tr>
      <w:tr>
        <w:trPr>
          <w:trHeight w:val="207"/>
        </w:trPr>
        <w:tc>
          <w:tcPr>
            <w:tcW w:w="8360" w:type="dxa"/>
            <w:vAlign w:val="bottom"/>
            <w:shd w:val="clear" w:color="auto" w:fill="852166"/>
          </w:tcPr>
          <w:p>
            <w:pPr>
              <w:spacing w:after="0"/>
              <w:rPr>
                <w:sz w:val="17"/>
                <w:szCs w:val="17"/>
                <w:color w:val="auto"/>
              </w:rPr>
            </w:pPr>
          </w:p>
        </w:tc>
        <w:tc>
          <w:tcPr>
            <w:tcW w:w="1120" w:type="dxa"/>
            <w:vAlign w:val="bottom"/>
            <w:shd w:val="clear" w:color="auto" w:fill="852166"/>
          </w:tcPr>
          <w:p>
            <w:pPr>
              <w:spacing w:after="0"/>
              <w:rPr>
                <w:sz w:val="17"/>
                <w:szCs w:val="17"/>
                <w:color w:val="auto"/>
              </w:rPr>
            </w:pPr>
          </w:p>
        </w:tc>
        <w:tc>
          <w:tcPr>
            <w:tcW w:w="1100" w:type="dxa"/>
            <w:vAlign w:val="bottom"/>
            <w:shd w:val="clear" w:color="auto" w:fill="852166"/>
          </w:tcPr>
          <w:p>
            <w:pPr>
              <w:jc w:val="right"/>
              <w:ind w:right="28"/>
              <w:spacing w:after="0"/>
              <w:rPr>
                <w:sz w:val="20"/>
                <w:szCs w:val="20"/>
                <w:color w:val="auto"/>
              </w:rPr>
            </w:pPr>
            <w:r>
              <w:rPr>
                <w:rFonts w:ascii="Arial" w:cs="Arial" w:eastAsia="Arial" w:hAnsi="Arial"/>
                <w:sz w:val="14"/>
                <w:szCs w:val="14"/>
                <w:b w:val="1"/>
                <w:bCs w:val="1"/>
                <w:color w:val="FFFFFF"/>
              </w:rPr>
              <w:t>Average Non-</w:t>
            </w:r>
          </w:p>
        </w:tc>
      </w:tr>
      <w:tr>
        <w:trPr>
          <w:trHeight w:val="162"/>
        </w:trPr>
        <w:tc>
          <w:tcPr>
            <w:tcW w:w="8360" w:type="dxa"/>
            <w:vAlign w:val="bottom"/>
            <w:shd w:val="clear" w:color="auto" w:fill="852166"/>
          </w:tcPr>
          <w:p>
            <w:pPr>
              <w:spacing w:after="0"/>
              <w:rPr>
                <w:sz w:val="14"/>
                <w:szCs w:val="14"/>
                <w:color w:val="auto"/>
              </w:rPr>
            </w:pPr>
          </w:p>
        </w:tc>
        <w:tc>
          <w:tcPr>
            <w:tcW w:w="1120" w:type="dxa"/>
            <w:vAlign w:val="bottom"/>
            <w:shd w:val="clear" w:color="auto" w:fill="852166"/>
          </w:tcPr>
          <w:p>
            <w:pPr>
              <w:jc w:val="right"/>
              <w:ind w:right="8"/>
              <w:spacing w:after="0"/>
              <w:rPr>
                <w:sz w:val="20"/>
                <w:szCs w:val="20"/>
                <w:color w:val="auto"/>
              </w:rPr>
            </w:pPr>
            <w:r>
              <w:rPr>
                <w:rFonts w:ascii="Arial" w:cs="Arial" w:eastAsia="Arial" w:hAnsi="Arial"/>
                <w:sz w:val="14"/>
                <w:szCs w:val="14"/>
                <w:b w:val="1"/>
                <w:bCs w:val="1"/>
                <w:color w:val="FFFFFF"/>
              </w:rPr>
              <w:t>PEO</w:t>
            </w:r>
          </w:p>
        </w:tc>
        <w:tc>
          <w:tcPr>
            <w:tcW w:w="1100" w:type="dxa"/>
            <w:vAlign w:val="bottom"/>
            <w:shd w:val="clear" w:color="auto" w:fill="852166"/>
          </w:tcPr>
          <w:p>
            <w:pPr>
              <w:jc w:val="right"/>
              <w:ind w:right="28"/>
              <w:spacing w:after="0"/>
              <w:rPr>
                <w:sz w:val="20"/>
                <w:szCs w:val="20"/>
                <w:color w:val="auto"/>
              </w:rPr>
            </w:pPr>
            <w:r>
              <w:rPr>
                <w:rFonts w:ascii="Arial" w:cs="Arial" w:eastAsia="Arial" w:hAnsi="Arial"/>
                <w:sz w:val="14"/>
                <w:szCs w:val="14"/>
                <w:b w:val="1"/>
                <w:bCs w:val="1"/>
                <w:color w:val="FFFFFF"/>
              </w:rPr>
              <w:t>PEO NEOs</w:t>
            </w:r>
          </w:p>
        </w:tc>
      </w:tr>
      <w:tr>
        <w:trPr>
          <w:trHeight w:val="210"/>
        </w:trPr>
        <w:tc>
          <w:tcPr>
            <w:tcW w:w="8360" w:type="dxa"/>
            <w:vAlign w:val="bottom"/>
            <w:shd w:val="clear" w:color="auto" w:fill="852166"/>
          </w:tcPr>
          <w:p>
            <w:pPr>
              <w:ind w:left="100"/>
              <w:spacing w:after="0"/>
              <w:rPr>
                <w:sz w:val="20"/>
                <w:szCs w:val="20"/>
                <w:color w:val="auto"/>
              </w:rPr>
            </w:pPr>
            <w:r>
              <w:rPr>
                <w:rFonts w:ascii="Arial" w:cs="Arial" w:eastAsia="Arial" w:hAnsi="Arial"/>
                <w:sz w:val="14"/>
                <w:szCs w:val="14"/>
                <w:b w:val="1"/>
                <w:bCs w:val="1"/>
                <w:color w:val="FFFFFF"/>
              </w:rPr>
              <w:t>Adjustments</w:t>
            </w:r>
          </w:p>
        </w:tc>
        <w:tc>
          <w:tcPr>
            <w:tcW w:w="1120" w:type="dxa"/>
            <w:vAlign w:val="bottom"/>
            <w:shd w:val="clear" w:color="auto" w:fill="852166"/>
          </w:tcPr>
          <w:p>
            <w:pPr>
              <w:jc w:val="right"/>
              <w:ind w:right="8"/>
              <w:spacing w:after="0"/>
              <w:rPr>
                <w:sz w:val="20"/>
                <w:szCs w:val="20"/>
                <w:color w:val="auto"/>
              </w:rPr>
            </w:pPr>
            <w:r>
              <w:rPr>
                <w:rFonts w:ascii="Arial" w:cs="Arial" w:eastAsia="Arial" w:hAnsi="Arial"/>
                <w:sz w:val="14"/>
                <w:szCs w:val="14"/>
                <w:b w:val="1"/>
                <w:bCs w:val="1"/>
                <w:color w:val="FFFFFF"/>
              </w:rPr>
              <w:t>($)</w:t>
            </w:r>
          </w:p>
        </w:tc>
        <w:tc>
          <w:tcPr>
            <w:tcW w:w="1100" w:type="dxa"/>
            <w:vAlign w:val="bottom"/>
            <w:shd w:val="clear" w:color="auto" w:fill="852166"/>
          </w:tcPr>
          <w:p>
            <w:pPr>
              <w:jc w:val="right"/>
              <w:ind w:right="28"/>
              <w:spacing w:after="0"/>
              <w:rPr>
                <w:sz w:val="20"/>
                <w:szCs w:val="20"/>
                <w:color w:val="auto"/>
              </w:rPr>
            </w:pPr>
            <w:r>
              <w:rPr>
                <w:rFonts w:ascii="Arial" w:cs="Arial" w:eastAsia="Arial" w:hAnsi="Arial"/>
                <w:sz w:val="14"/>
                <w:szCs w:val="14"/>
                <w:b w:val="1"/>
                <w:bCs w:val="1"/>
                <w:color w:val="FFFFFF"/>
              </w:rPr>
              <w:t>($)</w:t>
            </w:r>
          </w:p>
        </w:tc>
      </w:tr>
      <w:tr>
        <w:trPr>
          <w:trHeight w:val="70"/>
        </w:trPr>
        <w:tc>
          <w:tcPr>
            <w:tcW w:w="8360" w:type="dxa"/>
            <w:vAlign w:val="bottom"/>
            <w:shd w:val="clear" w:color="auto" w:fill="852166"/>
          </w:tcPr>
          <w:p>
            <w:pPr>
              <w:spacing w:after="0"/>
              <w:rPr>
                <w:sz w:val="6"/>
                <w:szCs w:val="6"/>
                <w:color w:val="auto"/>
              </w:rPr>
            </w:pPr>
          </w:p>
        </w:tc>
        <w:tc>
          <w:tcPr>
            <w:tcW w:w="1120" w:type="dxa"/>
            <w:vAlign w:val="bottom"/>
            <w:shd w:val="clear" w:color="auto" w:fill="852166"/>
          </w:tcPr>
          <w:p>
            <w:pPr>
              <w:spacing w:after="0"/>
              <w:rPr>
                <w:sz w:val="6"/>
                <w:szCs w:val="6"/>
                <w:color w:val="auto"/>
              </w:rPr>
            </w:pPr>
          </w:p>
        </w:tc>
        <w:tc>
          <w:tcPr>
            <w:tcW w:w="1100" w:type="dxa"/>
            <w:vAlign w:val="bottom"/>
            <w:shd w:val="clear" w:color="auto" w:fill="852166"/>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-402590</wp:posOffset>
            </wp:positionV>
            <wp:extent cx="135445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p>
      <w:pPr>
        <w:spacing w:after="0" w:line="1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Total compensation as reported in the Summary Compensation Table (SCT)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32385</wp:posOffset>
            </wp:positionV>
            <wp:extent cx="6720840" cy="146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720840" cy="146050"/>
                    </a:xfrm>
                    <a:prstGeom prst="rect">
                      <a:avLst/>
                    </a:prstGeom>
                    <a:noFill/>
                  </pic:spPr>
                </pic:pic>
              </a:graphicData>
            </a:graphic>
          </wp:anchor>
        </w:drawing>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(Deduct): Grant date fair value of awards as reported in the Stock Awards column in the SCT for current fiscal year (FY)</w:t>
      </w:r>
    </w:p>
    <w:p>
      <w:pPr>
        <w:spacing w:after="0" w:line="69" w:lineRule="exact"/>
        <w:rPr>
          <w:sz w:val="20"/>
          <w:szCs w:val="20"/>
          <w:color w:val="auto"/>
        </w:rPr>
      </w:pPr>
    </w:p>
    <w:p>
      <w:pPr>
        <w:ind w:left="400" w:right="140"/>
        <w:spacing w:after="0" w:line="285" w:lineRule="auto"/>
        <w:rPr>
          <w:sz w:val="20"/>
          <w:szCs w:val="20"/>
          <w:color w:val="auto"/>
        </w:rPr>
      </w:pPr>
      <w:r>
        <w:rPr>
          <w:rFonts w:ascii="Arial" w:cs="Arial" w:eastAsia="Arial" w:hAnsi="Arial"/>
          <w:sz w:val="14"/>
          <w:szCs w:val="14"/>
          <w:color w:val="auto"/>
        </w:rPr>
        <w:t>Add: ASC 718 fair value of awards granted during applicable FY that remain unvested as of current FY-end, determined as of applicable FY-end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3175</wp:posOffset>
            </wp:positionV>
            <wp:extent cx="6720840" cy="2571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720840" cy="257175"/>
                    </a:xfrm>
                    <a:prstGeom prst="rect">
                      <a:avLst/>
                    </a:prstGeom>
                    <a:noFill/>
                  </pic:spPr>
                </pic:pic>
              </a:graphicData>
            </a:graphic>
          </wp:anchor>
        </w:drawing>
      </w:r>
    </w:p>
    <w:p>
      <w:pPr>
        <w:spacing w:after="0" w:line="3" w:lineRule="exact"/>
        <w:rPr>
          <w:sz w:val="20"/>
          <w:szCs w:val="20"/>
          <w:color w:val="auto"/>
        </w:rPr>
      </w:pPr>
    </w:p>
    <w:p>
      <w:pPr>
        <w:ind w:left="400" w:right="420"/>
        <w:spacing w:after="0" w:line="285" w:lineRule="auto"/>
        <w:rPr>
          <w:sz w:val="20"/>
          <w:szCs w:val="20"/>
          <w:color w:val="auto"/>
        </w:rPr>
      </w:pPr>
      <w:r>
        <w:rPr>
          <w:rFonts w:ascii="Arial" w:cs="Arial" w:eastAsia="Arial" w:hAnsi="Arial"/>
          <w:sz w:val="14"/>
          <w:szCs w:val="14"/>
          <w:color w:val="auto"/>
        </w:rPr>
        <w:t>Add: ASC 718 fair value of awards granted during prior FYs that were outstanding and unvested as of applicable FY-end, determined based on change in ASC 718 fair value from prior FY-end to current FY-end</w:t>
      </w:r>
    </w:p>
    <w:p>
      <w:pPr>
        <w:spacing w:after="0" w:line="23" w:lineRule="exact"/>
        <w:rPr>
          <w:sz w:val="20"/>
          <w:szCs w:val="20"/>
          <w:color w:val="auto"/>
        </w:rPr>
      </w:pPr>
    </w:p>
    <w:p>
      <w:pPr>
        <w:ind w:left="400"/>
        <w:spacing w:after="0" w:line="285" w:lineRule="auto"/>
        <w:rPr>
          <w:sz w:val="20"/>
          <w:szCs w:val="20"/>
          <w:color w:val="auto"/>
        </w:rPr>
      </w:pPr>
      <w:r>
        <w:rPr>
          <w:rFonts w:ascii="Arial" w:cs="Arial" w:eastAsia="Arial" w:hAnsi="Arial"/>
          <w:sz w:val="14"/>
          <w:szCs w:val="14"/>
          <w:color w:val="auto"/>
        </w:rPr>
        <w:t>Add: ASC 718 fair value of awards granted during prior FYs that vested during current FY, determined based on change in ASC 718 fair value from prior FY-end to vesting date</w:t>
      </w:r>
    </w:p>
    <w:p>
      <w:pPr>
        <w:spacing w:after="0" w:line="20" w:lineRule="exact"/>
        <w:rPr>
          <w:sz w:val="20"/>
          <w:szCs w:val="20"/>
          <w:color w:val="auto"/>
        </w:rPr>
      </w:pPr>
      <w:r>
        <w:rPr>
          <w:sz w:val="20"/>
          <w:szCs w:val="20"/>
          <w:color w:val="auto"/>
        </w:rPr>
        <w:br w:type="column"/>
      </w:r>
    </w:p>
    <w:p>
      <w:pPr>
        <w:ind w:left="80"/>
        <w:spacing w:after="0"/>
        <w:tabs>
          <w:tab w:leader="none" w:pos="1220" w:val="left"/>
        </w:tabs>
        <w:rPr>
          <w:sz w:val="20"/>
          <w:szCs w:val="20"/>
          <w:color w:val="auto"/>
        </w:rPr>
      </w:pPr>
      <w:r>
        <w:rPr>
          <w:rFonts w:ascii="Arial" w:cs="Arial" w:eastAsia="Arial" w:hAnsi="Arial"/>
          <w:sz w:val="14"/>
          <w:szCs w:val="14"/>
          <w:color w:val="auto"/>
        </w:rPr>
        <w:t>15,341,235</w:t>
      </w:r>
      <w:r>
        <w:rPr>
          <w:sz w:val="20"/>
          <w:szCs w:val="20"/>
          <w:color w:val="auto"/>
        </w:rPr>
        <w:tab/>
      </w:r>
      <w:r>
        <w:rPr>
          <w:rFonts w:ascii="Arial" w:cs="Arial" w:eastAsia="Arial" w:hAnsi="Arial"/>
          <w:sz w:val="14"/>
          <w:szCs w:val="14"/>
          <w:color w:val="auto"/>
        </w:rPr>
        <w:t>4,231,034</w:t>
      </w:r>
    </w:p>
    <w:p>
      <w:pPr>
        <w:spacing w:after="0" w:line="69"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color w:val="auto"/>
        </w:rPr>
        <w:t>(12,896,545)</w:t>
      </w:r>
      <w:r>
        <w:rPr>
          <w:sz w:val="20"/>
          <w:szCs w:val="20"/>
          <w:color w:val="auto"/>
        </w:rPr>
        <w:tab/>
      </w:r>
      <w:r>
        <w:rPr>
          <w:rFonts w:ascii="Arial" w:cs="Arial" w:eastAsia="Arial" w:hAnsi="Arial"/>
          <w:sz w:val="14"/>
          <w:szCs w:val="14"/>
          <w:color w:val="auto"/>
        </w:rPr>
        <w:t>(3,127,460)</w:t>
      </w:r>
    </w:p>
    <w:p>
      <w:pPr>
        <w:spacing w:after="0" w:line="150" w:lineRule="exact"/>
        <w:rPr>
          <w:sz w:val="20"/>
          <w:szCs w:val="20"/>
          <w:color w:val="auto"/>
        </w:rPr>
      </w:pPr>
    </w:p>
    <w:p>
      <w:pPr>
        <w:ind w:left="160"/>
        <w:spacing w:after="0"/>
        <w:tabs>
          <w:tab w:leader="none" w:pos="1220" w:val="left"/>
        </w:tabs>
        <w:rPr>
          <w:sz w:val="20"/>
          <w:szCs w:val="20"/>
          <w:color w:val="auto"/>
        </w:rPr>
      </w:pPr>
      <w:r>
        <w:rPr>
          <w:rFonts w:ascii="Arial" w:cs="Arial" w:eastAsia="Arial" w:hAnsi="Arial"/>
          <w:sz w:val="14"/>
          <w:szCs w:val="14"/>
          <w:color w:val="auto"/>
        </w:rPr>
        <w:t>8,386,732</w:t>
      </w:r>
      <w:r>
        <w:rPr>
          <w:sz w:val="20"/>
          <w:szCs w:val="20"/>
          <w:color w:val="auto"/>
        </w:rPr>
        <w:tab/>
      </w:r>
      <w:r>
        <w:rPr>
          <w:rFonts w:ascii="Arial" w:cs="Arial" w:eastAsia="Arial" w:hAnsi="Arial"/>
          <w:sz w:val="14"/>
          <w:szCs w:val="14"/>
          <w:color w:val="auto"/>
        </w:rPr>
        <w:t>2,038,949</w:t>
      </w:r>
    </w:p>
    <w:p>
      <w:pPr>
        <w:spacing w:after="0" w:line="244"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color w:val="auto"/>
        </w:rPr>
        <w:t>(11,724,562)</w:t>
      </w:r>
      <w:r>
        <w:rPr>
          <w:sz w:val="20"/>
          <w:szCs w:val="20"/>
          <w:color w:val="auto"/>
        </w:rPr>
        <w:tab/>
      </w:r>
      <w:r>
        <w:rPr>
          <w:rFonts w:ascii="Arial" w:cs="Arial" w:eastAsia="Arial" w:hAnsi="Arial"/>
          <w:sz w:val="14"/>
          <w:szCs w:val="14"/>
          <w:color w:val="auto"/>
        </w:rPr>
        <w:t>(2,569,486)</w:t>
      </w:r>
    </w:p>
    <w:p>
      <w:pPr>
        <w:spacing w:after="0" w:line="244" w:lineRule="exact"/>
        <w:rPr>
          <w:sz w:val="20"/>
          <w:szCs w:val="20"/>
          <w:color w:val="auto"/>
        </w:rPr>
      </w:pPr>
    </w:p>
    <w:p>
      <w:pPr>
        <w:ind w:left="80"/>
        <w:spacing w:after="0"/>
        <w:tabs>
          <w:tab w:leader="none" w:pos="1240" w:val="left"/>
        </w:tabs>
        <w:rPr>
          <w:sz w:val="20"/>
          <w:szCs w:val="20"/>
          <w:color w:val="auto"/>
        </w:rPr>
      </w:pPr>
      <w:r>
        <w:rPr>
          <w:rFonts w:ascii="Arial" w:cs="Arial" w:eastAsia="Arial" w:hAnsi="Arial"/>
          <w:sz w:val="14"/>
          <w:szCs w:val="14"/>
          <w:color w:val="auto"/>
        </w:rPr>
        <w:t>(1,610,287)</w:t>
      </w:r>
      <w:r>
        <w:rPr>
          <w:sz w:val="20"/>
          <w:szCs w:val="20"/>
          <w:color w:val="auto"/>
        </w:rPr>
        <w:tab/>
      </w:r>
      <w:r>
        <w:rPr>
          <w:rFonts w:ascii="Arial" w:cs="Arial" w:eastAsia="Arial" w:hAnsi="Arial"/>
          <w:sz w:val="14"/>
          <w:szCs w:val="14"/>
          <w:color w:val="auto"/>
        </w:rPr>
        <w:t>(364,844)</w:t>
      </w:r>
    </w:p>
    <w:p>
      <w:pPr>
        <w:spacing w:after="0" w:line="141" w:lineRule="exact"/>
        <w:rPr>
          <w:sz w:val="20"/>
          <w:szCs w:val="20"/>
          <w:color w:val="auto"/>
        </w:rPr>
      </w:pPr>
    </w:p>
    <w:p>
      <w:pPr>
        <w:sectPr>
          <w:pgSz w:w="11900" w:h="16838" w:orient="portrait"/>
          <w:cols w:equalWidth="0" w:num="2">
            <w:col w:w="8500" w:space="400"/>
            <w:col w:w="2340"/>
          </w:cols>
          <w:pgMar w:left="320" w:top="1098" w:right="339" w:bottom="1440" w:gutter="0" w:footer="0" w:header="0"/>
          <w:type w:val="continuous"/>
        </w:sectPr>
      </w:pPr>
    </w:p>
    <w:tbl>
      <w:tblPr>
        <w:tblLayout w:type="fixed"/>
        <w:tblInd w:w="300" w:type="dxa"/>
        <w:tblCellMar>
          <w:top w:w="0" w:type="dxa"/>
          <w:left w:w="0" w:type="dxa"/>
          <w:bottom w:w="0" w:type="dxa"/>
          <w:right w:w="0" w:type="dxa"/>
        </w:tblCellMar>
      </w:tblPr>
      <w:tr>
        <w:trPr>
          <w:trHeight w:val="221"/>
        </w:trPr>
        <w:tc>
          <w:tcPr>
            <w:tcW w:w="5320" w:type="dxa"/>
            <w:vAlign w:val="bottom"/>
            <w:tcBorders>
              <w:top w:val="single" w:sz="8" w:color="852166"/>
              <w:bottom w:val="single" w:sz="8" w:color="852166"/>
            </w:tcBorders>
            <w:shd w:val="clear" w:color="auto" w:fill="EAEAEA"/>
          </w:tcPr>
          <w:p>
            <w:pPr>
              <w:ind w:left="100"/>
              <w:spacing w:after="0"/>
              <w:rPr>
                <w:sz w:val="20"/>
                <w:szCs w:val="20"/>
                <w:color w:val="auto"/>
              </w:rPr>
            </w:pPr>
            <w:r>
              <w:rPr>
                <w:rFonts w:ascii="Arial" w:cs="Arial" w:eastAsia="Arial" w:hAnsi="Arial"/>
                <w:sz w:val="14"/>
                <w:szCs w:val="14"/>
                <w:b w:val="1"/>
                <w:bCs w:val="1"/>
                <w:color w:val="auto"/>
              </w:rPr>
              <w:t>Total Adjustments</w:t>
            </w:r>
          </w:p>
        </w:tc>
        <w:tc>
          <w:tcPr>
            <w:tcW w:w="4260" w:type="dxa"/>
            <w:vAlign w:val="bottom"/>
            <w:tcBorders>
              <w:top w:val="single" w:sz="8" w:color="852166"/>
              <w:bottom w:val="single" w:sz="8" w:color="852166"/>
            </w:tcBorders>
            <w:shd w:val="clear" w:color="auto" w:fill="EAEAEA"/>
          </w:tcPr>
          <w:p>
            <w:pPr>
              <w:jc w:val="right"/>
              <w:ind w:right="108"/>
              <w:spacing w:after="0"/>
              <w:rPr>
                <w:sz w:val="20"/>
                <w:szCs w:val="20"/>
                <w:color w:val="auto"/>
              </w:rPr>
            </w:pPr>
            <w:r>
              <w:rPr>
                <w:rFonts w:ascii="Arial" w:cs="Arial" w:eastAsia="Arial" w:hAnsi="Arial"/>
                <w:sz w:val="14"/>
                <w:szCs w:val="14"/>
                <w:color w:val="auto"/>
              </w:rPr>
              <w:t>(17,844,662)</w:t>
            </w:r>
          </w:p>
        </w:tc>
        <w:tc>
          <w:tcPr>
            <w:tcW w:w="1000" w:type="dxa"/>
            <w:vAlign w:val="bottom"/>
            <w:tcBorders>
              <w:top w:val="single" w:sz="8" w:color="852166"/>
              <w:bottom w:val="single" w:sz="8" w:color="852166"/>
            </w:tcBorders>
            <w:shd w:val="clear" w:color="auto" w:fill="EAEAEA"/>
          </w:tcPr>
          <w:p>
            <w:pPr>
              <w:jc w:val="right"/>
              <w:ind w:right="28"/>
              <w:spacing w:after="0"/>
              <w:rPr>
                <w:sz w:val="20"/>
                <w:szCs w:val="20"/>
                <w:color w:val="auto"/>
              </w:rPr>
            </w:pPr>
            <w:r>
              <w:rPr>
                <w:rFonts w:ascii="Arial" w:cs="Arial" w:eastAsia="Arial" w:hAnsi="Arial"/>
                <w:sz w:val="14"/>
                <w:szCs w:val="14"/>
                <w:color w:val="auto"/>
              </w:rPr>
              <w:t>(4,022,841)</w:t>
            </w:r>
          </w:p>
        </w:tc>
      </w:tr>
      <w:tr>
        <w:trPr>
          <w:trHeight w:val="223"/>
        </w:trPr>
        <w:tc>
          <w:tcPr>
            <w:tcW w:w="5320" w:type="dxa"/>
            <w:vAlign w:val="bottom"/>
            <w:tcBorders>
              <w:bottom w:val="single" w:sz="8" w:color="852166"/>
            </w:tcBorders>
          </w:tcPr>
          <w:p>
            <w:pPr>
              <w:ind w:left="100"/>
              <w:spacing w:after="0"/>
              <w:rPr>
                <w:sz w:val="20"/>
                <w:szCs w:val="20"/>
                <w:color w:val="auto"/>
              </w:rPr>
            </w:pPr>
            <w:r>
              <w:rPr>
                <w:rFonts w:ascii="Arial" w:cs="Arial" w:eastAsia="Arial" w:hAnsi="Arial"/>
                <w:sz w:val="14"/>
                <w:szCs w:val="14"/>
                <w:b w:val="1"/>
                <w:bCs w:val="1"/>
                <w:color w:val="auto"/>
              </w:rPr>
              <w:t>Compensation Actually Paid</w:t>
            </w:r>
          </w:p>
        </w:tc>
        <w:tc>
          <w:tcPr>
            <w:tcW w:w="4260" w:type="dxa"/>
            <w:vAlign w:val="bottom"/>
            <w:tcBorders>
              <w:bottom w:val="single" w:sz="8" w:color="852166"/>
            </w:tcBorders>
          </w:tcPr>
          <w:p>
            <w:pPr>
              <w:jc w:val="right"/>
              <w:ind w:right="108"/>
              <w:spacing w:after="0"/>
              <w:rPr>
                <w:sz w:val="20"/>
                <w:szCs w:val="20"/>
                <w:color w:val="auto"/>
              </w:rPr>
            </w:pPr>
            <w:r>
              <w:rPr>
                <w:rFonts w:ascii="Arial" w:cs="Arial" w:eastAsia="Arial" w:hAnsi="Arial"/>
                <w:sz w:val="14"/>
                <w:szCs w:val="14"/>
                <w:b w:val="1"/>
                <w:bCs w:val="1"/>
                <w:color w:val="auto"/>
              </w:rPr>
              <w:t>(2,503,427)</w:t>
            </w:r>
          </w:p>
        </w:tc>
        <w:tc>
          <w:tcPr>
            <w:tcW w:w="1000" w:type="dxa"/>
            <w:vAlign w:val="bottom"/>
            <w:tcBorders>
              <w:bottom w:val="single" w:sz="8" w:color="852166"/>
            </w:tcBorders>
          </w:tcPr>
          <w:p>
            <w:pPr>
              <w:jc w:val="right"/>
              <w:ind w:right="28"/>
              <w:spacing w:after="0"/>
              <w:rPr>
                <w:sz w:val="20"/>
                <w:szCs w:val="20"/>
                <w:color w:val="auto"/>
              </w:rPr>
            </w:pPr>
            <w:r>
              <w:rPr>
                <w:rFonts w:ascii="Arial" w:cs="Arial" w:eastAsia="Arial" w:hAnsi="Arial"/>
                <w:sz w:val="14"/>
                <w:szCs w:val="14"/>
                <w:b w:val="1"/>
                <w:bCs w:val="1"/>
                <w:color w:val="auto"/>
              </w:rPr>
              <w:t>208,193</w:t>
            </w:r>
          </w:p>
        </w:tc>
      </w:tr>
    </w:tbl>
    <w:p>
      <w:pPr>
        <w:spacing w:after="0" w:line="126" w:lineRule="exact"/>
        <w:rPr>
          <w:sz w:val="20"/>
          <w:szCs w:val="20"/>
          <w:color w:val="auto"/>
        </w:rPr>
      </w:pPr>
    </w:p>
    <w:p>
      <w:pPr>
        <w:ind w:left="300" w:right="40" w:hanging="292"/>
        <w:spacing w:after="0" w:line="325" w:lineRule="auto"/>
        <w:tabs>
          <w:tab w:leader="none" w:pos="291" w:val="left"/>
        </w:tabs>
        <w:numPr>
          <w:ilvl w:val="0"/>
          <w:numId w:val="88"/>
        </w:numPr>
        <w:rPr>
          <w:rFonts w:ascii="Arial" w:cs="Arial" w:eastAsia="Arial" w:hAnsi="Arial"/>
          <w:sz w:val="14"/>
          <w:szCs w:val="14"/>
          <w:color w:val="auto"/>
        </w:rPr>
      </w:pPr>
      <w:r>
        <w:rPr>
          <w:rFonts w:ascii="Arial" w:cs="Arial" w:eastAsia="Arial" w:hAnsi="Arial"/>
          <w:sz w:val="14"/>
          <w:szCs w:val="14"/>
          <w:color w:val="auto"/>
        </w:rPr>
        <w:t>For the relevant fiscal year, represents the cumulative Total Shareholder Return of our ordinary shares and the NASDAQ Biotechnology Index at the end of each fiscal year. In each case, assume an initial investment of $100 on December 31, 2019, and reinvestment of dividends, if any.</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82</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type w:val="continuous"/>
        </w:sectPr>
      </w:pPr>
    </w:p>
    <w:bookmarkStart w:id="86" w:name="page87"/>
    <w:bookmarkEnd w:id="86"/>
    <w:p>
      <w:pPr>
        <w:ind w:left="300" w:hanging="292"/>
        <w:spacing w:after="0"/>
        <w:tabs>
          <w:tab w:leader="none" w:pos="3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amounts represent the GAAP net income (loss) as reported in our audited financial statements for the applicable fiscal year.</w:t>
      </w:r>
    </w:p>
    <w:p>
      <w:pPr>
        <w:spacing w:after="0" w:line="82" w:lineRule="exact"/>
        <w:rPr>
          <w:rFonts w:ascii="Arial" w:cs="Arial" w:eastAsia="Arial" w:hAnsi="Arial"/>
          <w:sz w:val="14"/>
          <w:szCs w:val="14"/>
          <w:color w:val="auto"/>
        </w:rPr>
      </w:pPr>
    </w:p>
    <w:p>
      <w:pPr>
        <w:ind w:left="300" w:right="40" w:hanging="292"/>
        <w:spacing w:after="0" w:line="325" w:lineRule="auto"/>
        <w:tabs>
          <w:tab w:leader="none" w:pos="291" w:val="left"/>
        </w:tabs>
        <w:numPr>
          <w:ilvl w:val="0"/>
          <w:numId w:val="89"/>
        </w:numPr>
        <w:rPr>
          <w:rFonts w:ascii="Arial" w:cs="Arial" w:eastAsia="Arial" w:hAnsi="Arial"/>
          <w:sz w:val="14"/>
          <w:szCs w:val="14"/>
          <w:color w:val="auto"/>
        </w:rPr>
      </w:pPr>
      <w:r>
        <w:rPr>
          <w:rFonts w:ascii="Arial" w:cs="Arial" w:eastAsia="Arial" w:hAnsi="Arial"/>
          <w:sz w:val="14"/>
          <w:szCs w:val="14"/>
          <w:color w:val="auto"/>
        </w:rPr>
        <w:t>As required by Item 402(v) of Regulation S-K, we have determined that the Company-Selected Measure is total revenues as reported in our audited financial statements for the applicable fiscal year.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Required Tabular Disclosure of Most Important Measures</w:t>
      </w:r>
    </w:p>
    <w:p>
      <w:pPr>
        <w:spacing w:after="0" w:line="140"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auto"/>
        </w:rPr>
        <w:t>The most important financial and non-financial performance measures used by us to link compensation actually paid to our NEOs for the most recently completed fiscal year to our performance are set forth below. For further information regarding these performance metrics and their function in our executive compensation program, please see “Executive Compensation—Compensation Discussion and Analysis” above.</w:t>
      </w:r>
    </w:p>
    <w:p>
      <w:pPr>
        <w:spacing w:after="0" w:line="70" w:lineRule="exact"/>
        <w:rPr>
          <w:sz w:val="20"/>
          <w:szCs w:val="20"/>
          <w:color w:val="auto"/>
        </w:rPr>
      </w:pPr>
    </w:p>
    <w:p>
      <w:pPr>
        <w:ind w:left="640" w:hanging="308"/>
        <w:spacing w:after="0"/>
        <w:tabs>
          <w:tab w:leader="none" w:pos="6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Total Revenues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Revenue (product- / therapeutic area-specific)</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Non-GAAP Adjusted Operating Margin</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Relative TSR</w:t>
      </w:r>
    </w:p>
    <w:p>
      <w:pPr>
        <w:spacing w:after="0" w:line="140" w:lineRule="exact"/>
        <w:rPr>
          <w:rFonts w:ascii="Arial" w:cs="Arial" w:eastAsia="Arial" w:hAnsi="Arial"/>
          <w:sz w:val="16"/>
          <w:szCs w:val="16"/>
          <w:color w:val="auto"/>
        </w:rPr>
      </w:pPr>
    </w:p>
    <w:p>
      <w:pPr>
        <w:ind w:left="640" w:hanging="308"/>
        <w:spacing w:after="0"/>
        <w:tabs>
          <w:tab w:leader="none" w:pos="6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Pipeline Progression</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Regulatory Advancement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852166"/>
        </w:rPr>
        <w:t>Disclosure of the Relationship Between Compensation Actually Paid and Financial Performance Measures</w:t>
      </w:r>
    </w:p>
    <w:p>
      <w:pPr>
        <w:spacing w:after="0" w:line="127" w:lineRule="exact"/>
        <w:rPr>
          <w:sz w:val="20"/>
          <w:szCs w:val="20"/>
          <w:color w:val="auto"/>
        </w:rPr>
      </w:pPr>
    </w:p>
    <w:p>
      <w:pPr>
        <w:ind w:right="40"/>
        <w:spacing w:after="0" w:line="309" w:lineRule="auto"/>
        <w:rPr>
          <w:sz w:val="20"/>
          <w:szCs w:val="20"/>
          <w:color w:val="auto"/>
        </w:rPr>
      </w:pPr>
      <w:r>
        <w:rPr>
          <w:rFonts w:ascii="Arial" w:cs="Arial" w:eastAsia="Arial" w:hAnsi="Arial"/>
          <w:sz w:val="16"/>
          <w:szCs w:val="16"/>
          <w:color w:val="auto"/>
        </w:rPr>
        <w:t>As required by Item 402(v) of Regulation S-K, we are providing the following graphs to illustrate the relationship between the pay and performance figures that are included in the pay versus performance tabular disclosure above. In addition, the first graph below further illustrates the relationship between company total shareholder return and that of the NASDAQ Biotechnology Index. As noted above, compensation actually paid for purposes of the tabular disclosure and the following graphs were calculated in accordance with SEC rules and do not fully represent the actual final amount of compensation earned by or actually paid to our NEOs during the applicable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191135</wp:posOffset>
            </wp:positionV>
            <wp:extent cx="4320540" cy="24434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320540"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406"/>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1614170</wp:posOffset>
            </wp:positionH>
            <wp:positionV relativeFrom="page">
              <wp:posOffset>680085</wp:posOffset>
            </wp:positionV>
            <wp:extent cx="4320540" cy="49377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320540" cy="4937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0"/>
        <w:spacing w:after="0" w:line="318" w:lineRule="auto"/>
        <w:rPr>
          <w:sz w:val="20"/>
          <w:szCs w:val="20"/>
          <w:color w:val="auto"/>
        </w:rPr>
      </w:pPr>
      <w:r>
        <w:rPr>
          <w:rFonts w:ascii="Arial" w:cs="Arial" w:eastAsia="Arial" w:hAnsi="Arial"/>
          <w:sz w:val="16"/>
          <w:szCs w:val="16"/>
          <w:i w:val="1"/>
          <w:iCs w:val="1"/>
          <w:color w:val="auto"/>
        </w:rPr>
        <w:t>All information provided above under the “Item 402(v) Pay Versus Performance” heading will not be deemed to be incorporated by reference into any filing by us under the Securities Act of 1933, as amended, or the Securities Exchange Act of 1934, as amended, whether made before or after the date hereof and irrespective of any general incorporation language in any such filing, except to the extent we specifically incorporate such information by reference.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Compensation Consultant Fees</w:t>
      </w:r>
    </w:p>
    <w:p>
      <w:pPr>
        <w:spacing w:after="0" w:line="13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Since 2010, Aon has been engaged by our compensation committee each year to provide peer company and industry compensation data and provide our compensation committee with advice regarding executive officers’ compensation, including base salaries, performance-based bonuses and long-term equity incentives, advice regarding directors’ compensation as well as other matters under our compensation committee’s charter. In 2023, the cost of Aon’s consulting services directly related to compensation committee support was approximately $310,000.</w:t>
      </w:r>
    </w:p>
    <w:p>
      <w:pPr>
        <w:spacing w:after="0" w:line="7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Management also engaged with Aon for various insurance-related products and services, covering director and officer liability insurance, health and benefits, pension-related services, other insurance brokerage services and risk services to the business. The aggregate Aon revenue from these additional services in 2023 (not related to Aon’s compensation committee consulting services) was approximately $6,500,000. Although our compensation committee was aware of the nature of the services performed by Aon affiliates and the non-executive employee compensation survey data provided by Aon, our compensation</w:t>
      </w:r>
    </w:p>
    <w:p>
      <w:pPr>
        <w:spacing w:after="0" w:line="200" w:lineRule="exact"/>
        <w:rPr>
          <w:sz w:val="20"/>
          <w:szCs w:val="20"/>
          <w:color w:val="auto"/>
        </w:rPr>
      </w:pPr>
    </w:p>
    <w:p>
      <w:pPr>
        <w:spacing w:after="0" w:line="360"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84</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ind w:right="60"/>
        <w:spacing w:after="0" w:line="339" w:lineRule="auto"/>
        <w:rPr>
          <w:sz w:val="20"/>
          <w:szCs w:val="20"/>
          <w:color w:val="auto"/>
        </w:rPr>
      </w:pPr>
      <w:r>
        <w:rPr>
          <w:rFonts w:ascii="Arial" w:cs="Arial" w:eastAsia="Arial" w:hAnsi="Arial"/>
          <w:sz w:val="16"/>
          <w:szCs w:val="16"/>
          <w:color w:val="auto"/>
        </w:rPr>
        <w:t>committee did not review and approve such services, surveys and insurance premiums and policies, as those were reviewed and approved by management in the ordinary course of business.</w:t>
      </w:r>
    </w:p>
    <w:p>
      <w:pPr>
        <w:spacing w:after="0" w:line="34" w:lineRule="exact"/>
        <w:rPr>
          <w:sz w:val="20"/>
          <w:szCs w:val="20"/>
          <w:color w:val="auto"/>
        </w:rPr>
      </w:pPr>
    </w:p>
    <w:p>
      <w:pPr>
        <w:ind w:right="40"/>
        <w:spacing w:after="0" w:line="309" w:lineRule="auto"/>
        <w:rPr>
          <w:sz w:val="20"/>
          <w:szCs w:val="20"/>
          <w:color w:val="auto"/>
        </w:rPr>
      </w:pPr>
      <w:r>
        <w:rPr>
          <w:rFonts w:ascii="Arial" w:cs="Arial" w:eastAsia="Arial" w:hAnsi="Arial"/>
          <w:sz w:val="16"/>
          <w:szCs w:val="16"/>
          <w:color w:val="auto"/>
        </w:rPr>
        <w:t>Aon maintains certain policies and practices to protect the independence of the executive compensation consultants engaged by our compensation committee. In particular, Aon provides an annual update to our compensation committee on the financial relationship between Aon and us, and provides written assurances that, within Aon, the Aon consultants who perform executive compensation services for our compensation committee have compensation determined separately from Aon’s other lines of business and from the other services it provides to us. These safeguards were designed to help ensure that our compensation committee’s executive compensation consultants continued to fulfill their role in providing independent, objective advice.</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Compensation Committee Report</w:t>
      </w:r>
      <w:r>
        <w:rPr>
          <w:rFonts w:ascii="Arial" w:cs="Arial" w:eastAsia="Arial" w:hAnsi="Arial"/>
          <w:sz w:val="25"/>
          <w:szCs w:val="25"/>
          <w:b w:val="1"/>
          <w:bCs w:val="1"/>
          <w:color w:val="852166"/>
          <w:vertAlign w:val="superscript"/>
        </w:rPr>
        <w:t>(1)</w:t>
      </w:r>
    </w:p>
    <w:p>
      <w:pPr>
        <w:spacing w:after="0" w:line="8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compensation committee has reviewed and discussed with management the Compensation Discussion and Analysis contained herein. Based on this review and discussion, our compensation committee has recommended to our board that the Compensation Discussion and Analysis be included in our proxy statement for the 2024 annual general meeting of shareholders and be included in our Annual Report on Form 10-K we filed with the SEC for the fiscal year ended December 31, 2023.</w:t>
      </w:r>
    </w:p>
    <w:p>
      <w:pPr>
        <w:spacing w:after="0" w:line="7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Respectfully submitted,</w:t>
      </w:r>
    </w:p>
    <w:p>
      <w:pPr>
        <w:spacing w:after="0" w:line="4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The Compensation Committee of the Board</w:t>
      </w:r>
    </w:p>
    <w:p>
      <w:pPr>
        <w:spacing w:after="0" w:line="15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Ms. Jennifer E. Cook</w:t>
      </w:r>
    </w:p>
    <w:p>
      <w:pPr>
        <w:spacing w:after="0" w:line="4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Mr. Patrick G. Enright</w:t>
      </w:r>
    </w:p>
    <w:p>
      <w:pPr>
        <w:spacing w:after="0" w:line="3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Dr. Norbert G. Riedel</w:t>
      </w:r>
    </w:p>
    <w:p>
      <w:pPr>
        <w:spacing w:after="0" w:line="4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Dr. Catherine A. 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27260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both"/>
        <w:ind w:left="360" w:right="100" w:hanging="334"/>
        <w:spacing w:after="0" w:line="303" w:lineRule="auto"/>
        <w:tabs>
          <w:tab w:leader="none" w:pos="347"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material under the heading “Compensation Committee Report” in this proxy statement is not “soliciting material,” is not deemed “filed” with the Commission and is not to be incorporated by reference in any filing of the registrant under the Securities Act of 1933, as amended, or the Securities Exchange Act of 1934, as amended,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85</w:t>
            </w:r>
          </w:p>
        </w:tc>
      </w:tr>
      <w:tr>
        <w:trPr>
          <w:trHeight w:val="407"/>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9" w:name="page90"/>
    <w:bookmarkEnd w:id="89"/>
    <w:p>
      <w:pPr>
        <w:ind w:left="3420"/>
        <w:spacing w:after="0"/>
        <w:rPr>
          <w:sz w:val="20"/>
          <w:szCs w:val="20"/>
          <w:color w:val="auto"/>
        </w:rPr>
      </w:pPr>
      <w:r>
        <w:rPr>
          <w:rFonts w:ascii="Arial" w:cs="Arial" w:eastAsia="Arial" w:hAnsi="Arial"/>
          <w:sz w:val="32"/>
          <w:szCs w:val="32"/>
          <w:b w:val="1"/>
          <w:bCs w:val="1"/>
          <w:color w:val="852166"/>
        </w:rPr>
        <w:t>DIRECTOR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Non-Employee Director Compensation Policy</w:t>
      </w:r>
    </w:p>
    <w:p>
      <w:pPr>
        <w:spacing w:after="0" w:line="131"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i w:val="1"/>
          <w:iCs w:val="1"/>
          <w:color w:val="auto"/>
        </w:rPr>
        <w:t xml:space="preserve">Overview of Director Compensation. </w:t>
      </w:r>
      <w:r>
        <w:rPr>
          <w:rFonts w:ascii="Arial" w:cs="Arial" w:eastAsia="Arial" w:hAnsi="Arial"/>
          <w:sz w:val="16"/>
          <w:szCs w:val="16"/>
          <w:color w:val="auto"/>
        </w:rPr>
        <w:t>Our non-employee directors receive cash compensation and equity compensation for their service on our board.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reviews the compensation of our non-employee directors periodically and recommends changes to our board when it deems appropriate. To assist with our compensation committee’s and our board’s review, our compensation committee’s external compensation consultant prepares a comprehensive annual assessment of our non-employee director compensation program. The assessment includes benchmarking director compensation against the same peer group used for executive compensation decision-making, an update in recent trends in director compensation and a review of related corporate governance best practices. We target compensation for service on our board and committees generally at the 50th percentile for board service at companies in our peer group of companies.</w:t>
      </w:r>
    </w:p>
    <w:p>
      <w:pPr>
        <w:spacing w:after="0" w:line="75"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b w:val="1"/>
          <w:bCs w:val="1"/>
          <w:i w:val="1"/>
          <w:iCs w:val="1"/>
          <w:color w:val="auto"/>
        </w:rPr>
        <w:t xml:space="preserve">Non-Employee Director Compensation Policy. </w:t>
      </w:r>
      <w:r>
        <w:rPr>
          <w:rFonts w:ascii="Arial" w:cs="Arial" w:eastAsia="Arial" w:hAnsi="Arial"/>
          <w:sz w:val="16"/>
          <w:szCs w:val="16"/>
          <w:color w:val="auto"/>
        </w:rPr>
        <w:t>Our non-employee director compensation policy, or director compensation policy, was originally approved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our board in 2013 and has subsequently been amended. The equity grants made pursuant to the director compensation policy are granted under the Amended and Restated 2007 Non-Employee Directors Stock Award Plan, or 2007 Directors Plan.</w:t>
      </w:r>
    </w:p>
    <w:p>
      <w:pPr>
        <w:spacing w:after="0" w:line="70"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b w:val="1"/>
          <w:bCs w:val="1"/>
          <w:i w:val="1"/>
          <w:iCs w:val="1"/>
          <w:color w:val="auto"/>
        </w:rPr>
        <w:t xml:space="preserve">Limit on Director Compensation. </w:t>
      </w:r>
      <w:r>
        <w:rPr>
          <w:rFonts w:ascii="Arial" w:cs="Arial" w:eastAsia="Arial" w:hAnsi="Arial"/>
          <w:sz w:val="16"/>
          <w:szCs w:val="16"/>
          <w:color w:val="auto"/>
        </w:rPr>
        <w:t>In any case, the aggregate value of all compensation granted or paid, as applicable, to any non-employee director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to any period commencing on the date of the annual general meeting of our shareholders for a particular year and ending on the day immediately prior to the date of the annual general meeting of our shareholders for the subsequent year, including equity awards granted and cash fees paid by us to the non-employee director, will not exceed (i) $750,000 in total value or (ii) in the event such non-employee director is first appointed or elected to our board during that same period, $1,350,000 in total value.</w:t>
      </w:r>
    </w:p>
    <w:p>
      <w:pPr>
        <w:spacing w:after="0" w:line="77"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i w:val="1"/>
          <w:iCs w:val="1"/>
          <w:color w:val="auto"/>
        </w:rPr>
        <w:t>Cash Compensation</w:t>
      </w:r>
      <w:r>
        <w:rPr>
          <w:rFonts w:ascii="Arial" w:cs="Arial" w:eastAsia="Arial" w:hAnsi="Arial"/>
          <w:sz w:val="16"/>
          <w:szCs w:val="16"/>
          <w:color w:val="auto"/>
        </w:rPr>
        <w:t>. Pursuant to our director compensation policy, each non-employee director was entitled to receive the following cash compensation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services, as applicable, for 2023:</w:t>
      </w:r>
    </w:p>
    <w:p>
      <w:pPr>
        <w:spacing w:after="0" w:line="47" w:lineRule="exact"/>
        <w:rPr>
          <w:sz w:val="20"/>
          <w:szCs w:val="20"/>
          <w:color w:val="auto"/>
        </w:rPr>
      </w:pPr>
    </w:p>
    <w:p>
      <w:pPr>
        <w:ind w:left="660" w:hanging="328"/>
        <w:spacing w:after="0" w:line="339" w:lineRule="auto"/>
        <w:tabs>
          <w:tab w:leader="none" w:pos="649" w:val="left"/>
        </w:tabs>
        <w:numPr>
          <w:ilvl w:val="0"/>
          <w:numId w:val="92"/>
        </w:numPr>
        <w:rPr>
          <w:rFonts w:ascii="Arial" w:cs="Arial" w:eastAsia="Arial" w:hAnsi="Arial"/>
          <w:sz w:val="16"/>
          <w:szCs w:val="16"/>
          <w:color w:val="auto"/>
        </w:rPr>
      </w:pPr>
      <w:r>
        <w:rPr>
          <w:rFonts w:ascii="Arial" w:cs="Arial" w:eastAsia="Arial" w:hAnsi="Arial"/>
          <w:sz w:val="16"/>
          <w:szCs w:val="16"/>
          <w:color w:val="auto"/>
        </w:rPr>
        <w:t>$75,000 per year for service as a member of our board; (prior to May 2023, each member received $60,000 per year for service as a member of our board);</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additional $50,000 per year for service as the Lead Independent Director;</w:t>
      </w:r>
    </w:p>
    <w:p>
      <w:pPr>
        <w:spacing w:after="0" w:line="153" w:lineRule="exact"/>
        <w:rPr>
          <w:rFonts w:ascii="Arial" w:cs="Arial" w:eastAsia="Arial" w:hAnsi="Arial"/>
          <w:sz w:val="16"/>
          <w:szCs w:val="16"/>
          <w:color w:val="auto"/>
        </w:rPr>
      </w:pPr>
    </w:p>
    <w:p>
      <w:pPr>
        <w:ind w:left="660" w:right="20" w:hanging="328"/>
        <w:spacing w:after="0" w:line="283" w:lineRule="auto"/>
        <w:tabs>
          <w:tab w:leader="none" w:pos="649" w:val="left"/>
        </w:tabs>
        <w:numPr>
          <w:ilvl w:val="0"/>
          <w:numId w:val="92"/>
        </w:numPr>
        <w:rPr>
          <w:rFonts w:ascii="Arial" w:cs="Arial" w:eastAsia="Arial" w:hAnsi="Arial"/>
          <w:sz w:val="16"/>
          <w:szCs w:val="16"/>
          <w:color w:val="auto"/>
        </w:rPr>
      </w:pPr>
      <w:r>
        <w:rPr>
          <w:rFonts w:ascii="Arial" w:cs="Arial" w:eastAsia="Arial" w:hAnsi="Arial"/>
          <w:sz w:val="16"/>
          <w:szCs w:val="16"/>
          <w:color w:val="auto"/>
        </w:rPr>
        <w:t>supplemental amounts for the chairs of the following board committees in the following amounts</w:t>
      </w:r>
      <w:r>
        <w:rPr>
          <w:rFonts w:ascii="Arial" w:cs="Arial" w:eastAsia="Arial" w:hAnsi="Arial"/>
          <w:sz w:val="21"/>
          <w:szCs w:val="21"/>
          <w:color w:val="auto"/>
          <w:vertAlign w:val="superscript"/>
        </w:rPr>
        <w:t>(1)</w:t>
      </w:r>
      <w:r>
        <w:rPr>
          <w:rFonts w:ascii="Arial" w:cs="Arial" w:eastAsia="Arial" w:hAnsi="Arial"/>
          <w:sz w:val="16"/>
          <w:szCs w:val="16"/>
          <w:color w:val="auto"/>
        </w:rPr>
        <w:t>: $25,000 per year for the chairperson of our audit committee, $22,500 per year for the chairperson of our compensation committee, $20,000 per year for the chairperson of our nominating committee, $22,500 per year for the chairperson of our SMC and $5,000 per meeting, up to $20,000 per year, for the chairperson of the transaction committee; and</w:t>
      </w:r>
    </w:p>
    <w:p>
      <w:pPr>
        <w:spacing w:after="0" w:line="76" w:lineRule="exact"/>
        <w:rPr>
          <w:rFonts w:ascii="Arial" w:cs="Arial" w:eastAsia="Arial" w:hAnsi="Arial"/>
          <w:sz w:val="16"/>
          <w:szCs w:val="16"/>
          <w:color w:val="auto"/>
        </w:rPr>
      </w:pPr>
    </w:p>
    <w:p>
      <w:pPr>
        <w:ind w:left="660" w:right="180" w:hanging="328"/>
        <w:spacing w:after="0" w:line="312" w:lineRule="auto"/>
        <w:tabs>
          <w:tab w:leader="none" w:pos="649" w:val="left"/>
        </w:tabs>
        <w:numPr>
          <w:ilvl w:val="0"/>
          <w:numId w:val="92"/>
        </w:numPr>
        <w:rPr>
          <w:rFonts w:ascii="Arial" w:cs="Arial" w:eastAsia="Arial" w:hAnsi="Arial"/>
          <w:sz w:val="16"/>
          <w:szCs w:val="16"/>
          <w:color w:val="auto"/>
        </w:rPr>
      </w:pPr>
      <w:r>
        <w:rPr>
          <w:rFonts w:ascii="Arial" w:cs="Arial" w:eastAsia="Arial" w:hAnsi="Arial"/>
          <w:sz w:val="16"/>
          <w:szCs w:val="16"/>
          <w:color w:val="auto"/>
        </w:rPr>
        <w:t>supplemental amounts for each member of the following board committees other than the chairs, in the following amounts: $15,000 per year for service as a member of our audit committee, $12,500 per year for service as a member of our compensation committee, $10,000 per year for service as a member of our nominating committee, $12,500 per year for service as a member of our SMC and $2,500 per meeting, up to $10,000 per year, for service as a member of the transaction committee.</w:t>
      </w:r>
    </w:p>
    <w:p>
      <w:pPr>
        <w:spacing w:after="0" w:line="69" w:lineRule="exact"/>
        <w:rPr>
          <w:sz w:val="20"/>
          <w:szCs w:val="20"/>
          <w:color w:val="auto"/>
        </w:rPr>
      </w:pPr>
    </w:p>
    <w:p>
      <w:pPr>
        <w:jc w:val="both"/>
        <w:ind w:right="120"/>
        <w:spacing w:after="0" w:line="310" w:lineRule="auto"/>
        <w:rPr>
          <w:sz w:val="20"/>
          <w:szCs w:val="20"/>
          <w:color w:val="auto"/>
        </w:rPr>
      </w:pPr>
      <w:r>
        <w:rPr>
          <w:rFonts w:ascii="Arial" w:cs="Arial" w:eastAsia="Arial" w:hAnsi="Arial"/>
          <w:sz w:val="16"/>
          <w:szCs w:val="16"/>
          <w:color w:val="auto"/>
        </w:rPr>
        <w:t>The additional cash compensation described above for the non-employee director’s service on the committees other than the transaction committee is paid in four equal quarterly installments, earned upon the completion of service each calendar quarter. The additional cash compensation for the non-employee director’s service on the transaction committee is paid in four quarterly installments, earned upon the completion of services each calendar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996315</wp:posOffset>
            </wp:positionV>
            <wp:extent cx="272605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60" w:right="380" w:hanging="334"/>
        <w:spacing w:after="0" w:line="325" w:lineRule="auto"/>
        <w:tabs>
          <w:tab w:leader="none" w:pos="3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 2024, our board approved an increase in the supplemental amounts for the chairs of the following board committees to: $25,000 per year for the chairperson of our compensation committee and $25,000 per year for the chairperson of our SMC.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86</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90" w:name="page91"/>
    <w:bookmarkEnd w:id="90"/>
    <w:p>
      <w:pPr>
        <w:ind w:right="80"/>
        <w:spacing w:after="0" w:line="303" w:lineRule="auto"/>
        <w:rPr>
          <w:sz w:val="20"/>
          <w:szCs w:val="20"/>
          <w:color w:val="auto"/>
        </w:rPr>
      </w:pPr>
      <w:r>
        <w:rPr>
          <w:rFonts w:ascii="Arial" w:cs="Arial" w:eastAsia="Arial" w:hAnsi="Arial"/>
          <w:sz w:val="16"/>
          <w:szCs w:val="16"/>
          <w:b w:val="1"/>
          <w:bCs w:val="1"/>
          <w:i w:val="1"/>
          <w:iCs w:val="1"/>
          <w:color w:val="auto"/>
        </w:rPr>
        <w:t xml:space="preserve">Equity Compensation—Size of Annual Grants. </w:t>
      </w:r>
      <w:r>
        <w:rPr>
          <w:rFonts w:ascii="Arial" w:cs="Arial" w:eastAsia="Arial" w:hAnsi="Arial"/>
          <w:sz w:val="16"/>
          <w:szCs w:val="16"/>
          <w:color w:val="auto"/>
        </w:rPr>
        <w:t>Each individual who is a non-employee director on the date of an annual general meeting of shareholders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continuing as a non-employee director following such meeting will receive an automatic annual grant in the form of an RSU having a target grant date value of $400,000, or an automatic continuing annual grant. Each person who is elected or appointed to be a non-employee director for the first time other than at an annual general meeting and is entitled to receive an automatic annual grant in the form of an RSU having a target grant date value of $400,000, prorated based on the number of days from the date of election or appointment until the date of the first anniversary of the prior annual general meeting of shareholders, or an automatic prorated annual grant. The actual share amounts underlying each annual grant are determined by dividing the target grant date value by our 30-day average share price ending on the grant date.</w:t>
      </w:r>
    </w:p>
    <w:p>
      <w:pPr>
        <w:spacing w:after="0" w:line="6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i w:val="1"/>
          <w:iCs w:val="1"/>
          <w:color w:val="auto"/>
        </w:rPr>
        <w:t xml:space="preserve">Equity Compensation—Terms of Annual Grants. </w:t>
      </w:r>
      <w:r>
        <w:rPr>
          <w:rFonts w:ascii="Arial" w:cs="Arial" w:eastAsia="Arial" w:hAnsi="Arial"/>
          <w:sz w:val="16"/>
          <w:szCs w:val="16"/>
          <w:color w:val="auto"/>
        </w:rPr>
        <w:t>The grant date of automatic continuing annual grants is the date of our annual general meeting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 date of automatic prorated annual grants is the second trading day following the filing date of our next quarterly or annual report filed under the Exchange Act that occurs after the date the director first joined our board. Each automatic continuing annual grant vests in full on the first anniversary of the annual general meeting of our shareholders in the year an award is granted and each automatic prorated annual grant vests in full on the first anniversary of the annual general meeting of our shareholders held prior to the director’s initial election or appointment, subject in each case to the non-employee director’s continuous service through such dates. However, if a non-employee director does not stand for reelection at an annual general meeting of our shareholders in the year in which his or her term expires or otherwise resigns effective at an annual general meeting of our shareholders and, in either case, the non-employee director’s continuous service terminates at such meeting, then effective as of the date of such meeting, any unvested portion of the annual grant will become vested in full. The other terms and conditions applicable to equity awards made to our non-employee directors are included below under the heading “Equity Compensation Plans.”</w:t>
      </w:r>
    </w:p>
    <w:p>
      <w:pPr>
        <w:spacing w:after="0" w:line="6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b w:val="1"/>
          <w:bCs w:val="1"/>
          <w:i w:val="1"/>
          <w:iCs w:val="1"/>
          <w:color w:val="auto"/>
        </w:rPr>
        <w:t xml:space="preserve">Travel and Other Reasonable Expenses. </w:t>
      </w:r>
      <w:r>
        <w:rPr>
          <w:rFonts w:ascii="Arial" w:cs="Arial" w:eastAsia="Arial" w:hAnsi="Arial"/>
          <w:sz w:val="16"/>
          <w:szCs w:val="16"/>
          <w:color w:val="auto"/>
        </w:rPr>
        <w:t>In addition, our non-employee directors are reimbursed for travel and other reasonable expenses incurred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attending board or committee meetings, as are our employees who serve as directors. If any reimbursement payment is subject to tax imposed by the Irish Revenue Commissioners, each non-employee director is also entitled to a tax equalization payment in order to allow them to retain the full reimbursement payment. There were no such tax equalization payments made to any of our non-employee directors with respect to any reimbursement payments in 2023.</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Directors Continuing Education</w:t>
      </w:r>
    </w:p>
    <w:p>
      <w:pPr>
        <w:spacing w:after="0" w:line="131"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In furtherance of our ongoing commitment to the continuing education of our directors, our nominating committee adopted a policy for the reimbursement of director continuing education. Under this policy, we will pay or reimburse each director for enrollment fees and reasonable expenses incurred in connection with attending and participating each year in one director continuing education program and in one healthcare industry continuing education program, each sponsored by an outside provider.</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Ownership Guidelines for Directors</w:t>
      </w:r>
    </w:p>
    <w:p>
      <w:pPr>
        <w:spacing w:after="0" w:line="144"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We maintain share ownership guidelines for our non-employee directors which require each non-employee director to own a number of our ordinary shares with a value equal to five times his or her annual cash retainer within five years of first becoming subject to the guidelines. As of April 1, 2024, each non-employee director was in compliance with his or her share ownership requirement under the applicable guidelines, except for Ms. Cook and Dr. Smith who joined our board in December 2020 and Mr. Kennedy who joined our board in March 2024 and, accordingly, have five years from their appointment to comply with the guidelines.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Equity Compensation Plans</w:t>
      </w:r>
    </w:p>
    <w:p>
      <w:pPr>
        <w:spacing w:after="0" w:line="131" w:lineRule="exact"/>
        <w:rPr>
          <w:sz w:val="20"/>
          <w:szCs w:val="20"/>
          <w:color w:val="auto"/>
        </w:rPr>
      </w:pPr>
    </w:p>
    <w:p>
      <w:pPr>
        <w:ind w:right="20"/>
        <w:spacing w:after="0" w:line="319" w:lineRule="auto"/>
        <w:rPr>
          <w:sz w:val="20"/>
          <w:szCs w:val="20"/>
          <w:color w:val="auto"/>
        </w:rPr>
      </w:pPr>
      <w:r>
        <w:rPr>
          <w:rFonts w:ascii="Arial" w:cs="Arial" w:eastAsia="Arial" w:hAnsi="Arial"/>
          <w:sz w:val="16"/>
          <w:szCs w:val="16"/>
          <w:color w:val="auto"/>
        </w:rPr>
        <w:t>The 2007 Directors Plan, which was initially adopted by the Jazz Pharmaceuticals, Inc. board of directors and approved by the Jazz Pharmaceuticals, Inc. stockholders in connection with its initial public offering, was continued and assumed by us upon the consummation of the Azur Merger. Equity awards under our director compensation policy described above are granted under the 2007 Directors Plan.</w:t>
      </w:r>
    </w:p>
    <w:p>
      <w:pPr>
        <w:spacing w:after="0" w:line="63"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With respect to options granted under the 2007 Directors Plan, if a non-employee director’s service relationship with us or any of our affiliates, whether as a non-employee director or subsequently as our employee, director or consultant or that of any of our affiliates, ceases for any reason other than disability or death, or after any 12-month period following a change in control, the optionee may exercise any vested options for a period of three months following the cessation of service. If such optionee’s service relationship with us, or any of our affiliates, ceases due to disability or death (or an optionee dies within a certain period following cessation of service), the optionee or a beneficiary may exercise the option for a period of 12 months in the event of</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87</w:t>
            </w:r>
          </w:p>
        </w:tc>
      </w:tr>
      <w:tr>
        <w:trPr>
          <w:trHeight w:val="406"/>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91" w:name="page92"/>
    <w:bookmarkEnd w:id="91"/>
    <w:p>
      <w:pPr>
        <w:jc w:val="both"/>
        <w:spacing w:after="0" w:line="306" w:lineRule="auto"/>
        <w:rPr>
          <w:sz w:val="20"/>
          <w:szCs w:val="20"/>
          <w:color w:val="auto"/>
        </w:rPr>
      </w:pPr>
      <w:r>
        <w:rPr>
          <w:rFonts w:ascii="Arial" w:cs="Arial" w:eastAsia="Arial" w:hAnsi="Arial"/>
          <w:sz w:val="16"/>
          <w:szCs w:val="16"/>
          <w:color w:val="auto"/>
        </w:rPr>
        <w:t>disability, and 18 months in the event of death. With respect to options granted under the 2007 Directors Plan, if such optionee’s service terminates within 12 months following a specified change in control transaction, the optionee may exercise any vested portion of the option for a period of 12 months following the effective date of such a transaction. The option term may be extended in the event that exercise of the option following termination of service is prohibited by applicable securities laws. In no event, however, may an option be exercised beyond the expiration of its term.</w:t>
      </w:r>
    </w:p>
    <w:p>
      <w:pPr>
        <w:spacing w:after="0" w:line="74"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With respect to RSU awards granted under the 2007 Directors Plan, if a non-employee director’s service relationship with us or any of our affiliates, whether as a non-employee director or subsequently as our employee, director or consultant or that of any of our affiliates, ceases for any reason, any RSU awards that were unvested as of the date of such termination will be forfeited. RSU awards granted pursuant to the director compensation policy are also subject to potential acceleration, as described above under the heading, “Equity Compensation—Terms of Annual Grants.”</w:t>
      </w:r>
    </w:p>
    <w:p>
      <w:pPr>
        <w:spacing w:after="0" w:line="74"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In the event of certain significant corporate transactions (which generally have a meaning similar to “corporate transaction” under the 2011 Plan), all outstanding awards under the 2007 Directors Plan may be assumed, continued or substituted for by any surviving or acquiring entity (or its parent company). If the surviving or acquiring entity (or its parent company) elects not to assume, continue or substitute for such awards, then (a) with respect to any such awards that are held by participants then performing services for us or our affiliates, the vesting and exercisability of such awards will be accelerated in full and such awards will be terminated if not exercised (if applicable) prior to the effective date of the corporate transaction and (b) all other outstanding awards will terminate if not exercised prior to the effective date of the corporate transaction. Our board may also provide that the holder of an outstanding award not assumed in the corporate transaction will surrender such award in exchange for a payment equal to the excess of (i) the value of the property that the holder would have received upon exercise of the award, over (ii) the exercise price otherwise payable in connection with the exercise. In addition, the vesting and exercisability of awards under the 2007 Directors Plan held by non-employee directors who are either required to resign their position as a condition of a specified change in control transaction (which generally has a similar meaning as a “change in control” under the 2011 Plan) or are removed from their position in connection with such a change in control will be accelerated in full.</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2023 Equity Grants</w:t>
      </w:r>
    </w:p>
    <w:p>
      <w:pPr>
        <w:spacing w:after="0" w:line="144"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auto"/>
        </w:rPr>
        <w:t>In accordance with our non-employee director compensation policy described above, we made automatic annual grants to each of our non-employee directors as a result of their continuing on our board through our annual general meeting in August 2023, which grants consisted of an RSU award covering 3,075 ordinary shares. All RSUs granted to non-employee directors during 2023 were granted under the 2007 Directors Plan.</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Director Compensation Table</w:t>
      </w:r>
    </w:p>
    <w:p>
      <w:pPr>
        <w:spacing w:after="0" w:line="144"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The following table sets forth certain information with respect to the compensation of all of our non-employee directors for the fiscal year ended December 31, 2023.</w:t>
      </w:r>
    </w:p>
    <w:p>
      <w:pPr>
        <w:spacing w:after="0" w:line="61" w:lineRule="exact"/>
        <w:rPr>
          <w:sz w:val="20"/>
          <w:szCs w:val="20"/>
          <w:color w:val="auto"/>
        </w:rPr>
      </w:pPr>
    </w:p>
    <w:p>
      <w:pPr>
        <w:ind w:right="480"/>
        <w:spacing w:after="0" w:line="339" w:lineRule="auto"/>
        <w:rPr>
          <w:sz w:val="20"/>
          <w:szCs w:val="20"/>
          <w:color w:val="auto"/>
        </w:rPr>
      </w:pPr>
      <w:r>
        <w:rPr>
          <w:rFonts w:ascii="Arial" w:cs="Arial" w:eastAsia="Arial" w:hAnsi="Arial"/>
          <w:sz w:val="16"/>
          <w:szCs w:val="16"/>
          <w:color w:val="auto"/>
        </w:rPr>
        <w:t>Mr. Cozadd, our Chairperson and CEO, is not listed in the following table because he is our employee. Mr. Cozadd’s compensation is described under “Executive Compensation.” Mr. Cozadd received no additional compensation for serving on our board in 2023.</w:t>
      </w:r>
    </w:p>
    <w:p>
      <w:pPr>
        <w:spacing w:after="0" w:line="200" w:lineRule="exact"/>
        <w:rPr>
          <w:sz w:val="20"/>
          <w:szCs w:val="20"/>
          <w:color w:val="auto"/>
        </w:rPr>
      </w:pPr>
    </w:p>
    <w:p>
      <w:pPr>
        <w:spacing w:after="0" w:line="338"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88</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color w:val="auto"/>
        </w:rPr>
        <w:t>Director Compensation For Fiscal 2023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20" w:type="dxa"/>
            <w:vAlign w:val="bottom"/>
            <w:shd w:val="clear" w:color="auto" w:fill="852166"/>
          </w:tcPr>
          <w:p>
            <w:pPr>
              <w:spacing w:after="0"/>
              <w:rPr>
                <w:sz w:val="16"/>
                <w:szCs w:val="16"/>
                <w:color w:val="auto"/>
              </w:rPr>
            </w:pPr>
          </w:p>
        </w:tc>
        <w:tc>
          <w:tcPr>
            <w:tcW w:w="4200" w:type="dxa"/>
            <w:vAlign w:val="bottom"/>
            <w:shd w:val="clear" w:color="auto" w:fill="852166"/>
          </w:tcPr>
          <w:p>
            <w:pPr>
              <w:jc w:val="right"/>
              <w:ind w:right="308"/>
              <w:spacing w:after="0"/>
              <w:rPr>
                <w:sz w:val="20"/>
                <w:szCs w:val="20"/>
                <w:color w:val="auto"/>
              </w:rPr>
            </w:pPr>
            <w:r>
              <w:rPr>
                <w:rFonts w:ascii="Arial" w:cs="Arial" w:eastAsia="Arial" w:hAnsi="Arial"/>
                <w:sz w:val="14"/>
                <w:szCs w:val="14"/>
                <w:b w:val="1"/>
                <w:bCs w:val="1"/>
                <w:color w:val="FFFFFF"/>
              </w:rPr>
              <w:t>Fees Earned or Paid in</w:t>
            </w:r>
          </w:p>
        </w:tc>
        <w:tc>
          <w:tcPr>
            <w:tcW w:w="1720" w:type="dxa"/>
            <w:vAlign w:val="bottom"/>
            <w:vMerge w:val="restart"/>
            <w:shd w:val="clear" w:color="auto" w:fill="852166"/>
          </w:tcPr>
          <w:p>
            <w:pPr>
              <w:jc w:val="right"/>
              <w:ind w:right="290"/>
              <w:spacing w:after="0"/>
              <w:rPr>
                <w:sz w:val="20"/>
                <w:szCs w:val="20"/>
                <w:color w:val="auto"/>
              </w:rPr>
            </w:pPr>
            <w:r>
              <w:rPr>
                <w:rFonts w:ascii="Arial" w:cs="Arial" w:eastAsia="Arial" w:hAnsi="Arial"/>
                <w:sz w:val="14"/>
                <w:szCs w:val="14"/>
                <w:b w:val="1"/>
                <w:bCs w:val="1"/>
                <w:color w:val="FFFFFF"/>
              </w:rPr>
              <w:t>Stock Awards</w:t>
            </w:r>
          </w:p>
        </w:tc>
        <w:tc>
          <w:tcPr>
            <w:tcW w:w="1000" w:type="dxa"/>
            <w:vAlign w:val="bottom"/>
            <w:vMerge w:val="restart"/>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60"/>
        </w:trPr>
        <w:tc>
          <w:tcPr>
            <w:tcW w:w="4320" w:type="dxa"/>
            <w:vAlign w:val="bottom"/>
            <w:shd w:val="clear" w:color="auto" w:fill="852166"/>
          </w:tcPr>
          <w:p>
            <w:pPr>
              <w:spacing w:after="0"/>
              <w:rPr>
                <w:sz w:val="13"/>
                <w:szCs w:val="13"/>
                <w:color w:val="auto"/>
              </w:rPr>
            </w:pPr>
          </w:p>
        </w:tc>
        <w:tc>
          <w:tcPr>
            <w:tcW w:w="4200" w:type="dxa"/>
            <w:vAlign w:val="bottom"/>
            <w:shd w:val="clear" w:color="auto" w:fill="852166"/>
          </w:tcPr>
          <w:p>
            <w:pPr>
              <w:jc w:val="right"/>
              <w:ind w:right="308"/>
              <w:spacing w:after="0" w:line="159" w:lineRule="exact"/>
              <w:rPr>
                <w:sz w:val="20"/>
                <w:szCs w:val="20"/>
                <w:color w:val="auto"/>
              </w:rPr>
            </w:pPr>
            <w:r>
              <w:rPr>
                <w:rFonts w:ascii="Arial" w:cs="Arial" w:eastAsia="Arial" w:hAnsi="Arial"/>
                <w:sz w:val="14"/>
                <w:szCs w:val="14"/>
                <w:b w:val="1"/>
                <w:bCs w:val="1"/>
                <w:color w:val="FFFFFF"/>
              </w:rPr>
              <w:t>Cash</w:t>
            </w:r>
          </w:p>
        </w:tc>
        <w:tc>
          <w:tcPr>
            <w:tcW w:w="1720" w:type="dxa"/>
            <w:vAlign w:val="bottom"/>
            <w:vMerge w:val="continue"/>
            <w:shd w:val="clear" w:color="auto" w:fill="852166"/>
          </w:tcPr>
          <w:p>
            <w:pPr>
              <w:spacing w:after="0"/>
              <w:rPr>
                <w:sz w:val="13"/>
                <w:szCs w:val="13"/>
                <w:color w:val="auto"/>
              </w:rPr>
            </w:pPr>
          </w:p>
        </w:tc>
        <w:tc>
          <w:tcPr>
            <w:tcW w:w="1000" w:type="dxa"/>
            <w:vAlign w:val="bottom"/>
            <w:vMerge w:val="continue"/>
            <w:shd w:val="clear" w:color="auto" w:fill="852166"/>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4320" w:type="dxa"/>
            <w:vAlign w:val="bottom"/>
            <w:tcBorders>
              <w:bottom w:val="single" w:sz="8" w:color="852166"/>
            </w:tcBorders>
            <w:shd w:val="clear" w:color="auto" w:fill="852166"/>
          </w:tcPr>
          <w:p>
            <w:pPr>
              <w:ind w:left="100"/>
              <w:spacing w:after="0"/>
              <w:rPr>
                <w:sz w:val="20"/>
                <w:szCs w:val="20"/>
                <w:color w:val="auto"/>
              </w:rPr>
            </w:pPr>
            <w:r>
              <w:rPr>
                <w:rFonts w:ascii="Arial" w:cs="Arial" w:eastAsia="Arial" w:hAnsi="Arial"/>
                <w:sz w:val="14"/>
                <w:szCs w:val="14"/>
                <w:b w:val="1"/>
                <w:bCs w:val="1"/>
                <w:color w:val="FFFFFF"/>
              </w:rPr>
              <w:t>Name</w:t>
            </w:r>
          </w:p>
        </w:tc>
        <w:tc>
          <w:tcPr>
            <w:tcW w:w="4200" w:type="dxa"/>
            <w:vAlign w:val="bottom"/>
            <w:tcBorders>
              <w:bottom w:val="single" w:sz="8" w:color="852166"/>
            </w:tcBorders>
            <w:shd w:val="clear" w:color="auto" w:fill="852166"/>
          </w:tcPr>
          <w:p>
            <w:pPr>
              <w:jc w:val="right"/>
              <w:ind w:right="30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(1)</w:t>
            </w:r>
          </w:p>
        </w:tc>
        <w:tc>
          <w:tcPr>
            <w:tcW w:w="1720" w:type="dxa"/>
            <w:vAlign w:val="bottom"/>
            <w:tcBorders>
              <w:bottom w:val="single" w:sz="8" w:color="852166"/>
            </w:tcBorders>
            <w:shd w:val="clear" w:color="auto" w:fill="852166"/>
          </w:tcPr>
          <w:p>
            <w:pPr>
              <w:jc w:val="right"/>
              <w:ind w:right="290"/>
              <w:spacing w:after="0" w:line="214"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9"/>
                <w:szCs w:val="9"/>
                <w:b w:val="1"/>
                <w:bCs w:val="1"/>
                <w:color w:val="FFFFFF"/>
              </w:rPr>
              <w:t>(2)(3)</w:t>
            </w:r>
          </w:p>
        </w:tc>
        <w:tc>
          <w:tcPr>
            <w:tcW w:w="1000" w:type="dxa"/>
            <w:vAlign w:val="bottom"/>
            <w:tcBorders>
              <w:bottom w:val="single" w:sz="8" w:color="852166"/>
            </w:tcBorders>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9"/>
        </w:trPr>
        <w:tc>
          <w:tcPr>
            <w:tcW w:w="4320" w:type="dxa"/>
            <w:vAlign w:val="bottom"/>
            <w:shd w:val="clear" w:color="auto" w:fill="E9E9E9"/>
          </w:tcPr>
          <w:p>
            <w:pPr>
              <w:ind w:left="100"/>
              <w:spacing w:after="0"/>
              <w:rPr>
                <w:sz w:val="20"/>
                <w:szCs w:val="20"/>
                <w:color w:val="auto"/>
              </w:rPr>
            </w:pPr>
            <w:r>
              <w:rPr>
                <w:rFonts w:ascii="Arial" w:cs="Arial" w:eastAsia="Arial" w:hAnsi="Arial"/>
                <w:sz w:val="14"/>
                <w:szCs w:val="14"/>
                <w:b w:val="1"/>
                <w:bCs w:val="1"/>
                <w:color w:val="auto"/>
              </w:rPr>
              <w:t>Jennifer E. Cook</w:t>
            </w:r>
          </w:p>
        </w:tc>
        <w:tc>
          <w:tcPr>
            <w:tcW w:w="4200" w:type="dxa"/>
            <w:vAlign w:val="bottom"/>
            <w:shd w:val="clear" w:color="auto" w:fill="E9E9E9"/>
          </w:tcPr>
          <w:p>
            <w:pPr>
              <w:jc w:val="right"/>
              <w:ind w:right="308"/>
              <w:spacing w:after="0"/>
              <w:rPr>
                <w:sz w:val="20"/>
                <w:szCs w:val="20"/>
                <w:color w:val="auto"/>
              </w:rPr>
            </w:pPr>
            <w:r>
              <w:rPr>
                <w:rFonts w:ascii="Arial" w:cs="Arial" w:eastAsia="Arial" w:hAnsi="Arial"/>
                <w:sz w:val="14"/>
                <w:szCs w:val="14"/>
                <w:color w:val="auto"/>
              </w:rPr>
              <w:t>105,269</w:t>
            </w:r>
          </w:p>
        </w:tc>
        <w:tc>
          <w:tcPr>
            <w:tcW w:w="1720" w:type="dxa"/>
            <w:vAlign w:val="bottom"/>
            <w:shd w:val="clear" w:color="auto" w:fill="E9E9E9"/>
          </w:tcPr>
          <w:p>
            <w:pPr>
              <w:jc w:val="right"/>
              <w:ind w:right="290"/>
              <w:spacing w:after="0"/>
              <w:rPr>
                <w:sz w:val="20"/>
                <w:szCs w:val="20"/>
                <w:color w:val="auto"/>
              </w:rPr>
            </w:pPr>
            <w:r>
              <w:rPr>
                <w:rFonts w:ascii="Arial" w:cs="Arial" w:eastAsia="Arial" w:hAnsi="Arial"/>
                <w:sz w:val="14"/>
                <w:szCs w:val="14"/>
                <w:color w:val="auto"/>
              </w:rPr>
              <w:t>428,501</w:t>
            </w:r>
          </w:p>
        </w:tc>
        <w:tc>
          <w:tcPr>
            <w:tcW w:w="1000" w:type="dxa"/>
            <w:vAlign w:val="bottom"/>
            <w:shd w:val="clear" w:color="auto" w:fill="E9E9E9"/>
          </w:tcPr>
          <w:p>
            <w:pPr>
              <w:jc w:val="right"/>
              <w:ind w:right="48"/>
              <w:spacing w:after="0"/>
              <w:rPr>
                <w:sz w:val="20"/>
                <w:szCs w:val="20"/>
                <w:color w:val="auto"/>
              </w:rPr>
            </w:pPr>
            <w:r>
              <w:rPr>
                <w:rFonts w:ascii="Arial" w:cs="Arial" w:eastAsia="Arial" w:hAnsi="Arial"/>
                <w:sz w:val="14"/>
                <w:szCs w:val="14"/>
                <w:color w:val="auto"/>
              </w:rPr>
              <w:t>533,770</w:t>
            </w:r>
          </w:p>
        </w:tc>
        <w:tc>
          <w:tcPr>
            <w:tcW w:w="0" w:type="dxa"/>
            <w:vAlign w:val="bottom"/>
          </w:tcPr>
          <w:p>
            <w:pPr>
              <w:spacing w:after="0"/>
              <w:rPr>
                <w:sz w:val="1"/>
                <w:szCs w:val="1"/>
                <w:color w:val="auto"/>
              </w:rPr>
            </w:pPr>
          </w:p>
        </w:tc>
      </w:tr>
      <w:tr>
        <w:trPr>
          <w:trHeight w:val="222"/>
        </w:trPr>
        <w:tc>
          <w:tcPr>
            <w:tcW w:w="4320" w:type="dxa"/>
            <w:vAlign w:val="bottom"/>
          </w:tcPr>
          <w:p>
            <w:pPr>
              <w:ind w:left="100"/>
              <w:spacing w:after="0"/>
              <w:rPr>
                <w:sz w:val="20"/>
                <w:szCs w:val="20"/>
                <w:color w:val="auto"/>
              </w:rPr>
            </w:pPr>
            <w:r>
              <w:rPr>
                <w:rFonts w:ascii="Arial" w:cs="Arial" w:eastAsia="Arial" w:hAnsi="Arial"/>
                <w:sz w:val="14"/>
                <w:szCs w:val="14"/>
                <w:b w:val="1"/>
                <w:bCs w:val="1"/>
                <w:color w:val="auto"/>
              </w:rPr>
              <w:t>Patrick G. Enright</w:t>
            </w:r>
          </w:p>
        </w:tc>
        <w:tc>
          <w:tcPr>
            <w:tcW w:w="4200" w:type="dxa"/>
            <w:vAlign w:val="bottom"/>
          </w:tcPr>
          <w:p>
            <w:pPr>
              <w:jc w:val="right"/>
              <w:ind w:right="308"/>
              <w:spacing w:after="0"/>
              <w:rPr>
                <w:sz w:val="20"/>
                <w:szCs w:val="20"/>
                <w:color w:val="auto"/>
              </w:rPr>
            </w:pPr>
            <w:r>
              <w:rPr>
                <w:rFonts w:ascii="Arial" w:cs="Arial" w:eastAsia="Arial" w:hAnsi="Arial"/>
                <w:sz w:val="14"/>
                <w:szCs w:val="14"/>
                <w:color w:val="auto"/>
              </w:rPr>
              <w:t>97,769</w:t>
            </w:r>
          </w:p>
        </w:tc>
        <w:tc>
          <w:tcPr>
            <w:tcW w:w="1720" w:type="dxa"/>
            <w:vAlign w:val="bottom"/>
          </w:tcPr>
          <w:p>
            <w:pPr>
              <w:jc w:val="right"/>
              <w:ind w:right="290"/>
              <w:spacing w:after="0"/>
              <w:rPr>
                <w:sz w:val="20"/>
                <w:szCs w:val="20"/>
                <w:color w:val="auto"/>
              </w:rPr>
            </w:pPr>
            <w:r>
              <w:rPr>
                <w:rFonts w:ascii="Arial" w:cs="Arial" w:eastAsia="Arial" w:hAnsi="Arial"/>
                <w:sz w:val="14"/>
                <w:szCs w:val="14"/>
                <w:color w:val="auto"/>
              </w:rPr>
              <w:t>428,501</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526,270</w:t>
            </w:r>
          </w:p>
        </w:tc>
        <w:tc>
          <w:tcPr>
            <w:tcW w:w="0" w:type="dxa"/>
            <w:vAlign w:val="bottom"/>
          </w:tcPr>
          <w:p>
            <w:pPr>
              <w:spacing w:after="0"/>
              <w:rPr>
                <w:sz w:val="1"/>
                <w:szCs w:val="1"/>
                <w:color w:val="auto"/>
              </w:rPr>
            </w:pPr>
          </w:p>
        </w:tc>
      </w:tr>
      <w:tr>
        <w:trPr>
          <w:trHeight w:val="237"/>
        </w:trPr>
        <w:tc>
          <w:tcPr>
            <w:tcW w:w="4320" w:type="dxa"/>
            <w:vAlign w:val="bottom"/>
            <w:shd w:val="clear" w:color="auto" w:fill="E9E9E9"/>
          </w:tcPr>
          <w:p>
            <w:pPr>
              <w:ind w:left="100"/>
              <w:spacing w:after="0"/>
              <w:rPr>
                <w:sz w:val="20"/>
                <w:szCs w:val="20"/>
                <w:color w:val="auto"/>
              </w:rPr>
            </w:pPr>
            <w:r>
              <w:rPr>
                <w:rFonts w:ascii="Arial" w:cs="Arial" w:eastAsia="Arial" w:hAnsi="Arial"/>
                <w:sz w:val="14"/>
                <w:szCs w:val="14"/>
                <w:b w:val="1"/>
                <w:bCs w:val="1"/>
                <w:color w:val="auto"/>
              </w:rPr>
              <w:t>Peter Gray</w:t>
            </w:r>
          </w:p>
        </w:tc>
        <w:tc>
          <w:tcPr>
            <w:tcW w:w="4200" w:type="dxa"/>
            <w:vAlign w:val="bottom"/>
            <w:shd w:val="clear" w:color="auto" w:fill="E9E9E9"/>
          </w:tcPr>
          <w:p>
            <w:pPr>
              <w:jc w:val="right"/>
              <w:ind w:right="308"/>
              <w:spacing w:after="0"/>
              <w:rPr>
                <w:sz w:val="20"/>
                <w:szCs w:val="20"/>
                <w:color w:val="auto"/>
              </w:rPr>
            </w:pPr>
            <w:r>
              <w:rPr>
                <w:rFonts w:ascii="Arial" w:cs="Arial" w:eastAsia="Arial" w:hAnsi="Arial"/>
                <w:sz w:val="14"/>
                <w:szCs w:val="14"/>
                <w:color w:val="auto"/>
              </w:rPr>
              <w:t>105,269</w:t>
            </w:r>
          </w:p>
        </w:tc>
        <w:tc>
          <w:tcPr>
            <w:tcW w:w="1720" w:type="dxa"/>
            <w:vAlign w:val="bottom"/>
            <w:shd w:val="clear" w:color="auto" w:fill="E9E9E9"/>
          </w:tcPr>
          <w:p>
            <w:pPr>
              <w:jc w:val="right"/>
              <w:ind w:right="290"/>
              <w:spacing w:after="0"/>
              <w:rPr>
                <w:sz w:val="20"/>
                <w:szCs w:val="20"/>
                <w:color w:val="auto"/>
              </w:rPr>
            </w:pPr>
            <w:r>
              <w:rPr>
                <w:rFonts w:ascii="Arial" w:cs="Arial" w:eastAsia="Arial" w:hAnsi="Arial"/>
                <w:sz w:val="14"/>
                <w:szCs w:val="14"/>
                <w:color w:val="auto"/>
              </w:rPr>
              <w:t>428,501</w:t>
            </w:r>
          </w:p>
        </w:tc>
        <w:tc>
          <w:tcPr>
            <w:tcW w:w="1000" w:type="dxa"/>
            <w:vAlign w:val="bottom"/>
            <w:shd w:val="clear" w:color="auto" w:fill="E9E9E9"/>
          </w:tcPr>
          <w:p>
            <w:pPr>
              <w:jc w:val="right"/>
              <w:ind w:right="48"/>
              <w:spacing w:after="0"/>
              <w:rPr>
                <w:sz w:val="20"/>
                <w:szCs w:val="20"/>
                <w:color w:val="auto"/>
              </w:rPr>
            </w:pPr>
            <w:r>
              <w:rPr>
                <w:rFonts w:ascii="Arial" w:cs="Arial" w:eastAsia="Arial" w:hAnsi="Arial"/>
                <w:sz w:val="14"/>
                <w:szCs w:val="14"/>
                <w:color w:val="auto"/>
              </w:rPr>
              <w:t>533,770</w:t>
            </w:r>
          </w:p>
        </w:tc>
        <w:tc>
          <w:tcPr>
            <w:tcW w:w="0" w:type="dxa"/>
            <w:vAlign w:val="bottom"/>
          </w:tcPr>
          <w:p>
            <w:pPr>
              <w:spacing w:after="0"/>
              <w:rPr>
                <w:sz w:val="1"/>
                <w:szCs w:val="1"/>
                <w:color w:val="auto"/>
              </w:rPr>
            </w:pPr>
          </w:p>
        </w:tc>
      </w:tr>
      <w:tr>
        <w:trPr>
          <w:trHeight w:val="229"/>
        </w:trPr>
        <w:tc>
          <w:tcPr>
            <w:tcW w:w="4320" w:type="dxa"/>
            <w:vAlign w:val="bottom"/>
          </w:tcPr>
          <w:p>
            <w:pPr>
              <w:ind w:left="100"/>
              <w:spacing w:after="0"/>
              <w:rPr>
                <w:sz w:val="20"/>
                <w:szCs w:val="20"/>
                <w:color w:val="auto"/>
              </w:rPr>
            </w:pPr>
            <w:r>
              <w:rPr>
                <w:rFonts w:ascii="Arial" w:cs="Arial" w:eastAsia="Arial" w:hAnsi="Arial"/>
                <w:sz w:val="14"/>
                <w:szCs w:val="14"/>
                <w:b w:val="1"/>
                <w:bCs w:val="1"/>
                <w:color w:val="auto"/>
              </w:rPr>
              <w:t>Patrick Kennedy</w:t>
            </w:r>
            <w:r>
              <w:rPr>
                <w:rFonts w:ascii="Arial" w:cs="Arial" w:eastAsia="Arial" w:hAnsi="Arial"/>
                <w:sz w:val="18"/>
                <w:szCs w:val="18"/>
                <w:b w:val="1"/>
                <w:bCs w:val="1"/>
                <w:color w:val="auto"/>
                <w:vertAlign w:val="superscript"/>
              </w:rPr>
              <w:t>(4)</w:t>
            </w:r>
          </w:p>
        </w:tc>
        <w:tc>
          <w:tcPr>
            <w:tcW w:w="42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4320" w:type="dxa"/>
            <w:vAlign w:val="bottom"/>
            <w:shd w:val="clear" w:color="auto" w:fill="E9E9E9"/>
          </w:tcPr>
          <w:p>
            <w:pPr>
              <w:ind w:left="100"/>
              <w:spacing w:after="0"/>
              <w:rPr>
                <w:sz w:val="20"/>
                <w:szCs w:val="20"/>
                <w:color w:val="auto"/>
              </w:rPr>
            </w:pPr>
            <w:r>
              <w:rPr>
                <w:rFonts w:ascii="Arial" w:cs="Arial" w:eastAsia="Arial" w:hAnsi="Arial"/>
                <w:sz w:val="14"/>
                <w:szCs w:val="14"/>
                <w:b w:val="1"/>
                <w:bCs w:val="1"/>
                <w:color w:val="auto"/>
              </w:rPr>
              <w:t>Heather Ann McSharry</w:t>
            </w:r>
          </w:p>
        </w:tc>
        <w:tc>
          <w:tcPr>
            <w:tcW w:w="4200" w:type="dxa"/>
            <w:vAlign w:val="bottom"/>
            <w:shd w:val="clear" w:color="auto" w:fill="E9E9E9"/>
          </w:tcPr>
          <w:p>
            <w:pPr>
              <w:jc w:val="right"/>
              <w:ind w:right="308"/>
              <w:spacing w:after="0"/>
              <w:rPr>
                <w:sz w:val="20"/>
                <w:szCs w:val="20"/>
                <w:color w:val="auto"/>
              </w:rPr>
            </w:pPr>
            <w:r>
              <w:rPr>
                <w:rFonts w:ascii="Arial" w:cs="Arial" w:eastAsia="Arial" w:hAnsi="Arial"/>
                <w:sz w:val="14"/>
                <w:szCs w:val="14"/>
                <w:color w:val="auto"/>
              </w:rPr>
              <w:t>115,269</w:t>
            </w:r>
          </w:p>
        </w:tc>
        <w:tc>
          <w:tcPr>
            <w:tcW w:w="1720" w:type="dxa"/>
            <w:vAlign w:val="bottom"/>
            <w:shd w:val="clear" w:color="auto" w:fill="E9E9E9"/>
          </w:tcPr>
          <w:p>
            <w:pPr>
              <w:jc w:val="right"/>
              <w:ind w:right="290"/>
              <w:spacing w:after="0"/>
              <w:rPr>
                <w:sz w:val="20"/>
                <w:szCs w:val="20"/>
                <w:color w:val="auto"/>
              </w:rPr>
            </w:pPr>
            <w:r>
              <w:rPr>
                <w:rFonts w:ascii="Arial" w:cs="Arial" w:eastAsia="Arial" w:hAnsi="Arial"/>
                <w:sz w:val="14"/>
                <w:szCs w:val="14"/>
                <w:color w:val="auto"/>
              </w:rPr>
              <w:t>428,501</w:t>
            </w:r>
          </w:p>
        </w:tc>
        <w:tc>
          <w:tcPr>
            <w:tcW w:w="1000" w:type="dxa"/>
            <w:vAlign w:val="bottom"/>
            <w:shd w:val="clear" w:color="auto" w:fill="E9E9E9"/>
          </w:tcPr>
          <w:p>
            <w:pPr>
              <w:jc w:val="right"/>
              <w:ind w:right="48"/>
              <w:spacing w:after="0"/>
              <w:rPr>
                <w:sz w:val="20"/>
                <w:szCs w:val="20"/>
                <w:color w:val="auto"/>
              </w:rPr>
            </w:pPr>
            <w:r>
              <w:rPr>
                <w:rFonts w:ascii="Arial" w:cs="Arial" w:eastAsia="Arial" w:hAnsi="Arial"/>
                <w:sz w:val="14"/>
                <w:szCs w:val="14"/>
                <w:color w:val="auto"/>
              </w:rPr>
              <w:t>543,770</w:t>
            </w:r>
          </w:p>
        </w:tc>
        <w:tc>
          <w:tcPr>
            <w:tcW w:w="0" w:type="dxa"/>
            <w:vAlign w:val="bottom"/>
          </w:tcPr>
          <w:p>
            <w:pPr>
              <w:spacing w:after="0"/>
              <w:rPr>
                <w:sz w:val="1"/>
                <w:szCs w:val="1"/>
                <w:color w:val="auto"/>
              </w:rPr>
            </w:pPr>
          </w:p>
        </w:tc>
      </w:tr>
      <w:tr>
        <w:trPr>
          <w:trHeight w:val="222"/>
        </w:trPr>
        <w:tc>
          <w:tcPr>
            <w:tcW w:w="4320" w:type="dxa"/>
            <w:vAlign w:val="bottom"/>
          </w:tcPr>
          <w:p>
            <w:pPr>
              <w:ind w:left="100"/>
              <w:spacing w:after="0"/>
              <w:rPr>
                <w:sz w:val="20"/>
                <w:szCs w:val="20"/>
                <w:color w:val="auto"/>
              </w:rPr>
            </w:pPr>
            <w:r>
              <w:rPr>
                <w:rFonts w:ascii="Arial" w:cs="Arial" w:eastAsia="Arial" w:hAnsi="Arial"/>
                <w:sz w:val="14"/>
                <w:szCs w:val="14"/>
                <w:b w:val="1"/>
                <w:bCs w:val="1"/>
                <w:color w:val="auto"/>
              </w:rPr>
              <w:t>Seamus Mulligan</w:t>
            </w:r>
          </w:p>
        </w:tc>
        <w:tc>
          <w:tcPr>
            <w:tcW w:w="4200" w:type="dxa"/>
            <w:vAlign w:val="bottom"/>
          </w:tcPr>
          <w:p>
            <w:pPr>
              <w:jc w:val="right"/>
              <w:ind w:right="308"/>
              <w:spacing w:after="0"/>
              <w:rPr>
                <w:sz w:val="20"/>
                <w:szCs w:val="20"/>
                <w:color w:val="auto"/>
              </w:rPr>
            </w:pPr>
            <w:r>
              <w:rPr>
                <w:rFonts w:ascii="Arial" w:cs="Arial" w:eastAsia="Arial" w:hAnsi="Arial"/>
                <w:sz w:val="14"/>
                <w:szCs w:val="14"/>
                <w:color w:val="auto"/>
              </w:rPr>
              <w:t>102,769</w:t>
            </w:r>
          </w:p>
        </w:tc>
        <w:tc>
          <w:tcPr>
            <w:tcW w:w="1720" w:type="dxa"/>
            <w:vAlign w:val="bottom"/>
          </w:tcPr>
          <w:p>
            <w:pPr>
              <w:jc w:val="right"/>
              <w:ind w:right="290"/>
              <w:spacing w:after="0"/>
              <w:rPr>
                <w:sz w:val="20"/>
                <w:szCs w:val="20"/>
                <w:color w:val="auto"/>
              </w:rPr>
            </w:pPr>
            <w:r>
              <w:rPr>
                <w:rFonts w:ascii="Arial" w:cs="Arial" w:eastAsia="Arial" w:hAnsi="Arial"/>
                <w:sz w:val="14"/>
                <w:szCs w:val="14"/>
                <w:color w:val="auto"/>
              </w:rPr>
              <w:t>428,501</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531,270</w:t>
            </w:r>
          </w:p>
        </w:tc>
        <w:tc>
          <w:tcPr>
            <w:tcW w:w="0" w:type="dxa"/>
            <w:vAlign w:val="bottom"/>
          </w:tcPr>
          <w:p>
            <w:pPr>
              <w:spacing w:after="0"/>
              <w:rPr>
                <w:sz w:val="1"/>
                <w:szCs w:val="1"/>
                <w:color w:val="auto"/>
              </w:rPr>
            </w:pPr>
          </w:p>
        </w:tc>
      </w:tr>
      <w:tr>
        <w:trPr>
          <w:trHeight w:val="237"/>
        </w:trPr>
        <w:tc>
          <w:tcPr>
            <w:tcW w:w="4320" w:type="dxa"/>
            <w:vAlign w:val="bottom"/>
            <w:shd w:val="clear" w:color="auto" w:fill="E9E9E9"/>
          </w:tcPr>
          <w:p>
            <w:pPr>
              <w:ind w:left="100"/>
              <w:spacing w:after="0"/>
              <w:rPr>
                <w:sz w:val="20"/>
                <w:szCs w:val="20"/>
                <w:color w:val="auto"/>
              </w:rPr>
            </w:pPr>
            <w:r>
              <w:rPr>
                <w:rFonts w:ascii="Arial" w:cs="Arial" w:eastAsia="Arial" w:hAnsi="Arial"/>
                <w:sz w:val="14"/>
                <w:szCs w:val="14"/>
                <w:b w:val="1"/>
                <w:bCs w:val="1"/>
                <w:color w:val="auto"/>
              </w:rPr>
              <w:t>Kenneth W. O’Keefe</w:t>
            </w:r>
          </w:p>
        </w:tc>
        <w:tc>
          <w:tcPr>
            <w:tcW w:w="4200" w:type="dxa"/>
            <w:vAlign w:val="bottom"/>
            <w:shd w:val="clear" w:color="auto" w:fill="E9E9E9"/>
          </w:tcPr>
          <w:p>
            <w:pPr>
              <w:jc w:val="right"/>
              <w:ind w:right="308"/>
              <w:spacing w:after="0"/>
              <w:rPr>
                <w:sz w:val="20"/>
                <w:szCs w:val="20"/>
                <w:color w:val="auto"/>
              </w:rPr>
            </w:pPr>
            <w:r>
              <w:rPr>
                <w:rFonts w:ascii="Arial" w:cs="Arial" w:eastAsia="Arial" w:hAnsi="Arial"/>
                <w:sz w:val="14"/>
                <w:szCs w:val="14"/>
                <w:color w:val="auto"/>
              </w:rPr>
              <w:t>85,269</w:t>
            </w:r>
          </w:p>
        </w:tc>
        <w:tc>
          <w:tcPr>
            <w:tcW w:w="1720" w:type="dxa"/>
            <w:vAlign w:val="bottom"/>
            <w:shd w:val="clear" w:color="auto" w:fill="E9E9E9"/>
          </w:tcPr>
          <w:p>
            <w:pPr>
              <w:jc w:val="right"/>
              <w:ind w:right="290"/>
              <w:spacing w:after="0"/>
              <w:rPr>
                <w:sz w:val="20"/>
                <w:szCs w:val="20"/>
                <w:color w:val="auto"/>
              </w:rPr>
            </w:pPr>
            <w:r>
              <w:rPr>
                <w:rFonts w:ascii="Arial" w:cs="Arial" w:eastAsia="Arial" w:hAnsi="Arial"/>
                <w:sz w:val="14"/>
                <w:szCs w:val="14"/>
                <w:color w:val="auto"/>
              </w:rPr>
              <w:t>428,501</w:t>
            </w:r>
          </w:p>
        </w:tc>
        <w:tc>
          <w:tcPr>
            <w:tcW w:w="1000" w:type="dxa"/>
            <w:vAlign w:val="bottom"/>
            <w:shd w:val="clear" w:color="auto" w:fill="E9E9E9"/>
          </w:tcPr>
          <w:p>
            <w:pPr>
              <w:jc w:val="right"/>
              <w:ind w:right="48"/>
              <w:spacing w:after="0"/>
              <w:rPr>
                <w:sz w:val="20"/>
                <w:szCs w:val="20"/>
                <w:color w:val="auto"/>
              </w:rPr>
            </w:pPr>
            <w:r>
              <w:rPr>
                <w:rFonts w:ascii="Arial" w:cs="Arial" w:eastAsia="Arial" w:hAnsi="Arial"/>
                <w:sz w:val="14"/>
                <w:szCs w:val="14"/>
                <w:color w:val="auto"/>
              </w:rPr>
              <w:t>513,770</w:t>
            </w:r>
          </w:p>
        </w:tc>
        <w:tc>
          <w:tcPr>
            <w:tcW w:w="0" w:type="dxa"/>
            <w:vAlign w:val="bottom"/>
          </w:tcPr>
          <w:p>
            <w:pPr>
              <w:spacing w:after="0"/>
              <w:rPr>
                <w:sz w:val="1"/>
                <w:szCs w:val="1"/>
                <w:color w:val="auto"/>
              </w:rPr>
            </w:pPr>
          </w:p>
        </w:tc>
      </w:tr>
      <w:tr>
        <w:trPr>
          <w:trHeight w:val="222"/>
        </w:trPr>
        <w:tc>
          <w:tcPr>
            <w:tcW w:w="4320" w:type="dxa"/>
            <w:vAlign w:val="bottom"/>
          </w:tcPr>
          <w:p>
            <w:pPr>
              <w:ind w:left="100"/>
              <w:spacing w:after="0"/>
              <w:rPr>
                <w:sz w:val="20"/>
                <w:szCs w:val="20"/>
                <w:color w:val="auto"/>
              </w:rPr>
            </w:pPr>
            <w:r>
              <w:rPr>
                <w:rFonts w:ascii="Arial" w:cs="Arial" w:eastAsia="Arial" w:hAnsi="Arial"/>
                <w:sz w:val="14"/>
                <w:szCs w:val="14"/>
                <w:b w:val="1"/>
                <w:bCs w:val="1"/>
                <w:color w:val="auto"/>
              </w:rPr>
              <w:t>Anne O’Riordan</w:t>
            </w:r>
          </w:p>
        </w:tc>
        <w:tc>
          <w:tcPr>
            <w:tcW w:w="4200" w:type="dxa"/>
            <w:vAlign w:val="bottom"/>
          </w:tcPr>
          <w:p>
            <w:pPr>
              <w:jc w:val="right"/>
              <w:ind w:right="308"/>
              <w:spacing w:after="0"/>
              <w:rPr>
                <w:sz w:val="20"/>
                <w:szCs w:val="20"/>
                <w:color w:val="auto"/>
              </w:rPr>
            </w:pPr>
            <w:r>
              <w:rPr>
                <w:rFonts w:ascii="Arial" w:cs="Arial" w:eastAsia="Arial" w:hAnsi="Arial"/>
                <w:sz w:val="14"/>
                <w:szCs w:val="14"/>
                <w:color w:val="auto"/>
              </w:rPr>
              <w:t>95,269</w:t>
            </w:r>
          </w:p>
        </w:tc>
        <w:tc>
          <w:tcPr>
            <w:tcW w:w="1720" w:type="dxa"/>
            <w:vAlign w:val="bottom"/>
          </w:tcPr>
          <w:p>
            <w:pPr>
              <w:jc w:val="right"/>
              <w:ind w:right="290"/>
              <w:spacing w:after="0"/>
              <w:rPr>
                <w:sz w:val="20"/>
                <w:szCs w:val="20"/>
                <w:color w:val="auto"/>
              </w:rPr>
            </w:pPr>
            <w:r>
              <w:rPr>
                <w:rFonts w:ascii="Arial" w:cs="Arial" w:eastAsia="Arial" w:hAnsi="Arial"/>
                <w:sz w:val="14"/>
                <w:szCs w:val="14"/>
                <w:color w:val="auto"/>
              </w:rPr>
              <w:t>428,501</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523,770</w:t>
            </w:r>
          </w:p>
        </w:tc>
        <w:tc>
          <w:tcPr>
            <w:tcW w:w="0" w:type="dxa"/>
            <w:vAlign w:val="bottom"/>
          </w:tcPr>
          <w:p>
            <w:pPr>
              <w:spacing w:after="0"/>
              <w:rPr>
                <w:sz w:val="1"/>
                <w:szCs w:val="1"/>
                <w:color w:val="auto"/>
              </w:rPr>
            </w:pPr>
          </w:p>
        </w:tc>
      </w:tr>
      <w:tr>
        <w:trPr>
          <w:trHeight w:val="237"/>
        </w:trPr>
        <w:tc>
          <w:tcPr>
            <w:tcW w:w="4320" w:type="dxa"/>
            <w:vAlign w:val="bottom"/>
            <w:shd w:val="clear" w:color="auto" w:fill="E9E9E9"/>
          </w:tcPr>
          <w:p>
            <w:pPr>
              <w:ind w:left="100"/>
              <w:spacing w:after="0"/>
              <w:rPr>
                <w:sz w:val="20"/>
                <w:szCs w:val="20"/>
                <w:color w:val="auto"/>
              </w:rPr>
            </w:pPr>
            <w:r>
              <w:rPr>
                <w:rFonts w:ascii="Arial" w:cs="Arial" w:eastAsia="Arial" w:hAnsi="Arial"/>
                <w:sz w:val="14"/>
                <w:szCs w:val="14"/>
                <w:b w:val="1"/>
                <w:bCs w:val="1"/>
                <w:color w:val="auto"/>
              </w:rPr>
              <w:t>Norbert G. Riedel, Ph.D.</w:t>
            </w:r>
          </w:p>
        </w:tc>
        <w:tc>
          <w:tcPr>
            <w:tcW w:w="4200" w:type="dxa"/>
            <w:vAlign w:val="bottom"/>
            <w:shd w:val="clear" w:color="auto" w:fill="E9E9E9"/>
          </w:tcPr>
          <w:p>
            <w:pPr>
              <w:jc w:val="right"/>
              <w:ind w:right="308"/>
              <w:spacing w:after="0"/>
              <w:rPr>
                <w:sz w:val="20"/>
                <w:szCs w:val="20"/>
                <w:color w:val="auto"/>
              </w:rPr>
            </w:pPr>
            <w:r>
              <w:rPr>
                <w:rFonts w:ascii="Arial" w:cs="Arial" w:eastAsia="Arial" w:hAnsi="Arial"/>
                <w:sz w:val="14"/>
                <w:szCs w:val="14"/>
                <w:color w:val="auto"/>
              </w:rPr>
              <w:t>105,269</w:t>
            </w:r>
          </w:p>
        </w:tc>
        <w:tc>
          <w:tcPr>
            <w:tcW w:w="1720" w:type="dxa"/>
            <w:vAlign w:val="bottom"/>
            <w:shd w:val="clear" w:color="auto" w:fill="E9E9E9"/>
          </w:tcPr>
          <w:p>
            <w:pPr>
              <w:jc w:val="right"/>
              <w:ind w:right="290"/>
              <w:spacing w:after="0"/>
              <w:rPr>
                <w:sz w:val="20"/>
                <w:szCs w:val="20"/>
                <w:color w:val="auto"/>
              </w:rPr>
            </w:pPr>
            <w:r>
              <w:rPr>
                <w:rFonts w:ascii="Arial" w:cs="Arial" w:eastAsia="Arial" w:hAnsi="Arial"/>
                <w:sz w:val="14"/>
                <w:szCs w:val="14"/>
                <w:color w:val="auto"/>
              </w:rPr>
              <w:t>428,501</w:t>
            </w:r>
          </w:p>
        </w:tc>
        <w:tc>
          <w:tcPr>
            <w:tcW w:w="1000" w:type="dxa"/>
            <w:vAlign w:val="bottom"/>
            <w:shd w:val="clear" w:color="auto" w:fill="E9E9E9"/>
          </w:tcPr>
          <w:p>
            <w:pPr>
              <w:jc w:val="right"/>
              <w:ind w:right="48"/>
              <w:spacing w:after="0"/>
              <w:rPr>
                <w:sz w:val="20"/>
                <w:szCs w:val="20"/>
                <w:color w:val="auto"/>
              </w:rPr>
            </w:pPr>
            <w:r>
              <w:rPr>
                <w:rFonts w:ascii="Arial" w:cs="Arial" w:eastAsia="Arial" w:hAnsi="Arial"/>
                <w:sz w:val="14"/>
                <w:szCs w:val="14"/>
                <w:color w:val="auto"/>
              </w:rPr>
              <w:t>533,770</w:t>
            </w:r>
          </w:p>
        </w:tc>
        <w:tc>
          <w:tcPr>
            <w:tcW w:w="0" w:type="dxa"/>
            <w:vAlign w:val="bottom"/>
          </w:tcPr>
          <w:p>
            <w:pPr>
              <w:spacing w:after="0"/>
              <w:rPr>
                <w:sz w:val="1"/>
                <w:szCs w:val="1"/>
                <w:color w:val="auto"/>
              </w:rPr>
            </w:pPr>
          </w:p>
        </w:tc>
      </w:tr>
      <w:tr>
        <w:trPr>
          <w:trHeight w:val="222"/>
        </w:trPr>
        <w:tc>
          <w:tcPr>
            <w:tcW w:w="4320" w:type="dxa"/>
            <w:vAlign w:val="bottom"/>
          </w:tcPr>
          <w:p>
            <w:pPr>
              <w:ind w:left="100"/>
              <w:spacing w:after="0"/>
              <w:rPr>
                <w:sz w:val="20"/>
                <w:szCs w:val="20"/>
                <w:color w:val="auto"/>
              </w:rPr>
            </w:pPr>
            <w:r>
              <w:rPr>
                <w:rFonts w:ascii="Arial" w:cs="Arial" w:eastAsia="Arial" w:hAnsi="Arial"/>
                <w:sz w:val="14"/>
                <w:szCs w:val="14"/>
                <w:b w:val="1"/>
                <w:bCs w:val="1"/>
                <w:color w:val="auto"/>
              </w:rPr>
              <w:t>Mark D. Smith, M.D.</w:t>
            </w:r>
          </w:p>
        </w:tc>
        <w:tc>
          <w:tcPr>
            <w:tcW w:w="4200" w:type="dxa"/>
            <w:vAlign w:val="bottom"/>
          </w:tcPr>
          <w:p>
            <w:pPr>
              <w:jc w:val="right"/>
              <w:ind w:right="308"/>
              <w:spacing w:after="0"/>
              <w:rPr>
                <w:sz w:val="20"/>
                <w:szCs w:val="20"/>
                <w:color w:val="auto"/>
              </w:rPr>
            </w:pPr>
            <w:r>
              <w:rPr>
                <w:rFonts w:ascii="Arial" w:cs="Arial" w:eastAsia="Arial" w:hAnsi="Arial"/>
                <w:sz w:val="14"/>
                <w:szCs w:val="14"/>
                <w:color w:val="auto"/>
              </w:rPr>
              <w:t>92,769</w:t>
            </w:r>
          </w:p>
        </w:tc>
        <w:tc>
          <w:tcPr>
            <w:tcW w:w="1720" w:type="dxa"/>
            <w:vAlign w:val="bottom"/>
          </w:tcPr>
          <w:p>
            <w:pPr>
              <w:jc w:val="right"/>
              <w:ind w:right="290"/>
              <w:spacing w:after="0"/>
              <w:rPr>
                <w:sz w:val="20"/>
                <w:szCs w:val="20"/>
                <w:color w:val="auto"/>
              </w:rPr>
            </w:pPr>
            <w:r>
              <w:rPr>
                <w:rFonts w:ascii="Arial" w:cs="Arial" w:eastAsia="Arial" w:hAnsi="Arial"/>
                <w:sz w:val="14"/>
                <w:szCs w:val="14"/>
                <w:color w:val="auto"/>
              </w:rPr>
              <w:t>428,501</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521,270</w:t>
            </w:r>
          </w:p>
        </w:tc>
        <w:tc>
          <w:tcPr>
            <w:tcW w:w="0" w:type="dxa"/>
            <w:vAlign w:val="bottom"/>
          </w:tcPr>
          <w:p>
            <w:pPr>
              <w:spacing w:after="0"/>
              <w:rPr>
                <w:sz w:val="1"/>
                <w:szCs w:val="1"/>
                <w:color w:val="auto"/>
              </w:rPr>
            </w:pPr>
          </w:p>
        </w:tc>
      </w:tr>
      <w:tr>
        <w:trPr>
          <w:trHeight w:val="237"/>
        </w:trPr>
        <w:tc>
          <w:tcPr>
            <w:tcW w:w="4320" w:type="dxa"/>
            <w:vAlign w:val="bottom"/>
            <w:shd w:val="clear" w:color="auto" w:fill="E9E9E9"/>
          </w:tcPr>
          <w:p>
            <w:pPr>
              <w:ind w:left="100"/>
              <w:spacing w:after="0"/>
              <w:rPr>
                <w:sz w:val="20"/>
                <w:szCs w:val="20"/>
                <w:color w:val="auto"/>
              </w:rPr>
            </w:pPr>
            <w:r>
              <w:rPr>
                <w:rFonts w:ascii="Arial" w:cs="Arial" w:eastAsia="Arial" w:hAnsi="Arial"/>
                <w:sz w:val="14"/>
                <w:szCs w:val="14"/>
                <w:b w:val="1"/>
                <w:bCs w:val="1"/>
                <w:color w:val="auto"/>
              </w:rPr>
              <w:t>Catherine A. Sohn, Pharm.D.</w:t>
            </w:r>
          </w:p>
        </w:tc>
        <w:tc>
          <w:tcPr>
            <w:tcW w:w="4200" w:type="dxa"/>
            <w:vAlign w:val="bottom"/>
            <w:shd w:val="clear" w:color="auto" w:fill="E9E9E9"/>
          </w:tcPr>
          <w:p>
            <w:pPr>
              <w:jc w:val="right"/>
              <w:ind w:right="308"/>
              <w:spacing w:after="0"/>
              <w:rPr>
                <w:sz w:val="20"/>
                <w:szCs w:val="20"/>
                <w:color w:val="auto"/>
              </w:rPr>
            </w:pPr>
            <w:r>
              <w:rPr>
                <w:rFonts w:ascii="Arial" w:cs="Arial" w:eastAsia="Arial" w:hAnsi="Arial"/>
                <w:sz w:val="14"/>
                <w:szCs w:val="14"/>
                <w:color w:val="auto"/>
              </w:rPr>
              <w:t>95,269</w:t>
            </w:r>
          </w:p>
        </w:tc>
        <w:tc>
          <w:tcPr>
            <w:tcW w:w="1720" w:type="dxa"/>
            <w:vAlign w:val="bottom"/>
            <w:shd w:val="clear" w:color="auto" w:fill="E9E9E9"/>
          </w:tcPr>
          <w:p>
            <w:pPr>
              <w:jc w:val="right"/>
              <w:ind w:right="290"/>
              <w:spacing w:after="0"/>
              <w:rPr>
                <w:sz w:val="20"/>
                <w:szCs w:val="20"/>
                <w:color w:val="auto"/>
              </w:rPr>
            </w:pPr>
            <w:r>
              <w:rPr>
                <w:rFonts w:ascii="Arial" w:cs="Arial" w:eastAsia="Arial" w:hAnsi="Arial"/>
                <w:sz w:val="14"/>
                <w:szCs w:val="14"/>
                <w:color w:val="auto"/>
              </w:rPr>
              <w:t>428,501</w:t>
            </w:r>
          </w:p>
        </w:tc>
        <w:tc>
          <w:tcPr>
            <w:tcW w:w="1000" w:type="dxa"/>
            <w:vAlign w:val="bottom"/>
            <w:shd w:val="clear" w:color="auto" w:fill="E9E9E9"/>
          </w:tcPr>
          <w:p>
            <w:pPr>
              <w:jc w:val="right"/>
              <w:ind w:right="48"/>
              <w:spacing w:after="0"/>
              <w:rPr>
                <w:sz w:val="20"/>
                <w:szCs w:val="20"/>
                <w:color w:val="auto"/>
              </w:rPr>
            </w:pPr>
            <w:r>
              <w:rPr>
                <w:rFonts w:ascii="Arial" w:cs="Arial" w:eastAsia="Arial" w:hAnsi="Arial"/>
                <w:sz w:val="14"/>
                <w:szCs w:val="14"/>
                <w:color w:val="auto"/>
              </w:rPr>
              <w:t>523,770</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852166"/>
            </w:tcBorders>
          </w:tcPr>
          <w:p>
            <w:pPr>
              <w:ind w:left="100"/>
              <w:spacing w:after="0"/>
              <w:rPr>
                <w:sz w:val="20"/>
                <w:szCs w:val="20"/>
                <w:color w:val="auto"/>
              </w:rPr>
            </w:pPr>
            <w:r>
              <w:rPr>
                <w:rFonts w:ascii="Arial" w:cs="Arial" w:eastAsia="Arial" w:hAnsi="Arial"/>
                <w:sz w:val="14"/>
                <w:szCs w:val="14"/>
                <w:b w:val="1"/>
                <w:bCs w:val="1"/>
                <w:color w:val="auto"/>
              </w:rPr>
              <w:t>Rick E Winningham</w:t>
            </w:r>
          </w:p>
        </w:tc>
        <w:tc>
          <w:tcPr>
            <w:tcW w:w="4200" w:type="dxa"/>
            <w:vAlign w:val="bottom"/>
            <w:tcBorders>
              <w:bottom w:val="single" w:sz="8" w:color="852166"/>
            </w:tcBorders>
          </w:tcPr>
          <w:p>
            <w:pPr>
              <w:jc w:val="right"/>
              <w:ind w:right="308"/>
              <w:spacing w:after="0"/>
              <w:rPr>
                <w:sz w:val="20"/>
                <w:szCs w:val="20"/>
                <w:color w:val="auto"/>
              </w:rPr>
            </w:pPr>
            <w:r>
              <w:rPr>
                <w:rFonts w:ascii="Arial" w:cs="Arial" w:eastAsia="Arial" w:hAnsi="Arial"/>
                <w:sz w:val="14"/>
                <w:szCs w:val="14"/>
                <w:color w:val="auto"/>
              </w:rPr>
              <w:t>142,769</w:t>
            </w:r>
          </w:p>
        </w:tc>
        <w:tc>
          <w:tcPr>
            <w:tcW w:w="1720" w:type="dxa"/>
            <w:vAlign w:val="bottom"/>
            <w:tcBorders>
              <w:bottom w:val="single" w:sz="8" w:color="852166"/>
            </w:tcBorders>
          </w:tcPr>
          <w:p>
            <w:pPr>
              <w:jc w:val="right"/>
              <w:ind w:right="290"/>
              <w:spacing w:after="0"/>
              <w:rPr>
                <w:sz w:val="20"/>
                <w:szCs w:val="20"/>
                <w:color w:val="auto"/>
              </w:rPr>
            </w:pPr>
            <w:r>
              <w:rPr>
                <w:rFonts w:ascii="Arial" w:cs="Arial" w:eastAsia="Arial" w:hAnsi="Arial"/>
                <w:sz w:val="14"/>
                <w:szCs w:val="14"/>
                <w:color w:val="auto"/>
              </w:rPr>
              <w:t>428,501</w:t>
            </w:r>
          </w:p>
        </w:tc>
        <w:tc>
          <w:tcPr>
            <w:tcW w:w="1000" w:type="dxa"/>
            <w:vAlign w:val="bottom"/>
            <w:tcBorders>
              <w:bottom w:val="single" w:sz="8" w:color="852166"/>
            </w:tcBorders>
          </w:tcPr>
          <w:p>
            <w:pPr>
              <w:jc w:val="right"/>
              <w:ind w:right="48"/>
              <w:spacing w:after="0"/>
              <w:rPr>
                <w:sz w:val="20"/>
                <w:szCs w:val="20"/>
                <w:color w:val="auto"/>
              </w:rPr>
            </w:pPr>
            <w:r>
              <w:rPr>
                <w:rFonts w:ascii="Arial" w:cs="Arial" w:eastAsia="Arial" w:hAnsi="Arial"/>
                <w:sz w:val="14"/>
                <w:szCs w:val="14"/>
                <w:color w:val="auto"/>
              </w:rPr>
              <w:t>571,270</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Amounts may not total due to rounding.</w:t>
      </w:r>
    </w:p>
    <w:p>
      <w:pPr>
        <w:spacing w:after="0" w:line="80" w:lineRule="exact"/>
        <w:rPr>
          <w:sz w:val="20"/>
          <w:szCs w:val="20"/>
          <w:color w:val="auto"/>
        </w:rPr>
      </w:pPr>
    </w:p>
    <w:p>
      <w:pPr>
        <w:ind w:left="340" w:right="80" w:hanging="332"/>
        <w:spacing w:after="0" w:line="287" w:lineRule="auto"/>
        <w:tabs>
          <w:tab w:leader="none" w:pos="327"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dollar amounts in this column represent each non-employee director’s actual cash compensation earned for board services in 2023, which is equal to the aggregate of $71,250 per year for service as a member of the board plus supplemental amounts for his or her service on one or more board committees, and for Mr. Winningham, for service as Lead Independent Director. Each non-employee director’s cash compensation was earned and payable in four quarterly installments, as further described above. Fees paid to each of Ms. McSharry, Ms. O’Riordan and Messrs. Gray and Mulligan were paid in Euro. The conversion to U.S. dollars was calculated based on the average exchange rate for each quarter as reported by the OANDA Corporation.</w:t>
      </w:r>
    </w:p>
    <w:p>
      <w:pPr>
        <w:spacing w:after="0" w:line="22" w:lineRule="exact"/>
        <w:rPr>
          <w:rFonts w:ascii="Arial" w:cs="Arial" w:eastAsia="Arial" w:hAnsi="Arial"/>
          <w:sz w:val="14"/>
          <w:szCs w:val="14"/>
          <w:color w:val="auto"/>
        </w:rPr>
      </w:pPr>
    </w:p>
    <w:p>
      <w:pPr>
        <w:ind w:left="340" w:right="20" w:hanging="332"/>
        <w:spacing w:after="0" w:line="303" w:lineRule="auto"/>
        <w:tabs>
          <w:tab w:leader="none" w:pos="327"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dollar amounts in this column reflect the aggregate grant date fair value of RSU awards computed in accordance with FASB ASC 718. The grant date fair value of each RSU award is measured based on the closing price of our ordinary shares on the date of grant. These amounts do not necessarily correspond to the actual value recognized or that may be recognized by the non-employee directors.</w:t>
      </w:r>
    </w:p>
    <w:p>
      <w:pPr>
        <w:spacing w:after="0" w:line="11" w:lineRule="exact"/>
        <w:rPr>
          <w:rFonts w:ascii="Arial" w:cs="Arial" w:eastAsia="Arial" w:hAnsi="Arial"/>
          <w:sz w:val="14"/>
          <w:szCs w:val="14"/>
          <w:color w:val="auto"/>
        </w:rPr>
      </w:pPr>
    </w:p>
    <w:p>
      <w:pPr>
        <w:ind w:left="340" w:right="240" w:hanging="332"/>
        <w:spacing w:after="0" w:line="287" w:lineRule="auto"/>
        <w:tabs>
          <w:tab w:leader="none" w:pos="327"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aggregate number of shares subject to outstanding stock options and RSU awards held by the non-employee directors listed in the table above as of December 31, 2023 was as follows: 15,305 shares subject to outstanding stock options and 3,075 shares subject to outstanding RSUs for Mr. Enright; 28,850 shares subject to outstanding stock options and 3,075 shares subject to outstanding RSUs for each of Mr. Gray, Ms. McSharry, Mr. Mulligan, Mr. O'Keefe, Dr. Riedel, Dr. Sohn and Mr. Winningham; 6,475 shares subject to outstanding stock options and 3,075 shares subject to outstanding RSUs for each of Ms. Cook and Mr. Smith; and 18,670 shares subject to outstanding stock options and 3,075 shares subject to outstanding RSUs for Ms. O'Riordan.</w:t>
      </w:r>
    </w:p>
    <w:p>
      <w:pPr>
        <w:spacing w:after="0" w:line="22" w:lineRule="exact"/>
        <w:rPr>
          <w:rFonts w:ascii="Arial" w:cs="Arial" w:eastAsia="Arial" w:hAnsi="Arial"/>
          <w:sz w:val="14"/>
          <w:szCs w:val="14"/>
          <w:color w:val="auto"/>
        </w:rPr>
      </w:pPr>
    </w:p>
    <w:p>
      <w:pPr>
        <w:ind w:left="320" w:hanging="312"/>
        <w:spacing w:after="0"/>
        <w:tabs>
          <w:tab w:leader="none" w:pos="3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Mr. Kennedy was elected to our board effective March 1, 2024.</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407"/>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93" w:name="page94"/>
    <w:bookmarkEnd w:id="93"/>
    <w:p>
      <w:pPr>
        <w:ind w:left="460"/>
        <w:spacing w:after="0"/>
        <w:rPr>
          <w:sz w:val="20"/>
          <w:szCs w:val="20"/>
          <w:color w:val="auto"/>
        </w:rPr>
      </w:pPr>
      <w:r>
        <w:rPr>
          <w:rFonts w:ascii="Arial" w:cs="Arial" w:eastAsia="Arial" w:hAnsi="Arial"/>
          <w:sz w:val="32"/>
          <w:szCs w:val="32"/>
          <w:b w:val="1"/>
          <w:bCs w:val="1"/>
          <w:color w:val="852166"/>
        </w:rPr>
        <w:t>CERTAIN RELATIONSHIPS AND RELATED PARTY TRANSACTIONS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Policy and Procedures for Review of Related Party Transactions</w:t>
      </w:r>
    </w:p>
    <w:p>
      <w:pPr>
        <w:spacing w:after="0" w:line="131"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auto"/>
        </w:rPr>
        <w:t>We have adopted a Related Party Transaction Policy that sets forth our procedures for the identification, review, consideration and approval or ratification of “related-person transactions.” For purposes of our policy, a “related-person transaction” is a transaction, arrangement or relationship (or any series of similar transactions, arrangements or relationships) in which we are, were or will be a participant, and the amount involved exceeds $120,000, and any “related person” had, has or will have a direct or indirect material interest, other than certain transactions that would not be required to be disclosed pursuant to Item 404(a) of Regulation S-K. A “related person” is any executive officer, director, director nominee or beneficial owner of more than 5% of any class of our voting securities, including any of their immediate family members and any entity owned or controlled by such persons.</w:t>
      </w:r>
    </w:p>
    <w:p>
      <w:pPr>
        <w:spacing w:after="0" w:line="7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Under the policy, if a transaction has been identified as a related-person transaction (including any transaction that was not a related-person transaction when originally consummated or any transaction that was not initially identified as a related-person transaction prior to consummation), our management team must present information regarding the related-person transaction to our audit committee (or, if audit committee approval would be inappropriate, to another independent body of our board) for review, consideration and approval or ratification. The presentation must include a description of, among other things, the material facts of the transaction, including the business purpose of the transaction, the parties thereto, the interests, direct and indirect, of the related person(s), the benefits to us of the transaction and whether the transaction is on terms that are comparable to the terms available to or from, as the case may be, an unrelated third party or to or from employees generally, and management’s recommendation with respect to the transaction. Under the policy, we will, on an annual basis, collect information that our Chief Legal Officer, or CLO, deems reasonably necessary from each director, executive officer and (to the extent feasible) significant shareholder to enable us to identify any existing or potential related-person transactions and to effectuate the terms of the policy. In addition, under our code of conduct, our employees and directors have an affirmative responsibility to disclose any transaction or relationship that reasonably could be expected to give rise to a conflict of interest to our CLO, or, if the employee is an executive officer, to our board. In considering related-person transactions, our audit committee (or other independent body of our board) will take into account the relevant available facts and circumstances including, but not limited to, the risks, costs and benefits to us, the terms of the transaction, the business rationale for engaging in the transaction, the availability of other sources for comparable services or products, if applicable, the impact on a director or director nominee’s independence in the event that the related person is a director or director nominee, immediate family member of a director or director nominee or an entity with which a director or director nominee is affiliated, and whether the transaction would present an improper conflict of interest for any director, director nominee or executive officer, taking into account the size of the transaction, the overall financial position of the director, director nominee, executive officer or related person, the direct or indirect nature of the director’s, director nominee’s, executive officer’s or related person’s interest in the transaction and the ongoing nature of any proposed relationship, and any other factors our audit committee (or other independent body of our board) deems relevant.</w:t>
      </w:r>
    </w:p>
    <w:p>
      <w:pPr>
        <w:spacing w:after="0" w:line="89"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The policy requires that, in determining whether to approve, ratify or reject a related-person transaction, our audit committee (or other independent body of our board ) must consider, in light of known circumstances, whether the transaction is in, or is not inconsistent with, our best interests and those of our shareholders, as our audit committee (or other independent body of our board) determines in the good faith exercise of its discretion. The policy also requires that directors interested in a related-person transaction recuse themselves from any discussion or vote on a related-person transaction in which they have an interest.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Transactions with Related Persons; Indemnification</w:t>
      </w:r>
    </w:p>
    <w:p>
      <w:pPr>
        <w:spacing w:after="0" w:line="144"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i w:val="1"/>
          <w:iCs w:val="1"/>
          <w:color w:val="auto"/>
        </w:rPr>
        <w:t xml:space="preserve">Transactions with Related Persons. </w:t>
      </w:r>
      <w:r>
        <w:rPr>
          <w:rFonts w:ascii="Arial" w:cs="Arial" w:eastAsia="Arial" w:hAnsi="Arial"/>
          <w:sz w:val="16"/>
          <w:szCs w:val="16"/>
          <w:color w:val="auto"/>
        </w:rPr>
        <w:t>A family member of Class I director nominee Laura J. Hamill is employed by our company. The employee is not one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executive officers. The compensation of this employee was determined in accordance with our company’s compensation policies applicable to other employees of similar title and responsibility, and this employee is also eligible to participate in our company benefit plans that are available to other employees in similar positions and locations. The total compensation of this employee, comprising both cash and equity compensation, was approximately $400,000 for fiscal year 2023.</w:t>
      </w:r>
    </w:p>
    <w:p>
      <w:pPr>
        <w:spacing w:after="0" w:line="7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Except as described in the paragraph above and under “</w:t>
      </w:r>
      <w:r>
        <w:rPr>
          <w:rFonts w:ascii="Arial" w:cs="Arial" w:eastAsia="Arial" w:hAnsi="Arial"/>
          <w:sz w:val="16"/>
          <w:szCs w:val="16"/>
          <w:i w:val="1"/>
          <w:iCs w:val="1"/>
          <w:color w:val="auto"/>
        </w:rPr>
        <w:t>Executive Compensation</w:t>
      </w:r>
      <w:r>
        <w:rPr>
          <w:rFonts w:ascii="Arial" w:cs="Arial" w:eastAsia="Arial" w:hAnsi="Arial"/>
          <w:sz w:val="16"/>
          <w:szCs w:val="16"/>
          <w:color w:val="auto"/>
        </w:rPr>
        <w:t>” and “</w:t>
      </w:r>
      <w:r>
        <w:rPr>
          <w:rFonts w:ascii="Arial" w:cs="Arial" w:eastAsia="Arial" w:hAnsi="Arial"/>
          <w:sz w:val="16"/>
          <w:szCs w:val="16"/>
          <w:i w:val="1"/>
          <w:iCs w:val="1"/>
          <w:color w:val="auto"/>
        </w:rPr>
        <w:t>Director Compensation</w:t>
      </w:r>
      <w:r>
        <w:rPr>
          <w:rFonts w:ascii="Arial" w:cs="Arial" w:eastAsia="Arial" w:hAnsi="Arial"/>
          <w:sz w:val="16"/>
          <w:szCs w:val="16"/>
          <w:color w:val="auto"/>
        </w:rPr>
        <w:t>” above, since January 1, 2023, we have not engaged in any transactions, nor are any such transactions currently proposed, in which we were a participant and the amount involved exceeded $120,000, and in which any related person had or will have a direct or indirect material interest.</w:t>
      </w:r>
    </w:p>
    <w:p>
      <w:pPr>
        <w:spacing w:after="0" w:line="200" w:lineRule="exact"/>
        <w:rPr>
          <w:sz w:val="20"/>
          <w:szCs w:val="20"/>
          <w:color w:val="auto"/>
        </w:rPr>
      </w:pPr>
    </w:p>
    <w:p>
      <w:pPr>
        <w:spacing w:after="0" w:line="36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90</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1" w:right="379" w:bottom="1440" w:gutter="0" w:footer="0" w:header="0"/>
        </w:sectPr>
      </w:pPr>
    </w:p>
    <w:bookmarkStart w:id="94" w:name="page95"/>
    <w:bookmarkEnd w:id="94"/>
    <w:p>
      <w:pPr>
        <w:ind w:right="80"/>
        <w:spacing w:after="0" w:line="300" w:lineRule="auto"/>
        <w:rPr>
          <w:sz w:val="20"/>
          <w:szCs w:val="20"/>
          <w:color w:val="auto"/>
        </w:rPr>
      </w:pPr>
      <w:r>
        <w:rPr>
          <w:rFonts w:ascii="Arial" w:cs="Arial" w:eastAsia="Arial" w:hAnsi="Arial"/>
          <w:sz w:val="16"/>
          <w:szCs w:val="16"/>
          <w:i w:val="1"/>
          <w:iCs w:val="1"/>
          <w:color w:val="auto"/>
        </w:rPr>
        <w:t xml:space="preserve">Indemnification Agreements. </w:t>
      </w:r>
      <w:r>
        <w:rPr>
          <w:rFonts w:ascii="Arial" w:cs="Arial" w:eastAsia="Arial" w:hAnsi="Arial"/>
          <w:sz w:val="16"/>
          <w:szCs w:val="16"/>
          <w:color w:val="auto"/>
        </w:rPr>
        <w:t>We have entered into indemnification agreements with our directors, executive officers and certain other of our officers and</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These indemnification agreements require us, under the circumstances and to the extent provided for therein, to indemnify such persons to the fullest extent permitted by applicable law against certain expenses and other amounts incurred by any such person as a result of such person being made a party to certain actions, suits, proceedings and other actions by reason of the fact that such person is or was a director, officer, employee, consultant, agent or fiduciary of us or any of our subsidiaries or other affiliated enterprises. The rights of each person who is a party to an indemnification agreement are in addition to any other rights such person may have under our constitution, the 2014 Act, any other agreement, a vote of our shareholders, a resolution of our directors or otherwise. We believe that these agreements are necessary to attract and retain qualified persons as our officers and directors. We also maintain directors’ and officers’ liability insurance.</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39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95" w:name="page96"/>
    <w:bookmarkEnd w:id="95"/>
    <w:p>
      <w:pPr>
        <w:spacing w:after="0"/>
        <w:rPr>
          <w:sz w:val="20"/>
          <w:szCs w:val="20"/>
          <w:color w:val="auto"/>
        </w:rPr>
      </w:pPr>
      <w:r>
        <w:rPr>
          <w:rFonts w:ascii="Arial" w:cs="Arial" w:eastAsia="Arial" w:hAnsi="Arial"/>
          <w:sz w:val="32"/>
          <w:szCs w:val="32"/>
          <w:b w:val="1"/>
          <w:bCs w:val="1"/>
          <w:color w:val="852166"/>
        </w:rPr>
        <w:t>PROPOSAL 2</w:t>
      </w:r>
    </w:p>
    <w:p>
      <w:pPr>
        <w:spacing w:after="0" w:line="186" w:lineRule="exact"/>
        <w:rPr>
          <w:sz w:val="20"/>
          <w:szCs w:val="20"/>
          <w:color w:val="auto"/>
        </w:rPr>
      </w:pPr>
    </w:p>
    <w:p>
      <w:pPr>
        <w:ind w:right="180"/>
        <w:spacing w:after="0" w:line="266" w:lineRule="auto"/>
        <w:rPr>
          <w:sz w:val="20"/>
          <w:szCs w:val="20"/>
          <w:color w:val="auto"/>
        </w:rPr>
      </w:pPr>
      <w:r>
        <w:rPr>
          <w:rFonts w:ascii="Arial" w:cs="Arial" w:eastAsia="Arial" w:hAnsi="Arial"/>
          <w:sz w:val="32"/>
          <w:szCs w:val="32"/>
          <w:b w:val="1"/>
          <w:bCs w:val="1"/>
          <w:color w:val="852166"/>
        </w:rPr>
        <w:t>RATIFY, ON A NON-BINDING ADVISORY BASIS, THE APPOINTMENT OF KPMG AS THE INDEPENDENT AUDITORS FOR THE FINANCIAL YEAR ENDING DECEMBER 31, 2024 AND AUTHORIZE, IN A BINDING VOTE, OUR BOARD OF DIRECTORS, ACTING THROUGH OUR AUDIT COMMITTEE, TO DETERMINE KPMG’S REMUNERATION</w:t>
      </w:r>
    </w:p>
    <w:p>
      <w:pPr>
        <w:spacing w:after="0" w:line="96" w:lineRule="exact"/>
        <w:rPr>
          <w:sz w:val="20"/>
          <w:szCs w:val="20"/>
          <w:color w:val="auto"/>
        </w:rPr>
      </w:pPr>
    </w:p>
    <w:p>
      <w:pPr>
        <w:ind w:right="80"/>
        <w:spacing w:after="0" w:line="300" w:lineRule="auto"/>
        <w:rPr>
          <w:sz w:val="20"/>
          <w:szCs w:val="20"/>
          <w:color w:val="auto"/>
        </w:rPr>
      </w:pPr>
      <w:r>
        <w:rPr>
          <w:rFonts w:ascii="Arial" w:cs="Arial" w:eastAsia="Arial" w:hAnsi="Arial"/>
          <w:sz w:val="16"/>
          <w:szCs w:val="16"/>
          <w:color w:val="auto"/>
        </w:rPr>
        <w:t>Pursuant to authority delegated by our board, our audit committee of our board is responsible for the appointment, remuneration and retention of our independent auditors. Our audit committee has selected and appointed KPMG, a registered public accounting firm, as our independent auditors to audit our consolidated financial statements for the year ending December 31, 2024. Under Irish law, KPMG will be deemed to be reappointed as our independent auditors at the annual meeting without the necessity of a shareholder vote. However, our shareholders are being asked in this proposal to ratify such appointment on a non-binding advisory basis because we value our shareholders’ views on our independent auditors. Our board and our audit committee intend to consider the results of this vote in making determinations in the future regarding the appointment of our independent auditors. In addition, our shareholders are being asked to authorize our board, acting through our audit committee, to determine KPMG’s remuneration. This authorization is required by Irish law.</w:t>
      </w:r>
    </w:p>
    <w:p>
      <w:pPr>
        <w:spacing w:after="0" w:line="77" w:lineRule="exact"/>
        <w:rPr>
          <w:sz w:val="20"/>
          <w:szCs w:val="20"/>
          <w:color w:val="auto"/>
        </w:rPr>
      </w:pPr>
    </w:p>
    <w:p>
      <w:pPr>
        <w:ind w:right="80"/>
        <w:spacing w:after="0" w:line="319" w:lineRule="auto"/>
        <w:rPr>
          <w:sz w:val="20"/>
          <w:szCs w:val="20"/>
          <w:color w:val="auto"/>
        </w:rPr>
      </w:pPr>
      <w:r>
        <w:rPr>
          <w:rFonts w:ascii="Arial" w:cs="Arial" w:eastAsia="Arial" w:hAnsi="Arial"/>
          <w:sz w:val="16"/>
          <w:szCs w:val="16"/>
          <w:color w:val="auto"/>
        </w:rPr>
        <w:t>KPMG has been engaged to audit our financial statements, beginning with our consolidated financial statements for the fiscal year ended December 31, 2012, since the consummation of the Azur Merger. Representatives of KPMG are expected to attend the annual meeting, will have an opportunity to make a statement if they so desire, and will be available to respond to appropriate questions.</w:t>
      </w:r>
    </w:p>
    <w:p>
      <w:pPr>
        <w:spacing w:after="0" w:line="49" w:lineRule="exact"/>
        <w:rPr>
          <w:sz w:val="20"/>
          <w:szCs w:val="20"/>
          <w:color w:val="auto"/>
        </w:rPr>
      </w:pPr>
    </w:p>
    <w:p>
      <w:pPr>
        <w:ind w:right="700"/>
        <w:spacing w:after="0" w:line="339" w:lineRule="auto"/>
        <w:rPr>
          <w:sz w:val="20"/>
          <w:szCs w:val="20"/>
          <w:color w:val="auto"/>
        </w:rPr>
      </w:pPr>
      <w:r>
        <w:rPr>
          <w:rFonts w:ascii="Arial" w:cs="Arial" w:eastAsia="Arial" w:hAnsi="Arial"/>
          <w:sz w:val="16"/>
          <w:szCs w:val="16"/>
          <w:color w:val="auto"/>
        </w:rPr>
        <w:t>Proposal 2 is an ordinary resolution and must receive the affirmative vote of a majority of the votes cast in person or by proxy at the annual meeting (including any adjournment thereof) in order to be approved.</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Independent Registered Public Accounting Firm Fees and Services</w:t>
      </w:r>
    </w:p>
    <w:p>
      <w:pPr>
        <w:spacing w:after="0" w:line="144"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In connection with the audit of our 2023 financial statements, we entered into an engagement agreement with KPMG, Dublin, or KPMG, which sets forth the terms under which KPMG performed audit and tax services for us.</w:t>
      </w:r>
    </w:p>
    <w:p>
      <w:pPr>
        <w:spacing w:after="0" w:line="61" w:lineRule="exact"/>
        <w:rPr>
          <w:sz w:val="20"/>
          <w:szCs w:val="20"/>
          <w:color w:val="auto"/>
        </w:rPr>
      </w:pPr>
    </w:p>
    <w:p>
      <w:pPr>
        <w:ind w:right="260"/>
        <w:spacing w:after="0" w:line="339" w:lineRule="auto"/>
        <w:rPr>
          <w:sz w:val="20"/>
          <w:szCs w:val="20"/>
          <w:color w:val="auto"/>
        </w:rPr>
      </w:pPr>
      <w:r>
        <w:rPr>
          <w:rFonts w:ascii="Arial" w:cs="Arial" w:eastAsia="Arial" w:hAnsi="Arial"/>
          <w:sz w:val="16"/>
          <w:szCs w:val="16"/>
          <w:color w:val="auto"/>
        </w:rPr>
        <w:t>The following table represents aggregate fees billed to us for the years ended December 31, 2023 and 2022 by KPMG, our independent registered public accounting firm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shd w:val="clear" w:color="auto" w:fill="852166"/>
          </w:tcPr>
          <w:p>
            <w:pPr>
              <w:spacing w:after="0"/>
              <w:rPr>
                <w:sz w:val="18"/>
                <w:szCs w:val="18"/>
                <w:color w:val="auto"/>
              </w:rPr>
            </w:pPr>
          </w:p>
        </w:tc>
        <w:tc>
          <w:tcPr>
            <w:tcW w:w="280" w:type="dxa"/>
            <w:vAlign w:val="bottom"/>
            <w:shd w:val="clear" w:color="auto" w:fill="852166"/>
          </w:tcPr>
          <w:p>
            <w:pPr>
              <w:spacing w:after="0"/>
              <w:rPr>
                <w:sz w:val="18"/>
                <w:szCs w:val="18"/>
                <w:color w:val="auto"/>
              </w:rPr>
            </w:pPr>
          </w:p>
        </w:tc>
        <w:tc>
          <w:tcPr>
            <w:tcW w:w="1960" w:type="dxa"/>
            <w:vAlign w:val="bottom"/>
            <w:gridSpan w:val="2"/>
            <w:shd w:val="clear" w:color="auto" w:fill="852166"/>
          </w:tcPr>
          <w:p>
            <w:pPr>
              <w:jc w:val="right"/>
              <w:spacing w:after="0"/>
              <w:rPr>
                <w:sz w:val="20"/>
                <w:szCs w:val="20"/>
                <w:color w:val="auto"/>
              </w:rPr>
            </w:pPr>
            <w:r>
              <w:rPr>
                <w:rFonts w:ascii="Arial" w:cs="Arial" w:eastAsia="Arial" w:hAnsi="Arial"/>
                <w:sz w:val="14"/>
                <w:szCs w:val="14"/>
                <w:b w:val="1"/>
                <w:bCs w:val="1"/>
                <w:color w:val="FFFFFF"/>
              </w:rPr>
              <w:t>Year Ended December 31,</w:t>
            </w:r>
          </w:p>
        </w:tc>
        <w:tc>
          <w:tcPr>
            <w:tcW w:w="540" w:type="dxa"/>
            <w:vAlign w:val="bottom"/>
            <w:shd w:val="clear" w:color="auto" w:fill="852166"/>
          </w:tcPr>
          <w:p>
            <w:pPr>
              <w:spacing w:after="0"/>
              <w:rPr>
                <w:sz w:val="18"/>
                <w:szCs w:val="18"/>
                <w:color w:val="auto"/>
              </w:rPr>
            </w:pPr>
          </w:p>
        </w:tc>
      </w:tr>
      <w:tr>
        <w:trPr>
          <w:trHeight w:val="241"/>
        </w:trPr>
        <w:tc>
          <w:tcPr>
            <w:tcW w:w="8460" w:type="dxa"/>
            <w:vAlign w:val="bottom"/>
            <w:shd w:val="clear" w:color="auto" w:fill="852166"/>
          </w:tcPr>
          <w:p>
            <w:pPr>
              <w:spacing w:after="0"/>
              <w:rPr>
                <w:sz w:val="20"/>
                <w:szCs w:val="20"/>
                <w:color w:val="auto"/>
              </w:rPr>
            </w:pPr>
          </w:p>
        </w:tc>
        <w:tc>
          <w:tcPr>
            <w:tcW w:w="280" w:type="dxa"/>
            <w:vAlign w:val="bottom"/>
            <w:shd w:val="clear" w:color="auto" w:fill="852166"/>
          </w:tcPr>
          <w:p>
            <w:pPr>
              <w:spacing w:after="0"/>
              <w:rPr>
                <w:sz w:val="20"/>
                <w:szCs w:val="20"/>
                <w:color w:val="auto"/>
              </w:rPr>
            </w:pPr>
          </w:p>
        </w:tc>
        <w:tc>
          <w:tcPr>
            <w:tcW w:w="1060" w:type="dxa"/>
            <w:vAlign w:val="bottom"/>
            <w:shd w:val="clear" w:color="auto" w:fill="852166"/>
          </w:tcPr>
          <w:p>
            <w:pPr>
              <w:jc w:val="right"/>
              <w:spacing w:after="0"/>
              <w:rPr>
                <w:sz w:val="20"/>
                <w:szCs w:val="20"/>
                <w:color w:val="auto"/>
              </w:rPr>
            </w:pPr>
            <w:r>
              <w:rPr>
                <w:rFonts w:ascii="Arial" w:cs="Arial" w:eastAsia="Arial" w:hAnsi="Arial"/>
                <w:sz w:val="14"/>
                <w:szCs w:val="14"/>
                <w:b w:val="1"/>
                <w:bCs w:val="1"/>
                <w:color w:val="FFFFFF"/>
              </w:rPr>
              <w:t>2023</w:t>
            </w:r>
          </w:p>
        </w:tc>
        <w:tc>
          <w:tcPr>
            <w:tcW w:w="900" w:type="dxa"/>
            <w:vAlign w:val="bottom"/>
            <w:shd w:val="clear" w:color="auto" w:fill="852166"/>
          </w:tcPr>
          <w:p>
            <w:pPr>
              <w:spacing w:after="0"/>
              <w:rPr>
                <w:sz w:val="20"/>
                <w:szCs w:val="20"/>
                <w:color w:val="auto"/>
              </w:rPr>
            </w:pPr>
          </w:p>
        </w:tc>
        <w:tc>
          <w:tcPr>
            <w:tcW w:w="540" w:type="dxa"/>
            <w:vAlign w:val="bottom"/>
            <w:shd w:val="clear" w:color="auto" w:fill="852166"/>
          </w:tcPr>
          <w:p>
            <w:pPr>
              <w:jc w:val="right"/>
              <w:ind w:right="48"/>
              <w:spacing w:after="0"/>
              <w:rPr>
                <w:sz w:val="20"/>
                <w:szCs w:val="20"/>
                <w:color w:val="auto"/>
              </w:rPr>
            </w:pPr>
            <w:r>
              <w:rPr>
                <w:rFonts w:ascii="Arial" w:cs="Arial" w:eastAsia="Arial" w:hAnsi="Arial"/>
                <w:sz w:val="14"/>
                <w:szCs w:val="14"/>
                <w:b w:val="1"/>
                <w:bCs w:val="1"/>
                <w:color w:val="FFFFFF"/>
              </w:rPr>
              <w:t>2022</w:t>
            </w:r>
          </w:p>
        </w:tc>
      </w:tr>
      <w:tr>
        <w:trPr>
          <w:trHeight w:val="70"/>
        </w:trPr>
        <w:tc>
          <w:tcPr>
            <w:tcW w:w="8460" w:type="dxa"/>
            <w:vAlign w:val="bottom"/>
            <w:shd w:val="clear" w:color="auto" w:fill="852166"/>
          </w:tcPr>
          <w:p>
            <w:pPr>
              <w:spacing w:after="0"/>
              <w:rPr>
                <w:sz w:val="6"/>
                <w:szCs w:val="6"/>
                <w:color w:val="auto"/>
              </w:rPr>
            </w:pPr>
          </w:p>
        </w:tc>
        <w:tc>
          <w:tcPr>
            <w:tcW w:w="280" w:type="dxa"/>
            <w:vAlign w:val="bottom"/>
            <w:shd w:val="clear" w:color="auto" w:fill="852166"/>
          </w:tcPr>
          <w:p>
            <w:pPr>
              <w:spacing w:after="0"/>
              <w:rPr>
                <w:sz w:val="6"/>
                <w:szCs w:val="6"/>
                <w:color w:val="auto"/>
              </w:rPr>
            </w:pPr>
          </w:p>
        </w:tc>
        <w:tc>
          <w:tcPr>
            <w:tcW w:w="1060" w:type="dxa"/>
            <w:vAlign w:val="bottom"/>
            <w:shd w:val="clear" w:color="auto" w:fill="852166"/>
          </w:tcPr>
          <w:p>
            <w:pPr>
              <w:spacing w:after="0"/>
              <w:rPr>
                <w:sz w:val="6"/>
                <w:szCs w:val="6"/>
                <w:color w:val="auto"/>
              </w:rPr>
            </w:pPr>
          </w:p>
        </w:tc>
        <w:tc>
          <w:tcPr>
            <w:tcW w:w="900" w:type="dxa"/>
            <w:vAlign w:val="bottom"/>
            <w:shd w:val="clear" w:color="auto" w:fill="852166"/>
          </w:tcPr>
          <w:p>
            <w:pPr>
              <w:spacing w:after="0"/>
              <w:rPr>
                <w:sz w:val="6"/>
                <w:szCs w:val="6"/>
                <w:color w:val="auto"/>
              </w:rPr>
            </w:pPr>
          </w:p>
        </w:tc>
        <w:tc>
          <w:tcPr>
            <w:tcW w:w="540" w:type="dxa"/>
            <w:vAlign w:val="bottom"/>
            <w:shd w:val="clear" w:color="auto" w:fill="852166"/>
          </w:tcPr>
          <w:p>
            <w:pPr>
              <w:spacing w:after="0"/>
              <w:rPr>
                <w:sz w:val="6"/>
                <w:szCs w:val="6"/>
                <w:color w:val="auto"/>
              </w:rPr>
            </w:pPr>
          </w:p>
        </w:tc>
      </w:tr>
      <w:tr>
        <w:trPr>
          <w:trHeight w:val="210"/>
        </w:trPr>
        <w:tc>
          <w:tcPr>
            <w:tcW w:w="8460" w:type="dxa"/>
            <w:vAlign w:val="bottom"/>
            <w:tcBorders>
              <w:bottom w:val="single" w:sz="8" w:color="E9E9E9"/>
            </w:tcBorders>
            <w:shd w:val="clear" w:color="auto" w:fill="E9E9E9"/>
          </w:tcPr>
          <w:p>
            <w:pPr>
              <w:ind w:left="100"/>
              <w:spacing w:after="0"/>
              <w:rPr>
                <w:sz w:val="20"/>
                <w:szCs w:val="20"/>
                <w:color w:val="auto"/>
              </w:rPr>
            </w:pPr>
            <w:r>
              <w:rPr>
                <w:rFonts w:ascii="Arial" w:cs="Arial" w:eastAsia="Arial" w:hAnsi="Arial"/>
                <w:sz w:val="14"/>
                <w:szCs w:val="14"/>
                <w:color w:val="auto"/>
              </w:rPr>
              <w:t>Audit Fees</w:t>
            </w:r>
          </w:p>
        </w:tc>
        <w:tc>
          <w:tcPr>
            <w:tcW w:w="280" w:type="dxa"/>
            <w:vAlign w:val="bottom"/>
            <w:tcBorders>
              <w:bottom w:val="single" w:sz="8" w:color="E9E9E9"/>
            </w:tcBorders>
            <w:shd w:val="clear" w:color="auto" w:fill="E9E9E9"/>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E9E9E9"/>
            </w:tcBorders>
            <w:shd w:val="clear" w:color="auto" w:fill="E9E9E9"/>
          </w:tcPr>
          <w:p>
            <w:pPr>
              <w:jc w:val="right"/>
              <w:ind w:right="48"/>
              <w:spacing w:after="0"/>
              <w:rPr>
                <w:sz w:val="20"/>
                <w:szCs w:val="20"/>
                <w:color w:val="auto"/>
              </w:rPr>
            </w:pPr>
            <w:r>
              <w:rPr>
                <w:rFonts w:ascii="Arial" w:cs="Arial" w:eastAsia="Arial" w:hAnsi="Arial"/>
                <w:sz w:val="14"/>
                <w:szCs w:val="14"/>
                <w:color w:val="auto"/>
              </w:rPr>
              <w:t>3,722</w:t>
            </w:r>
          </w:p>
        </w:tc>
        <w:tc>
          <w:tcPr>
            <w:tcW w:w="900" w:type="dxa"/>
            <w:vAlign w:val="bottom"/>
            <w:tcBorders>
              <w:bottom w:val="single" w:sz="8" w:color="E9E9E9"/>
            </w:tcBorders>
            <w:shd w:val="clear" w:color="auto" w:fill="E9E9E9"/>
          </w:tcPr>
          <w:p>
            <w:pPr>
              <w:jc w:val="right"/>
              <w:ind w:right="6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E9E9E9"/>
            </w:tcBorders>
            <w:shd w:val="clear" w:color="auto" w:fill="E9E9E9"/>
          </w:tcPr>
          <w:p>
            <w:pPr>
              <w:jc w:val="right"/>
              <w:ind w:right="88"/>
              <w:spacing w:after="0"/>
              <w:rPr>
                <w:sz w:val="20"/>
                <w:szCs w:val="20"/>
                <w:color w:val="auto"/>
              </w:rPr>
            </w:pPr>
            <w:r>
              <w:rPr>
                <w:rFonts w:ascii="Arial" w:cs="Arial" w:eastAsia="Arial" w:hAnsi="Arial"/>
                <w:sz w:val="14"/>
                <w:szCs w:val="14"/>
                <w:color w:val="auto"/>
              </w:rPr>
              <w:t>3,453</w:t>
            </w:r>
          </w:p>
        </w:tc>
      </w:tr>
      <w:tr>
        <w:trPr>
          <w:trHeight w:val="208"/>
        </w:trPr>
        <w:tc>
          <w:tcPr>
            <w:tcW w:w="8460" w:type="dxa"/>
            <w:vAlign w:val="bottom"/>
          </w:tcPr>
          <w:p>
            <w:pPr>
              <w:ind w:left="100"/>
              <w:spacing w:after="0"/>
              <w:rPr>
                <w:sz w:val="20"/>
                <w:szCs w:val="20"/>
                <w:color w:val="auto"/>
              </w:rPr>
            </w:pPr>
            <w:r>
              <w:rPr>
                <w:rFonts w:ascii="Arial" w:cs="Arial" w:eastAsia="Arial" w:hAnsi="Arial"/>
                <w:sz w:val="14"/>
                <w:szCs w:val="14"/>
                <w:color w:val="auto"/>
              </w:rPr>
              <w:t>Audit-Related Fees</w:t>
            </w:r>
          </w:p>
        </w:tc>
        <w:tc>
          <w:tcPr>
            <w:tcW w:w="280" w:type="dxa"/>
            <w:vAlign w:val="bottom"/>
          </w:tcPr>
          <w:p>
            <w:pPr>
              <w:spacing w:after="0"/>
              <w:rPr>
                <w:sz w:val="18"/>
                <w:szCs w:val="18"/>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900" w:type="dxa"/>
            <w:vAlign w:val="bottom"/>
          </w:tcPr>
          <w:p>
            <w:pPr>
              <w:spacing w:after="0"/>
              <w:rPr>
                <w:sz w:val="18"/>
                <w:szCs w:val="18"/>
                <w:color w:val="auto"/>
              </w:rPr>
            </w:pP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109</w:t>
            </w:r>
          </w:p>
        </w:tc>
      </w:tr>
      <w:tr>
        <w:trPr>
          <w:trHeight w:val="22"/>
        </w:trPr>
        <w:tc>
          <w:tcPr>
            <w:tcW w:w="8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09"/>
        </w:trPr>
        <w:tc>
          <w:tcPr>
            <w:tcW w:w="8460" w:type="dxa"/>
            <w:vAlign w:val="bottom"/>
            <w:tcBorders>
              <w:bottom w:val="single" w:sz="8" w:color="E9E9E9"/>
            </w:tcBorders>
            <w:shd w:val="clear" w:color="auto" w:fill="E9E9E9"/>
          </w:tcPr>
          <w:p>
            <w:pPr>
              <w:ind w:left="100"/>
              <w:spacing w:after="0"/>
              <w:rPr>
                <w:sz w:val="20"/>
                <w:szCs w:val="20"/>
                <w:color w:val="auto"/>
              </w:rPr>
            </w:pPr>
            <w:r>
              <w:rPr>
                <w:rFonts w:ascii="Arial" w:cs="Arial" w:eastAsia="Arial" w:hAnsi="Arial"/>
                <w:sz w:val="14"/>
                <w:szCs w:val="14"/>
                <w:color w:val="auto"/>
              </w:rPr>
              <w:t>Tax Fees</w:t>
            </w:r>
          </w:p>
        </w:tc>
        <w:tc>
          <w:tcPr>
            <w:tcW w:w="280" w:type="dxa"/>
            <w:vAlign w:val="bottom"/>
            <w:tcBorders>
              <w:bottom w:val="single" w:sz="8" w:color="E9E9E9"/>
            </w:tcBorders>
            <w:shd w:val="clear" w:color="auto" w:fill="E9E9E9"/>
          </w:tcPr>
          <w:p>
            <w:pPr>
              <w:spacing w:after="0"/>
              <w:rPr>
                <w:sz w:val="18"/>
                <w:szCs w:val="18"/>
                <w:color w:val="auto"/>
              </w:rPr>
            </w:pPr>
          </w:p>
        </w:tc>
        <w:tc>
          <w:tcPr>
            <w:tcW w:w="1060" w:type="dxa"/>
            <w:vAlign w:val="bottom"/>
            <w:tcBorders>
              <w:bottom w:val="single" w:sz="8" w:color="E9E9E9"/>
            </w:tcBorders>
            <w:shd w:val="clear" w:color="auto" w:fill="E9E9E9"/>
          </w:tcPr>
          <w:p>
            <w:pPr>
              <w:jc w:val="right"/>
              <w:ind w:right="48"/>
              <w:spacing w:after="0"/>
              <w:rPr>
                <w:sz w:val="20"/>
                <w:szCs w:val="20"/>
                <w:color w:val="auto"/>
              </w:rPr>
            </w:pPr>
            <w:r>
              <w:rPr>
                <w:rFonts w:ascii="Arial" w:cs="Arial" w:eastAsia="Arial" w:hAnsi="Arial"/>
                <w:sz w:val="14"/>
                <w:szCs w:val="14"/>
                <w:color w:val="auto"/>
              </w:rPr>
              <w:t>1,432</w:t>
            </w:r>
          </w:p>
        </w:tc>
        <w:tc>
          <w:tcPr>
            <w:tcW w:w="900" w:type="dxa"/>
            <w:vAlign w:val="bottom"/>
            <w:tcBorders>
              <w:bottom w:val="single" w:sz="8" w:color="E9E9E9"/>
            </w:tcBorders>
            <w:shd w:val="clear" w:color="auto" w:fill="E9E9E9"/>
          </w:tcPr>
          <w:p>
            <w:pPr>
              <w:spacing w:after="0"/>
              <w:rPr>
                <w:sz w:val="18"/>
                <w:szCs w:val="18"/>
                <w:color w:val="auto"/>
              </w:rPr>
            </w:pPr>
          </w:p>
        </w:tc>
        <w:tc>
          <w:tcPr>
            <w:tcW w:w="540" w:type="dxa"/>
            <w:vAlign w:val="bottom"/>
            <w:tcBorders>
              <w:bottom w:val="single" w:sz="8" w:color="E9E9E9"/>
            </w:tcBorders>
            <w:shd w:val="clear" w:color="auto" w:fill="E9E9E9"/>
          </w:tcPr>
          <w:p>
            <w:pPr>
              <w:jc w:val="right"/>
              <w:ind w:right="88"/>
              <w:spacing w:after="0"/>
              <w:rPr>
                <w:sz w:val="20"/>
                <w:szCs w:val="20"/>
                <w:color w:val="auto"/>
              </w:rPr>
            </w:pPr>
            <w:r>
              <w:rPr>
                <w:rFonts w:ascii="Arial" w:cs="Arial" w:eastAsia="Arial" w:hAnsi="Arial"/>
                <w:sz w:val="14"/>
                <w:szCs w:val="14"/>
                <w:color w:val="auto"/>
              </w:rPr>
              <w:t>1,098</w:t>
            </w:r>
          </w:p>
        </w:tc>
      </w:tr>
      <w:tr>
        <w:trPr>
          <w:trHeight w:val="208"/>
        </w:trPr>
        <w:tc>
          <w:tcPr>
            <w:tcW w:w="8460" w:type="dxa"/>
            <w:vAlign w:val="bottom"/>
          </w:tcPr>
          <w:p>
            <w:pPr>
              <w:ind w:left="360"/>
              <w:spacing w:after="0"/>
              <w:rPr>
                <w:sz w:val="20"/>
                <w:szCs w:val="20"/>
                <w:color w:val="auto"/>
              </w:rPr>
            </w:pPr>
            <w:r>
              <w:rPr>
                <w:rFonts w:ascii="Arial" w:cs="Arial" w:eastAsia="Arial" w:hAnsi="Arial"/>
                <w:sz w:val="14"/>
                <w:szCs w:val="14"/>
                <w:i w:val="1"/>
                <w:iCs w:val="1"/>
                <w:color w:val="auto"/>
              </w:rPr>
              <w:t>Tax compliance services</w:t>
            </w:r>
          </w:p>
        </w:tc>
        <w:tc>
          <w:tcPr>
            <w:tcW w:w="280" w:type="dxa"/>
            <w:vAlign w:val="bottom"/>
          </w:tcPr>
          <w:p>
            <w:pPr>
              <w:spacing w:after="0"/>
              <w:rPr>
                <w:sz w:val="18"/>
                <w:szCs w:val="18"/>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i w:val="1"/>
                <w:iCs w:val="1"/>
                <w:color w:val="auto"/>
              </w:rPr>
              <w:t>1,399</w:t>
            </w:r>
          </w:p>
        </w:tc>
        <w:tc>
          <w:tcPr>
            <w:tcW w:w="900" w:type="dxa"/>
            <w:vAlign w:val="bottom"/>
          </w:tcPr>
          <w:p>
            <w:pPr>
              <w:spacing w:after="0"/>
              <w:rPr>
                <w:sz w:val="18"/>
                <w:szCs w:val="18"/>
                <w:color w:val="auto"/>
              </w:rPr>
            </w:pPr>
          </w:p>
        </w:tc>
        <w:tc>
          <w:tcPr>
            <w:tcW w:w="540" w:type="dxa"/>
            <w:vAlign w:val="bottom"/>
          </w:tcPr>
          <w:p>
            <w:pPr>
              <w:jc w:val="right"/>
              <w:ind w:right="88"/>
              <w:spacing w:after="0"/>
              <w:rPr>
                <w:sz w:val="20"/>
                <w:szCs w:val="20"/>
                <w:color w:val="auto"/>
              </w:rPr>
            </w:pPr>
            <w:r>
              <w:rPr>
                <w:rFonts w:ascii="Arial" w:cs="Arial" w:eastAsia="Arial" w:hAnsi="Arial"/>
                <w:sz w:val="14"/>
                <w:szCs w:val="14"/>
                <w:i w:val="1"/>
                <w:iCs w:val="1"/>
                <w:color w:val="auto"/>
              </w:rPr>
              <w:t>1,056</w:t>
            </w:r>
          </w:p>
        </w:tc>
      </w:tr>
      <w:tr>
        <w:trPr>
          <w:trHeight w:val="22"/>
        </w:trPr>
        <w:tc>
          <w:tcPr>
            <w:tcW w:w="8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0"/>
        </w:trPr>
        <w:tc>
          <w:tcPr>
            <w:tcW w:w="8460" w:type="dxa"/>
            <w:vAlign w:val="bottom"/>
            <w:tcBorders>
              <w:bottom w:val="single" w:sz="8" w:color="E9E9E9"/>
            </w:tcBorders>
            <w:shd w:val="clear" w:color="auto" w:fill="E9E9E9"/>
          </w:tcPr>
          <w:p>
            <w:pPr>
              <w:ind w:left="360"/>
              <w:spacing w:after="0"/>
              <w:rPr>
                <w:sz w:val="20"/>
                <w:szCs w:val="20"/>
                <w:color w:val="auto"/>
              </w:rPr>
            </w:pPr>
            <w:r>
              <w:rPr>
                <w:rFonts w:ascii="Arial" w:cs="Arial" w:eastAsia="Arial" w:hAnsi="Arial"/>
                <w:sz w:val="14"/>
                <w:szCs w:val="14"/>
                <w:i w:val="1"/>
                <w:iCs w:val="1"/>
                <w:color w:val="auto"/>
              </w:rPr>
              <w:t>Tax advisory services</w:t>
            </w:r>
          </w:p>
        </w:tc>
        <w:tc>
          <w:tcPr>
            <w:tcW w:w="280" w:type="dxa"/>
            <w:vAlign w:val="bottom"/>
            <w:tcBorders>
              <w:bottom w:val="single" w:sz="8" w:color="E9E9E9"/>
            </w:tcBorders>
            <w:shd w:val="clear" w:color="auto" w:fill="E9E9E9"/>
          </w:tcPr>
          <w:p>
            <w:pPr>
              <w:spacing w:after="0"/>
              <w:rPr>
                <w:sz w:val="18"/>
                <w:szCs w:val="18"/>
                <w:color w:val="auto"/>
              </w:rPr>
            </w:pPr>
          </w:p>
        </w:tc>
        <w:tc>
          <w:tcPr>
            <w:tcW w:w="1060" w:type="dxa"/>
            <w:vAlign w:val="bottom"/>
            <w:tcBorders>
              <w:bottom w:val="single" w:sz="8" w:color="E9E9E9"/>
            </w:tcBorders>
            <w:shd w:val="clear" w:color="auto" w:fill="E9E9E9"/>
          </w:tcPr>
          <w:p>
            <w:pPr>
              <w:jc w:val="right"/>
              <w:ind w:right="48"/>
              <w:spacing w:after="0"/>
              <w:rPr>
                <w:sz w:val="20"/>
                <w:szCs w:val="20"/>
                <w:color w:val="auto"/>
              </w:rPr>
            </w:pPr>
            <w:r>
              <w:rPr>
                <w:rFonts w:ascii="Arial" w:cs="Arial" w:eastAsia="Arial" w:hAnsi="Arial"/>
                <w:sz w:val="14"/>
                <w:szCs w:val="14"/>
                <w:i w:val="1"/>
                <w:iCs w:val="1"/>
                <w:color w:val="auto"/>
              </w:rPr>
              <w:t>33</w:t>
            </w:r>
          </w:p>
        </w:tc>
        <w:tc>
          <w:tcPr>
            <w:tcW w:w="900" w:type="dxa"/>
            <w:vAlign w:val="bottom"/>
            <w:tcBorders>
              <w:bottom w:val="single" w:sz="8" w:color="E9E9E9"/>
            </w:tcBorders>
            <w:shd w:val="clear" w:color="auto" w:fill="E9E9E9"/>
          </w:tcPr>
          <w:p>
            <w:pPr>
              <w:spacing w:after="0"/>
              <w:rPr>
                <w:sz w:val="18"/>
                <w:szCs w:val="18"/>
                <w:color w:val="auto"/>
              </w:rPr>
            </w:pPr>
          </w:p>
        </w:tc>
        <w:tc>
          <w:tcPr>
            <w:tcW w:w="540" w:type="dxa"/>
            <w:vAlign w:val="bottom"/>
            <w:tcBorders>
              <w:bottom w:val="single" w:sz="8" w:color="E9E9E9"/>
            </w:tcBorders>
            <w:shd w:val="clear" w:color="auto" w:fill="E9E9E9"/>
          </w:tcPr>
          <w:p>
            <w:pPr>
              <w:jc w:val="right"/>
              <w:ind w:right="88"/>
              <w:spacing w:after="0"/>
              <w:rPr>
                <w:sz w:val="20"/>
                <w:szCs w:val="20"/>
                <w:color w:val="auto"/>
              </w:rPr>
            </w:pPr>
            <w:r>
              <w:rPr>
                <w:rFonts w:ascii="Arial" w:cs="Arial" w:eastAsia="Arial" w:hAnsi="Arial"/>
                <w:sz w:val="14"/>
                <w:szCs w:val="14"/>
                <w:i w:val="1"/>
                <w:iCs w:val="1"/>
                <w:color w:val="auto"/>
              </w:rPr>
              <w:t>42</w:t>
            </w:r>
          </w:p>
        </w:tc>
      </w:tr>
      <w:tr>
        <w:trPr>
          <w:trHeight w:val="208"/>
        </w:trPr>
        <w:tc>
          <w:tcPr>
            <w:tcW w:w="8460" w:type="dxa"/>
            <w:vAlign w:val="bottom"/>
          </w:tcPr>
          <w:p>
            <w:pPr>
              <w:ind w:left="100"/>
              <w:spacing w:after="0"/>
              <w:rPr>
                <w:sz w:val="20"/>
                <w:szCs w:val="20"/>
                <w:color w:val="auto"/>
              </w:rPr>
            </w:pPr>
            <w:r>
              <w:rPr>
                <w:rFonts w:ascii="Arial" w:cs="Arial" w:eastAsia="Arial" w:hAnsi="Arial"/>
                <w:sz w:val="14"/>
                <w:szCs w:val="14"/>
                <w:color w:val="auto"/>
              </w:rPr>
              <w:t>All Other Fees</w:t>
            </w:r>
          </w:p>
        </w:tc>
        <w:tc>
          <w:tcPr>
            <w:tcW w:w="280" w:type="dxa"/>
            <w:vAlign w:val="bottom"/>
          </w:tcPr>
          <w:p>
            <w:pPr>
              <w:spacing w:after="0"/>
              <w:rPr>
                <w:sz w:val="18"/>
                <w:szCs w:val="18"/>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900" w:type="dxa"/>
            <w:vAlign w:val="bottom"/>
          </w:tcPr>
          <w:p>
            <w:pPr>
              <w:spacing w:after="0"/>
              <w:rPr>
                <w:sz w:val="18"/>
                <w:szCs w:val="18"/>
                <w:color w:val="auto"/>
              </w:rPr>
            </w:pP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3</w:t>
            </w:r>
          </w:p>
        </w:tc>
      </w:tr>
      <w:tr>
        <w:trPr>
          <w:trHeight w:val="22"/>
        </w:trPr>
        <w:tc>
          <w:tcPr>
            <w:tcW w:w="8460" w:type="dxa"/>
            <w:vAlign w:val="bottom"/>
            <w:tcBorders>
              <w:bottom w:val="single" w:sz="8" w:color="852166"/>
            </w:tcBorders>
          </w:tcPr>
          <w:p>
            <w:pPr>
              <w:spacing w:after="0" w:line="20" w:lineRule="exact"/>
              <w:rPr>
                <w:sz w:val="1"/>
                <w:szCs w:val="1"/>
                <w:color w:val="auto"/>
              </w:rPr>
            </w:pPr>
          </w:p>
        </w:tc>
        <w:tc>
          <w:tcPr>
            <w:tcW w:w="280" w:type="dxa"/>
            <w:vAlign w:val="bottom"/>
            <w:tcBorders>
              <w:bottom w:val="single" w:sz="8" w:color="852166"/>
            </w:tcBorders>
          </w:tcPr>
          <w:p>
            <w:pPr>
              <w:spacing w:after="0" w:line="20" w:lineRule="exact"/>
              <w:rPr>
                <w:sz w:val="1"/>
                <w:szCs w:val="1"/>
                <w:color w:val="auto"/>
              </w:rPr>
            </w:pPr>
          </w:p>
        </w:tc>
        <w:tc>
          <w:tcPr>
            <w:tcW w:w="1060" w:type="dxa"/>
            <w:vAlign w:val="bottom"/>
            <w:tcBorders>
              <w:bottom w:val="single" w:sz="8" w:color="852166"/>
            </w:tcBorders>
          </w:tcPr>
          <w:p>
            <w:pPr>
              <w:spacing w:after="0" w:line="20" w:lineRule="exact"/>
              <w:rPr>
                <w:sz w:val="1"/>
                <w:szCs w:val="1"/>
                <w:color w:val="auto"/>
              </w:rPr>
            </w:pPr>
          </w:p>
        </w:tc>
        <w:tc>
          <w:tcPr>
            <w:tcW w:w="900" w:type="dxa"/>
            <w:vAlign w:val="bottom"/>
            <w:tcBorders>
              <w:bottom w:val="single" w:sz="8" w:color="852166"/>
            </w:tcBorders>
          </w:tcPr>
          <w:p>
            <w:pPr>
              <w:spacing w:after="0" w:line="20" w:lineRule="exact"/>
              <w:rPr>
                <w:sz w:val="1"/>
                <w:szCs w:val="1"/>
                <w:color w:val="auto"/>
              </w:rPr>
            </w:pPr>
          </w:p>
        </w:tc>
        <w:tc>
          <w:tcPr>
            <w:tcW w:w="540" w:type="dxa"/>
            <w:vAlign w:val="bottom"/>
            <w:tcBorders>
              <w:bottom w:val="single" w:sz="8" w:color="852166"/>
            </w:tcBorders>
          </w:tcPr>
          <w:p>
            <w:pPr>
              <w:spacing w:after="0" w:line="20" w:lineRule="exact"/>
              <w:rPr>
                <w:sz w:val="1"/>
                <w:szCs w:val="1"/>
                <w:color w:val="auto"/>
              </w:rPr>
            </w:pPr>
          </w:p>
        </w:tc>
      </w:tr>
      <w:tr>
        <w:trPr>
          <w:trHeight w:val="216"/>
        </w:trPr>
        <w:tc>
          <w:tcPr>
            <w:tcW w:w="8460" w:type="dxa"/>
            <w:vAlign w:val="bottom"/>
            <w:tcBorders>
              <w:bottom w:val="single" w:sz="8" w:color="852166"/>
            </w:tcBorders>
            <w:shd w:val="clear" w:color="auto" w:fill="E9E9E9"/>
          </w:tcPr>
          <w:p>
            <w:pPr>
              <w:ind w:left="100"/>
              <w:spacing w:after="0"/>
              <w:rPr>
                <w:sz w:val="20"/>
                <w:szCs w:val="20"/>
                <w:color w:val="auto"/>
              </w:rPr>
            </w:pPr>
            <w:r>
              <w:rPr>
                <w:rFonts w:ascii="Arial" w:cs="Arial" w:eastAsia="Arial" w:hAnsi="Arial"/>
                <w:sz w:val="14"/>
                <w:szCs w:val="14"/>
                <w:b w:val="1"/>
                <w:bCs w:val="1"/>
                <w:color w:val="auto"/>
              </w:rPr>
              <w:t>Total Fees</w:t>
            </w:r>
          </w:p>
        </w:tc>
        <w:tc>
          <w:tcPr>
            <w:tcW w:w="280" w:type="dxa"/>
            <w:vAlign w:val="bottom"/>
            <w:tcBorders>
              <w:bottom w:val="single" w:sz="8" w:color="852166"/>
            </w:tcBorders>
            <w:shd w:val="clear" w:color="auto" w:fill="E9E9E9"/>
          </w:tcPr>
          <w:p>
            <w:pPr>
              <w:jc w:val="right"/>
              <w:ind w:right="1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852166"/>
            </w:tcBorders>
            <w:shd w:val="clear" w:color="auto" w:fill="E9E9E9"/>
          </w:tcPr>
          <w:p>
            <w:pPr>
              <w:jc w:val="right"/>
              <w:ind w:right="48"/>
              <w:spacing w:after="0"/>
              <w:rPr>
                <w:sz w:val="20"/>
                <w:szCs w:val="20"/>
                <w:color w:val="auto"/>
              </w:rPr>
            </w:pPr>
            <w:r>
              <w:rPr>
                <w:rFonts w:ascii="Arial" w:cs="Arial" w:eastAsia="Arial" w:hAnsi="Arial"/>
                <w:sz w:val="14"/>
                <w:szCs w:val="14"/>
                <w:b w:val="1"/>
                <w:bCs w:val="1"/>
                <w:color w:val="auto"/>
              </w:rPr>
              <w:t>5,273</w:t>
            </w:r>
          </w:p>
        </w:tc>
        <w:tc>
          <w:tcPr>
            <w:tcW w:w="900" w:type="dxa"/>
            <w:vAlign w:val="bottom"/>
            <w:tcBorders>
              <w:bottom w:val="single" w:sz="8" w:color="852166"/>
            </w:tcBorders>
            <w:shd w:val="clear" w:color="auto" w:fill="E9E9E9"/>
          </w:tcPr>
          <w:p>
            <w:pPr>
              <w:jc w:val="right"/>
              <w:ind w:right="68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852166"/>
            </w:tcBorders>
            <w:shd w:val="clear" w:color="auto" w:fill="E9E9E9"/>
          </w:tcPr>
          <w:p>
            <w:pPr>
              <w:jc w:val="right"/>
              <w:ind w:right="88"/>
              <w:spacing w:after="0"/>
              <w:rPr>
                <w:sz w:val="20"/>
                <w:szCs w:val="20"/>
                <w:color w:val="auto"/>
              </w:rPr>
            </w:pPr>
            <w:r>
              <w:rPr>
                <w:rFonts w:ascii="Arial" w:cs="Arial" w:eastAsia="Arial" w:hAnsi="Arial"/>
                <w:sz w:val="14"/>
                <w:szCs w:val="14"/>
                <w:b w:val="1"/>
                <w:bCs w:val="1"/>
                <w:color w:val="auto"/>
              </w:rPr>
              <w:t>4,663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-1224915</wp:posOffset>
            </wp:positionV>
            <wp:extent cx="170624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7062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92</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96" w:name="page97"/>
    <w:bookmarkEnd w:id="96"/>
    <w:p>
      <w:pPr>
        <w:ind w:right="80"/>
        <w:spacing w:after="0" w:line="339"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Consist of fees and expenses for professional services in respect of the audit of our consolidated financial statements and of our internal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over financial reporting, the review of quarterly consolidated financial statements and statutory audits.</w:t>
      </w:r>
    </w:p>
    <w:p>
      <w:pPr>
        <w:spacing w:after="0" w:line="34" w:lineRule="exact"/>
        <w:rPr>
          <w:sz w:val="20"/>
          <w:szCs w:val="20"/>
          <w:color w:val="auto"/>
        </w:rPr>
      </w:pPr>
    </w:p>
    <w:p>
      <w:pPr>
        <w:jc w:val="both"/>
        <w:ind w:right="380"/>
        <w:spacing w:after="0" w:line="319" w:lineRule="auto"/>
        <w:rPr>
          <w:sz w:val="20"/>
          <w:szCs w:val="20"/>
          <w:color w:val="auto"/>
        </w:rPr>
      </w:pPr>
      <w:r>
        <w:rPr>
          <w:rFonts w:ascii="Arial" w:cs="Arial" w:eastAsia="Arial" w:hAnsi="Arial"/>
          <w:sz w:val="16"/>
          <w:szCs w:val="16"/>
          <w:i w:val="1"/>
          <w:iCs w:val="1"/>
          <w:color w:val="auto"/>
        </w:rPr>
        <w:t xml:space="preserve">Audit-Related Fees: </w:t>
      </w:r>
      <w:r>
        <w:rPr>
          <w:rFonts w:ascii="Arial" w:cs="Arial" w:eastAsia="Arial" w:hAnsi="Arial"/>
          <w:sz w:val="16"/>
          <w:szCs w:val="16"/>
          <w:color w:val="auto"/>
        </w:rPr>
        <w:t>Consist of fees for assurance and related services (e.g., due diligence services) that traditionally are performed by the independent</w:t>
      </w:r>
      <w:r>
        <w:rPr>
          <w:rFonts w:ascii="Arial" w:cs="Arial" w:eastAsia="Arial" w:hAnsi="Arial"/>
          <w:sz w:val="16"/>
          <w:szCs w:val="16"/>
          <w:i w:val="1"/>
          <w:iCs w:val="1"/>
          <w:color w:val="auto"/>
        </w:rPr>
        <w:t xml:space="preserve"> </w:t>
      </w:r>
      <w:r>
        <w:rPr>
          <w:rFonts w:ascii="Arial" w:cs="Arial" w:eastAsia="Arial" w:hAnsi="Arial"/>
          <w:sz w:val="16"/>
          <w:szCs w:val="16"/>
          <w:color w:val="auto"/>
        </w:rPr>
        <w:t>accountant. More specifically, these services included: due diligence in connection with divestiture and consultation concerning financial accounting and reporting standards.</w:t>
      </w:r>
    </w:p>
    <w:p>
      <w:pPr>
        <w:spacing w:after="0" w:line="63" w:lineRule="exact"/>
        <w:rPr>
          <w:sz w:val="20"/>
          <w:szCs w:val="20"/>
          <w:color w:val="auto"/>
        </w:rPr>
      </w:pPr>
    </w:p>
    <w:p>
      <w:pPr>
        <w:ind w:right="220"/>
        <w:spacing w:after="0" w:line="303" w:lineRule="auto"/>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Consist of fees and expenses for professional services for tax compliance, tax advice and tax planning. Tax compliance services consist of</w:t>
      </w:r>
      <w:r>
        <w:rPr>
          <w:rFonts w:ascii="Arial" w:cs="Arial" w:eastAsia="Arial" w:hAnsi="Arial"/>
          <w:sz w:val="16"/>
          <w:szCs w:val="16"/>
          <w:i w:val="1"/>
          <w:iCs w:val="1"/>
          <w:color w:val="auto"/>
        </w:rPr>
        <w:t xml:space="preserve"> </w:t>
      </w:r>
      <w:r>
        <w:rPr>
          <w:rFonts w:ascii="Arial" w:cs="Arial" w:eastAsia="Arial" w:hAnsi="Arial"/>
          <w:sz w:val="16"/>
          <w:szCs w:val="16"/>
          <w:color w:val="auto"/>
        </w:rPr>
        <w:t>professional services related to domestic and international tax compliance, and assistance with domestic and international tax return preparation. Tax advisory service fees relate to tax advice and planning services provided to us in connection with certain transactions undertaken by us in 2023 and 2022. During the year ended December 31, 2023, fees and expenses of approximately $1,399,000 were billed in connection with tax compliance services, and fees and expenses of approximately $33,000 were billed in connection with tax advice and planning services. During the year ended December 31, 2022, fees and expenses of approximately $1,056,000 were billed in connection with tax compliance services, and fees and expenses of approximately $42,000 were billed in connection with tax advice and planning services.</w:t>
      </w:r>
    </w:p>
    <w:p>
      <w:pPr>
        <w:spacing w:after="0" w:line="62" w:lineRule="exact"/>
        <w:rPr>
          <w:sz w:val="20"/>
          <w:szCs w:val="20"/>
          <w:color w:val="auto"/>
        </w:rPr>
      </w:pPr>
    </w:p>
    <w:p>
      <w:pPr>
        <w:ind w:right="140"/>
        <w:spacing w:after="0" w:line="339" w:lineRule="auto"/>
        <w:rPr>
          <w:sz w:val="20"/>
          <w:szCs w:val="20"/>
          <w:color w:val="auto"/>
        </w:rPr>
      </w:pPr>
      <w:r>
        <w:rPr>
          <w:rFonts w:ascii="Arial" w:cs="Arial" w:eastAsia="Arial" w:hAnsi="Arial"/>
          <w:sz w:val="16"/>
          <w:szCs w:val="16"/>
          <w:i w:val="1"/>
          <w:iCs w:val="1"/>
          <w:color w:val="auto"/>
        </w:rPr>
        <w:t xml:space="preserve">All Other Fees: </w:t>
      </w:r>
      <w:r>
        <w:rPr>
          <w:rFonts w:ascii="Arial" w:cs="Arial" w:eastAsia="Arial" w:hAnsi="Arial"/>
          <w:sz w:val="16"/>
          <w:szCs w:val="16"/>
          <w:color w:val="auto"/>
        </w:rPr>
        <w:t>Consist of fees for products and services other than the services described above. For the years ended December 31, 2023 and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2022, these fees were paid in connection with access to the online accounting and tax research tool of KPMG.</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All of the services and fees described above were approved by our audit committee.</w:t>
      </w:r>
    </w:p>
    <w:p>
      <w:pPr>
        <w:spacing w:after="0" w:line="154" w:lineRule="exact"/>
        <w:rPr>
          <w:sz w:val="20"/>
          <w:szCs w:val="20"/>
          <w:color w:val="auto"/>
        </w:rPr>
      </w:pPr>
    </w:p>
    <w:p>
      <w:pPr>
        <w:ind w:right="740"/>
        <w:spacing w:after="0" w:line="339" w:lineRule="auto"/>
        <w:rPr>
          <w:sz w:val="20"/>
          <w:szCs w:val="20"/>
          <w:color w:val="auto"/>
        </w:rPr>
      </w:pPr>
      <w:r>
        <w:rPr>
          <w:rFonts w:ascii="Arial" w:cs="Arial" w:eastAsia="Arial" w:hAnsi="Arial"/>
          <w:sz w:val="16"/>
          <w:szCs w:val="16"/>
          <w:color w:val="auto"/>
        </w:rPr>
        <w:t>As shown in the table above, less than 1% of the total fees that KPMG billed us for in 2023 were for services other than audit, audit-related and tax compliance services.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Pre-Approval Policies and Procedures</w:t>
      </w:r>
    </w:p>
    <w:p>
      <w:pPr>
        <w:spacing w:after="0" w:line="144"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color w:val="auto"/>
        </w:rPr>
        <w:t>Our audit committee has a policy and procedures for the pre-approval of audit and non-audit services rendered by our independent registered public accounting firm. Our policy generally requires the pre-approval of specified services in the defined categories of audit services, audit-related services, and tax services up to specified amounts. Pre-approval may also be given as part of our audit committee’s approval of the scope of the engagement of the independent auditor or on an individual explicit case-by-case basis before the independent auditor is engaged to provide each service. The pre-approval of services may be delegated to one or more of our audit committee’s members, but the decision must be reported to the full audit committee at its next scheduled meeting.</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Independence</w:t>
      </w:r>
    </w:p>
    <w:p>
      <w:pPr>
        <w:spacing w:after="0" w:line="131" w:lineRule="exact"/>
        <w:rPr>
          <w:sz w:val="20"/>
          <w:szCs w:val="20"/>
          <w:color w:val="auto"/>
        </w:rPr>
      </w:pPr>
    </w:p>
    <w:p>
      <w:pPr>
        <w:ind w:right="740"/>
        <w:spacing w:after="0" w:line="339" w:lineRule="auto"/>
        <w:rPr>
          <w:sz w:val="20"/>
          <w:szCs w:val="20"/>
          <w:color w:val="auto"/>
        </w:rPr>
      </w:pPr>
      <w:r>
        <w:rPr>
          <w:rFonts w:ascii="Arial" w:cs="Arial" w:eastAsia="Arial" w:hAnsi="Arial"/>
          <w:sz w:val="16"/>
          <w:szCs w:val="16"/>
          <w:color w:val="auto"/>
        </w:rPr>
        <w:t>Our audit committee determined that the rendering of the services other than audit services by our independent registered public accounting firm is compatible with maintaining the principal accountant’s independence.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Our board recommends a vote “FOR” Proposal 2.</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407"/>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97" w:name="page98"/>
    <w:bookmarkEnd w:id="97"/>
    <w:p>
      <w:pPr>
        <w:spacing w:after="0"/>
        <w:rPr>
          <w:sz w:val="20"/>
          <w:szCs w:val="20"/>
          <w:color w:val="auto"/>
        </w:rPr>
      </w:pPr>
      <w:r>
        <w:rPr>
          <w:rFonts w:ascii="Arial" w:cs="Arial" w:eastAsia="Arial" w:hAnsi="Arial"/>
          <w:sz w:val="20"/>
          <w:szCs w:val="20"/>
          <w:b w:val="1"/>
          <w:bCs w:val="1"/>
          <w:color w:val="852166"/>
        </w:rPr>
        <w:t>Report of the Audit Committee of our Board</w:t>
      </w:r>
      <w:r>
        <w:rPr>
          <w:rFonts w:ascii="Arial" w:cs="Arial" w:eastAsia="Arial" w:hAnsi="Arial"/>
          <w:sz w:val="25"/>
          <w:szCs w:val="25"/>
          <w:b w:val="1"/>
          <w:bCs w:val="1"/>
          <w:color w:val="852166"/>
          <w:vertAlign w:val="superscript"/>
        </w:rPr>
        <w:t>(1)</w:t>
      </w:r>
    </w:p>
    <w:p>
      <w:pPr>
        <w:spacing w:after="0" w:line="73"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auto"/>
        </w:rPr>
        <w:t>Our audit committee has reviewed and discussed our audited financial statements for the fiscal year ended December 31, 2023 with our management. The audit committee has discussed with KPMG, the independent registered public accounting firm that audited our financial statements for the fiscal year ended December 31, 2023, the matters required to be discussed by the applicable requirements of the Public Company Accounting Oversight Board, or PCAOB, and the SEC. The audit committee has also received the written disclosures and the letter from KPMG required by applicable requirements of the PCAOB and the SEC regarding the independent accountants’ communications with the audit committee concerning independence, and has discussed with KPMG that firm’s independence. Based on the foregoing, the audit committee recommended to our board that the audited financial statements be included in the 2023 Annual Report on Form 10-K for filing with the SEC.</w:t>
      </w:r>
    </w:p>
    <w:p>
      <w:pPr>
        <w:spacing w:after="0" w:line="7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Respectfully submitted,</w:t>
      </w:r>
    </w:p>
    <w:p>
      <w:pPr>
        <w:spacing w:after="0" w:line="4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The Audit Committee of our Board</w:t>
      </w:r>
    </w:p>
    <w:p>
      <w:pPr>
        <w:spacing w:after="0" w:line="15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Mr. Peter Gray</w:t>
      </w:r>
    </w:p>
    <w:p>
      <w:pPr>
        <w:spacing w:after="0" w:line="3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Mr. Patrick Enright</w:t>
      </w:r>
    </w:p>
    <w:p>
      <w:pPr>
        <w:spacing w:after="0" w:line="4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Ms. Heather Ann McSharry</w:t>
      </w:r>
    </w:p>
    <w:p>
      <w:pPr>
        <w:spacing w:after="0" w:line="4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Mr. Kenneth W. O’Keefe</w:t>
      </w:r>
    </w:p>
    <w:p>
      <w:pPr>
        <w:spacing w:after="0" w:line="4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Ms. Anne O’Riordan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27260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360" w:hanging="334"/>
        <w:spacing w:after="0" w:line="293" w:lineRule="auto"/>
        <w:tabs>
          <w:tab w:leader="none" w:pos="3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By our audit committee as of the 2023 Annual Report on Form 10-K. The material under the heading “Report of the Audit Committee of our Board” in this proxy statement is not “soliciting material,” is not deemed “filed” with the SEC and is not to be incorporated by reference in any filing by us under the Securities Act of 1933, as amended, or the Securities Exchange Act of 1934, as amended,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94</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5" w:right="379" w:bottom="1440" w:gutter="0" w:footer="0" w:header="0"/>
        </w:sectPr>
      </w:pPr>
    </w:p>
    <w:bookmarkStart w:id="98" w:name="page99"/>
    <w:bookmarkEnd w:id="98"/>
    <w:p>
      <w:pPr>
        <w:spacing w:after="0"/>
        <w:rPr>
          <w:sz w:val="20"/>
          <w:szCs w:val="20"/>
          <w:color w:val="auto"/>
        </w:rPr>
      </w:pPr>
      <w:r>
        <w:rPr>
          <w:rFonts w:ascii="Arial" w:cs="Arial" w:eastAsia="Arial" w:hAnsi="Arial"/>
          <w:sz w:val="32"/>
          <w:szCs w:val="32"/>
          <w:b w:val="1"/>
          <w:bCs w:val="1"/>
          <w:color w:val="852166"/>
        </w:rPr>
        <w:t>PROPOSAL 3</w:t>
      </w:r>
    </w:p>
    <w:p>
      <w:pPr>
        <w:spacing w:after="0" w:line="186" w:lineRule="exact"/>
        <w:rPr>
          <w:sz w:val="20"/>
          <w:szCs w:val="20"/>
          <w:color w:val="auto"/>
        </w:rPr>
      </w:pPr>
    </w:p>
    <w:p>
      <w:pPr>
        <w:spacing w:after="0"/>
        <w:rPr>
          <w:sz w:val="20"/>
          <w:szCs w:val="20"/>
          <w:color w:val="auto"/>
        </w:rPr>
      </w:pPr>
      <w:r>
        <w:rPr>
          <w:rFonts w:ascii="Arial" w:cs="Arial" w:eastAsia="Arial" w:hAnsi="Arial"/>
          <w:sz w:val="32"/>
          <w:szCs w:val="32"/>
          <w:b w:val="1"/>
          <w:bCs w:val="1"/>
          <w:color w:val="852166"/>
        </w:rPr>
        <w:t>NON-BINDING ADVISORY VOTE ON EXECUTIVE COMPENSATION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Overview</w:t>
      </w:r>
    </w:p>
    <w:p>
      <w:pPr>
        <w:spacing w:after="0" w:line="144" w:lineRule="exact"/>
        <w:rPr>
          <w:sz w:val="20"/>
          <w:szCs w:val="20"/>
          <w:color w:val="auto"/>
        </w:rPr>
      </w:pPr>
    </w:p>
    <w:p>
      <w:pPr>
        <w:ind w:right="240"/>
        <w:spacing w:after="0" w:line="319" w:lineRule="auto"/>
        <w:rPr>
          <w:sz w:val="20"/>
          <w:szCs w:val="20"/>
          <w:color w:val="auto"/>
        </w:rPr>
      </w:pPr>
      <w:r>
        <w:rPr>
          <w:rFonts w:ascii="Arial" w:cs="Arial" w:eastAsia="Arial" w:hAnsi="Arial"/>
          <w:sz w:val="16"/>
          <w:szCs w:val="16"/>
          <w:color w:val="auto"/>
        </w:rPr>
        <w:t>Under the Dodd-Frank Act and Section 14A of the Exchange Act, our shareholders are entitled to vote to approve, on a non-binding advisory basis, the compensation of our named executive officers, or NEOs, as disclosed in this proxy statement in accordance with the compensation disclosure rules of the SEC. This non-binding advisory vote is commonly referred to as a “say-on-pay” vote.</w:t>
      </w:r>
    </w:p>
    <w:p>
      <w:pPr>
        <w:spacing w:after="0" w:line="49" w:lineRule="exact"/>
        <w:rPr>
          <w:sz w:val="20"/>
          <w:szCs w:val="20"/>
          <w:color w:val="auto"/>
        </w:rPr>
      </w:pPr>
    </w:p>
    <w:p>
      <w:pPr>
        <w:ind w:right="180"/>
        <w:spacing w:after="0" w:line="319" w:lineRule="auto"/>
        <w:rPr>
          <w:sz w:val="20"/>
          <w:szCs w:val="20"/>
          <w:color w:val="auto"/>
        </w:rPr>
      </w:pPr>
      <w:r>
        <w:rPr>
          <w:rFonts w:ascii="Arial" w:cs="Arial" w:eastAsia="Arial" w:hAnsi="Arial"/>
          <w:sz w:val="16"/>
          <w:szCs w:val="16"/>
          <w:color w:val="auto"/>
        </w:rPr>
        <w:t>At our 2018 annual meeting of shareholders, our shareholders indicated their preference that we hold a non-binding say-on-pay vote every year and our board has adopted a policy that is consistent with that preference. At our 2023 annual meeting of shareholders, the shareholders approved our say-on-pay proposal, with approximately 92% of the total votes cast voting in favor of the proposal.</w:t>
      </w:r>
    </w:p>
    <w:p>
      <w:pPr>
        <w:spacing w:after="0" w:line="63"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color w:val="auto"/>
        </w:rPr>
        <w:t>This year, we are again asking our shareholders to vote “FOR” the advisory approval of the compensation of our NEOs as disclosed in the “Compensation Discussion and Analysis,” the compensation tables and the related narrative disclosure contained in this proxy statement beginning on page 38. As discussed in those disclosures, our compensation committee designs our executive compensation program with the following objectives and philosophy:</w:t>
      </w:r>
    </w:p>
    <w:p>
      <w:pPr>
        <w:spacing w:after="0" w:line="70" w:lineRule="exact"/>
        <w:rPr>
          <w:sz w:val="20"/>
          <w:szCs w:val="20"/>
          <w:color w:val="auto"/>
        </w:rPr>
      </w:pPr>
    </w:p>
    <w:p>
      <w:pPr>
        <w:ind w:left="660" w:right="60" w:hanging="328"/>
        <w:spacing w:after="0" w:line="349" w:lineRule="auto"/>
        <w:tabs>
          <w:tab w:leader="none" w:pos="649"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Attract, incentivize, reward and retain diverse, talented individuals with relevant experience in the life sciences industry through a competitive pay structure. </w:t>
      </w:r>
      <w:r>
        <w:rPr>
          <w:rFonts w:ascii="Arial" w:cs="Arial" w:eastAsia="Arial" w:hAnsi="Arial"/>
          <w:sz w:val="16"/>
          <w:szCs w:val="16"/>
          <w:color w:val="auto"/>
        </w:rPr>
        <w:t>We reward individuals fairly over time and seek to retain those individuals who continue to meet our high expectations.</w:t>
      </w:r>
    </w:p>
    <w:p>
      <w:pPr>
        <w:spacing w:after="0" w:line="31" w:lineRule="exact"/>
        <w:rPr>
          <w:rFonts w:ascii="Arial" w:cs="Arial" w:eastAsia="Arial" w:hAnsi="Arial"/>
          <w:sz w:val="16"/>
          <w:szCs w:val="16"/>
          <w:b w:val="1"/>
          <w:bCs w:val="1"/>
          <w:color w:val="auto"/>
        </w:rPr>
      </w:pPr>
    </w:p>
    <w:p>
      <w:pPr>
        <w:ind w:left="660" w:right="60" w:hanging="328"/>
        <w:spacing w:after="0" w:line="306" w:lineRule="auto"/>
        <w:tabs>
          <w:tab w:leader="none" w:pos="649"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Deliver balanced total compensation packages to accomplish our business objectives and mission. </w:t>
      </w:r>
      <w:r>
        <w:rPr>
          <w:rFonts w:ascii="Arial" w:cs="Arial" w:eastAsia="Arial" w:hAnsi="Arial"/>
          <w:sz w:val="16"/>
          <w:szCs w:val="16"/>
          <w:color w:val="auto"/>
        </w:rPr>
        <w:t>Our executive compensation program</w:t>
      </w:r>
      <w:r>
        <w:rPr>
          <w:rFonts w:ascii="Arial" w:cs="Arial" w:eastAsia="Arial" w:hAnsi="Arial"/>
          <w:sz w:val="16"/>
          <w:szCs w:val="16"/>
          <w:b w:val="1"/>
          <w:bCs w:val="1"/>
          <w:color w:val="auto"/>
        </w:rPr>
        <w:t xml:space="preserve"> </w:t>
      </w:r>
      <w:r>
        <w:rPr>
          <w:rFonts w:ascii="Arial" w:cs="Arial" w:eastAsia="Arial" w:hAnsi="Arial"/>
          <w:sz w:val="16"/>
          <w:szCs w:val="16"/>
          <w:color w:val="auto"/>
        </w:rPr>
        <w:t>focuses on target total direct compensation, combining short-term and long-term components, cash and equity, and fixed and variable payments, in the proportions that we believe are the most appropriate to incentivize and reward our executive officers for achieving our corporate goals while minimizing incentives for excessive risk-taking or unethical conduct.</w:t>
      </w:r>
    </w:p>
    <w:p>
      <w:pPr>
        <w:spacing w:after="0" w:line="74" w:lineRule="exact"/>
        <w:rPr>
          <w:rFonts w:ascii="Arial" w:cs="Arial" w:eastAsia="Arial" w:hAnsi="Arial"/>
          <w:sz w:val="16"/>
          <w:szCs w:val="16"/>
          <w:b w:val="1"/>
          <w:bCs w:val="1"/>
          <w:color w:val="auto"/>
        </w:rPr>
      </w:pPr>
    </w:p>
    <w:p>
      <w:pPr>
        <w:ind w:left="660" w:right="40" w:hanging="328"/>
        <w:spacing w:after="0" w:line="302" w:lineRule="auto"/>
        <w:tabs>
          <w:tab w:leader="none" w:pos="649"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Align pay with our performance. </w:t>
      </w:r>
      <w:r>
        <w:rPr>
          <w:rFonts w:ascii="Arial" w:cs="Arial" w:eastAsia="Arial" w:hAnsi="Arial"/>
          <w:sz w:val="16"/>
          <w:szCs w:val="16"/>
          <w:color w:val="auto"/>
        </w:rPr>
        <w:t>Our annual performance bonus awards are not earned unless pre-determined levels of performance are</w:t>
      </w:r>
      <w:r>
        <w:rPr>
          <w:rFonts w:ascii="Arial" w:cs="Arial" w:eastAsia="Arial" w:hAnsi="Arial"/>
          <w:sz w:val="16"/>
          <w:szCs w:val="16"/>
          <w:b w:val="1"/>
          <w:bCs w:val="1"/>
          <w:color w:val="auto"/>
        </w:rPr>
        <w:t xml:space="preserve"> </w:t>
      </w:r>
      <w:r>
        <w:rPr>
          <w:rFonts w:ascii="Arial" w:cs="Arial" w:eastAsia="Arial" w:hAnsi="Arial"/>
          <w:sz w:val="16"/>
          <w:szCs w:val="16"/>
          <w:color w:val="auto"/>
        </w:rPr>
        <w:t>achieved against annual corporate objectives approved by our board at the beginning of the year. Likewise, our stock option awards will not provide realizable value and our restricted stock unit awards will not provide increased value unless there is an increase in the value of our shares, which benefits all shareholders. We also have executive share ownership guidelines to further support our ownership culture and align the interests of executive officers and shareholders. Further, beginning in 2021 we implemented a new performance-based equity program tied to the achievement of critical multi-year financial and other strategic objectives as well as relative total shareholder return goals, with performance-based restricted stock unit awards making up approximately 50% of each NEO’s target annual equity grant, and time-vesting restricted stock unit awards making up the other approximately 50%.</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Our compensation committee will continue to monitor our business and the design of our executive compensation program.</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Say-on-Pay Vote</w:t>
      </w:r>
    </w:p>
    <w:p>
      <w:pPr>
        <w:spacing w:after="0" w:line="144"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color w:val="auto"/>
        </w:rPr>
        <w:t>This vote is not intended to address any specific item of compensation, but rather the overall compensation of our NEOs and the philosophy, policies and practices described in this proxy statement. Our board is asking our shareholders to indicate their support for the compensation of our NEOs as described in this proxy statement by casting a non-binding advisory vote “FOR” the following resolution:</w:t>
      </w:r>
    </w:p>
    <w:p>
      <w:pPr>
        <w:spacing w:after="0" w:line="70" w:lineRule="exact"/>
        <w:rPr>
          <w:sz w:val="20"/>
          <w:szCs w:val="20"/>
          <w:color w:val="auto"/>
        </w:rPr>
      </w:pPr>
    </w:p>
    <w:p>
      <w:pPr>
        <w:ind w:right="560"/>
        <w:spacing w:after="0" w:line="339"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 the compensation paid to Jazz Pharmaceuticals’ NEOs, as disclosed pursuant to Item 402 of Regulation S-K of the Exchange Act,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the Compensation Discussion and Analysis, compensation tables and narrative discussion, is hereby APPROVED.”</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95</w:t>
            </w:r>
          </w:p>
        </w:tc>
      </w:tr>
      <w:tr>
        <w:trPr>
          <w:trHeight w:val="407"/>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99" w:name="page100"/>
    <w:bookmarkEnd w:id="99"/>
    <w:p>
      <w:pPr>
        <w:ind w:right="200"/>
        <w:spacing w:after="0" w:line="310" w:lineRule="auto"/>
        <w:rPr>
          <w:sz w:val="20"/>
          <w:szCs w:val="20"/>
          <w:color w:val="auto"/>
        </w:rPr>
      </w:pPr>
      <w:r>
        <w:rPr>
          <w:rFonts w:ascii="Arial" w:cs="Arial" w:eastAsia="Arial" w:hAnsi="Arial"/>
          <w:sz w:val="16"/>
          <w:szCs w:val="16"/>
          <w:color w:val="auto"/>
        </w:rPr>
        <w:t>Because the vote is advisory, it is not binding on our board or us. Nevertheless, the views expressed by our shareholders, whether through this vote or otherwise, are important to management and our board and, accordingly, our board and our compensation committee intend to consider the results of this vote in making determinations in the future regarding executive compensation arrangements.</w:t>
      </w:r>
    </w:p>
    <w:p>
      <w:pPr>
        <w:spacing w:after="0" w:line="70" w:lineRule="exact"/>
        <w:rPr>
          <w:sz w:val="20"/>
          <w:szCs w:val="20"/>
          <w:color w:val="auto"/>
        </w:rPr>
      </w:pPr>
    </w:p>
    <w:p>
      <w:pPr>
        <w:ind w:right="660"/>
        <w:spacing w:after="0" w:line="339" w:lineRule="auto"/>
        <w:rPr>
          <w:sz w:val="20"/>
          <w:szCs w:val="20"/>
          <w:color w:val="auto"/>
        </w:rPr>
      </w:pPr>
      <w:r>
        <w:rPr>
          <w:rFonts w:ascii="Arial" w:cs="Arial" w:eastAsia="Arial" w:hAnsi="Arial"/>
          <w:sz w:val="16"/>
          <w:szCs w:val="16"/>
          <w:color w:val="auto"/>
        </w:rPr>
        <w:t>Proposal 3 is an ordinary resolution and must receive the affirmative vote of a majority of the votes cast in person or by proxy at the annual meeting (including any adjournment thereof) in order to be approved.</w:t>
      </w:r>
    </w:p>
    <w:p>
      <w:pPr>
        <w:spacing w:after="0" w:line="47"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Unless our board changes the frequency of future advisory votes on the compensation of our NEOs, including in response to the outcome of the shareholder vote on Proposal 4, the next advisory vote on the compensation of our NEOs will be held at the 2025 annual meeting of shareholders.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i w:val="1"/>
          <w:iCs w:val="1"/>
          <w:color w:val="auto"/>
        </w:rPr>
        <w:t>Our board recommends a vote “FOR” Proposal 3.</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96</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100" w:name="page101"/>
    <w:bookmarkEnd w:id="100"/>
    <w:p>
      <w:pPr>
        <w:spacing w:after="0"/>
        <w:rPr>
          <w:sz w:val="20"/>
          <w:szCs w:val="20"/>
          <w:color w:val="auto"/>
        </w:rPr>
      </w:pPr>
      <w:r>
        <w:rPr>
          <w:rFonts w:ascii="Arial" w:cs="Arial" w:eastAsia="Arial" w:hAnsi="Arial"/>
          <w:sz w:val="32"/>
          <w:szCs w:val="32"/>
          <w:b w:val="1"/>
          <w:bCs w:val="1"/>
          <w:color w:val="852166"/>
        </w:rPr>
        <w:t>PROPOSAL 4</w:t>
      </w:r>
    </w:p>
    <w:p>
      <w:pPr>
        <w:spacing w:after="0" w:line="186" w:lineRule="exact"/>
        <w:rPr>
          <w:sz w:val="20"/>
          <w:szCs w:val="20"/>
          <w:color w:val="auto"/>
        </w:rPr>
      </w:pPr>
    </w:p>
    <w:p>
      <w:pPr>
        <w:ind w:right="220"/>
        <w:spacing w:after="0" w:line="298" w:lineRule="auto"/>
        <w:rPr>
          <w:sz w:val="20"/>
          <w:szCs w:val="20"/>
          <w:color w:val="auto"/>
        </w:rPr>
      </w:pPr>
      <w:r>
        <w:rPr>
          <w:rFonts w:ascii="Arial" w:cs="Arial" w:eastAsia="Arial" w:hAnsi="Arial"/>
          <w:sz w:val="32"/>
          <w:szCs w:val="32"/>
          <w:b w:val="1"/>
          <w:bCs w:val="1"/>
          <w:color w:val="852166"/>
        </w:rPr>
        <w:t>NON-BINDING ADVISORY VOTE ON THE PREFERRED FREQUENCY OF THE ADVISORY VOTE ON EXECUTIVE COMPENSATION</w:t>
      </w:r>
    </w:p>
    <w:p>
      <w:pPr>
        <w:spacing w:after="0" w:line="47"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auto"/>
        </w:rPr>
        <w:t>The Dodd-Frank Act and Section 14A of the Exchange Act also provide that shareholders must be given the opportunity to vote, on a non-binding advisory basis, for their preference as to how frequently we should seek future advisory votes on the compensation of our named executive officers as disclosed in accordance with the compensation disclosure rules of the SEC, which we refer to as an advisory vote on executive compensation. Currently, consistent with the preference expressed by the shareholders at our 2018 annual meeting of shareholders, the policy of our board is to solicit an advisory vote on executive compensation every year. By voting with respect to this Proposal 4, shareholders may indicate whether they would prefer that we conduct future advisory votes on executive compensation every year, every two years or every three years. Alternatively, shareholders may, if they wish, abstain from casting a vote on this Proposal 4.</w:t>
      </w:r>
    </w:p>
    <w:p>
      <w:pPr>
        <w:spacing w:after="0" w:line="75"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Our board believes that an annual advisory vote on executive compensation has worked well for us and has determined that an annual advisory vote on executive compensation will continue to permit our shareholders to provide direct input on our executive compensation program as disclosed in the proxy statement each year, which is consistent with our efforts to engage in an ongoing dialogue with our shareholders on executive compensation and other corporate governance matters. Based on the foregoing, our board has recommended that future advisory votes on executive compensation occur every year.</w:t>
      </w:r>
    </w:p>
    <w:p>
      <w:pPr>
        <w:spacing w:after="0" w:line="7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Shareholders are not voting to approve or disapprove our board’s recommendation. Instead, shareholders may indicate their preference regarding the frequency of future non-binding advisory votes on executive compensation by selecting one year, two years or three years. Although this advisory vote is not binding on us, our board and our compensation committee will take into account the outcome of the vote when considering the frequency of future advisory votes on executive compensation.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Accordingly, our board is asking our shareholders to indicate their preferred voting frequency by voting for the option of every “1 YEAR,” “2 YEARS” or “3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YEARS” (or abstaining from voting) in response to the following resolution at the annual meeting:</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advisory vote on the compensation of Jazz Pharmaceuticals’ named executive officers should occur every: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Option 1: 1 YEAR;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Option 2: 2 YEARS; or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Option 3: 3 YEARS.”</w:t>
      </w:r>
    </w:p>
    <w:p>
      <w:pPr>
        <w:spacing w:after="0" w:line="154"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The option, if any, that receives the affirmative vote of a majority of the votes cast in person or by proxy at the annual meeting will be deemed to be the frequency preferred by our shareholders. Our board and our compensation committee value the opinions of our shareholders in this matter and, to the extent there is any significant vote in favor of one frequency option over the other options, even if less than a majority of the votes cast, our board will consider the shareholders’ concerns and evaluate any appropriate next steps. However, because this vote is advisory and therefore not binding on our board or Jazz Pharmaceuticals, our board may decide that it is in the best interests of the shareholders that we hold an advisory vote on executive compensation more or less frequently than the option preferred by our shareholders. Our board has resolved and currently intends that, should the frequency recommended by our board (1 YEAR) receive a plurality of the votes cast by our shareholders, we will conduct future advisory votes on executive compensation annually.</w:t>
      </w:r>
    </w:p>
    <w:p>
      <w:pPr>
        <w:spacing w:after="0" w:line="172" w:lineRule="exact"/>
        <w:rPr>
          <w:sz w:val="20"/>
          <w:szCs w:val="20"/>
          <w:color w:val="auto"/>
        </w:rPr>
      </w:pPr>
    </w:p>
    <w:p>
      <w:pPr>
        <w:jc w:val="center"/>
        <w:spacing w:after="0" w:line="347" w:lineRule="auto"/>
        <w:rPr>
          <w:sz w:val="20"/>
          <w:szCs w:val="20"/>
          <w:color w:val="auto"/>
        </w:rPr>
      </w:pPr>
      <w:r>
        <w:rPr>
          <w:rFonts w:ascii="Arial" w:cs="Arial" w:eastAsia="Arial" w:hAnsi="Arial"/>
          <w:sz w:val="16"/>
          <w:szCs w:val="16"/>
          <w:b w:val="1"/>
          <w:bCs w:val="1"/>
          <w:i w:val="1"/>
          <w:iCs w:val="1"/>
          <w:color w:val="auto"/>
        </w:rPr>
        <w:t>Our board recommends a vote for the frequency option of every “1 YEAR” on Proposal 4 as the preferred frequency for the advisory vote on executive compensation.</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97</w:t>
            </w:r>
          </w:p>
        </w:tc>
      </w:tr>
      <w:tr>
        <w:trPr>
          <w:trHeight w:val="407"/>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101" w:name="page102"/>
    <w:bookmarkEnd w:id="101"/>
    <w:p>
      <w:pPr>
        <w:spacing w:after="0"/>
        <w:rPr>
          <w:sz w:val="20"/>
          <w:szCs w:val="20"/>
          <w:color w:val="auto"/>
        </w:rPr>
      </w:pPr>
      <w:r>
        <w:rPr>
          <w:rFonts w:ascii="Arial" w:cs="Arial" w:eastAsia="Arial" w:hAnsi="Arial"/>
          <w:sz w:val="32"/>
          <w:szCs w:val="32"/>
          <w:b w:val="1"/>
          <w:bCs w:val="1"/>
          <w:color w:val="852166"/>
        </w:rPr>
        <w:t>PROPOSAL 5</w:t>
      </w:r>
    </w:p>
    <w:p>
      <w:pPr>
        <w:spacing w:after="0" w:line="186" w:lineRule="exact"/>
        <w:rPr>
          <w:sz w:val="20"/>
          <w:szCs w:val="20"/>
          <w:color w:val="auto"/>
        </w:rPr>
      </w:pPr>
    </w:p>
    <w:p>
      <w:pPr>
        <w:ind w:right="600"/>
        <w:spacing w:after="0" w:line="298" w:lineRule="auto"/>
        <w:rPr>
          <w:sz w:val="20"/>
          <w:szCs w:val="20"/>
          <w:color w:val="auto"/>
        </w:rPr>
      </w:pPr>
      <w:r>
        <w:rPr>
          <w:rFonts w:ascii="Arial" w:cs="Arial" w:eastAsia="Arial" w:hAnsi="Arial"/>
          <w:sz w:val="32"/>
          <w:szCs w:val="32"/>
          <w:b w:val="1"/>
          <w:bCs w:val="1"/>
          <w:color w:val="852166"/>
        </w:rPr>
        <w:t>BOARD AUTHORITY TO ISSUE SHARES FOR CASH WITHOUT FIRST OFFERING SHARES TO EXISTING SHAREHOLDERS</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Background</w:t>
      </w:r>
    </w:p>
    <w:p>
      <w:pPr>
        <w:spacing w:after="0" w:line="144"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As a matter of Irish law, when an Irish public limited company issues shares for cash (including rights to subscribe for, convert into or otherwise acquire any shares), unless otherwise authorized by shareholders, it is required first to offer those shares on the same or more favorable terms to our existing shareholders on a pro-rata basis (commonly referred to as the pre-emption right). Under Irish law, the authority to opt-out of the pre-emption right, which we call the pre-emption opt-out authority, can be granted by shareholders covering up to the maximum of a company’s authorized but unissued ordinary share capital for a maximum period of five years, at which point it lapses unless renewed by shareholders.</w:t>
      </w:r>
    </w:p>
    <w:p>
      <w:pPr>
        <w:spacing w:after="0" w:line="7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At our 2023 annual general meeting, or 2023 AGM, our shareholders approved our board’s authority to opt out of the pre-emption rights provision in the event of an issuance of shares for cash, up to the amount of 20% of our issued ordinary share capital in the aggregate, for a period of 18 months from the date of the 2023 AGM. Accordingly, our current pre-emption opt-out authority will expire on February 3, 2025, unless otherwise varied, renewed or revoked. The statutory pre-emption rights do not apply where shares are issued for non-cash consideration or pursuant to employee equity plans.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Renewal Request</w:t>
      </w:r>
    </w:p>
    <w:p>
      <w:pPr>
        <w:spacing w:after="0" w:line="144" w:lineRule="exact"/>
        <w:rPr>
          <w:sz w:val="20"/>
          <w:szCs w:val="20"/>
          <w:color w:val="auto"/>
        </w:rPr>
      </w:pPr>
    </w:p>
    <w:p>
      <w:pPr>
        <w:ind w:right="260"/>
        <w:spacing w:after="0" w:line="310" w:lineRule="auto"/>
        <w:rPr>
          <w:sz w:val="20"/>
          <w:szCs w:val="20"/>
          <w:color w:val="auto"/>
        </w:rPr>
      </w:pPr>
      <w:r>
        <w:rPr>
          <w:rFonts w:ascii="Arial" w:cs="Arial" w:eastAsia="Arial" w:hAnsi="Arial"/>
          <w:sz w:val="16"/>
          <w:szCs w:val="16"/>
          <w:color w:val="auto"/>
        </w:rPr>
        <w:t>Pursuant to this Proposal 5, we are seeking a renewal of our existing authority to opt out of the pre-emption rights provision in the event of an issuance of ordinary shares for cash, if the issuances are limited to up to 20% of our issued ordinary share capital in the aggregate, for a period expiring on the date being 18 months from the passing of the below resolution, unless otherwise varied, renewed or revoked.</w:t>
      </w:r>
    </w:p>
    <w:p>
      <w:pPr>
        <w:spacing w:after="0" w:line="70" w:lineRule="exact"/>
        <w:rPr>
          <w:sz w:val="20"/>
          <w:szCs w:val="20"/>
          <w:color w:val="auto"/>
        </w:rPr>
      </w:pPr>
    </w:p>
    <w:p>
      <w:pPr>
        <w:ind w:right="300"/>
        <w:spacing w:after="0" w:line="339" w:lineRule="auto"/>
        <w:rPr>
          <w:sz w:val="20"/>
          <w:szCs w:val="20"/>
          <w:color w:val="auto"/>
        </w:rPr>
      </w:pPr>
      <w:r>
        <w:rPr>
          <w:rFonts w:ascii="Arial" w:cs="Arial" w:eastAsia="Arial" w:hAnsi="Arial"/>
          <w:sz w:val="16"/>
          <w:szCs w:val="16"/>
          <w:color w:val="auto"/>
        </w:rPr>
        <w:t>Accordingly, Proposal 5 is much more limited than Irish law maximally allows for in terms of both amount and duration as it relates to pre-emption opt-out authorities. We expect to next propose renewal of our board’s pre-emption opt-out authority at our 2025 annual meeting.</w:t>
      </w:r>
    </w:p>
    <w:p>
      <w:pPr>
        <w:spacing w:after="0" w:line="47"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We are not asking you to approve an increase in our authorized share capital or to approve a specific issuance of shares. Rather, approval of this Proposal 5 will simply provide our board with certain continued flexibility to issue shares (subject to our board’s authority to allot and issue such shares approved by shareholders at our 2021 annual general meeting of shareholders) that are already within our authorized share capital for cash on a non-pre-emptive basis, in accordance with the terms described herein, to advance our business and drive shareholder value, including, if applicable, in connection with potential capital-raising and corporate development transactions.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Why Our Shareholders Should Approve this Proposal 5</w:t>
      </w:r>
    </w:p>
    <w:p>
      <w:pPr>
        <w:spacing w:after="0" w:line="131"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Granting our board the pre-emption opt-out authority on the terms set forth in this Proposal 5 is vital to the way we intend to advance our business. In this regard, our strategy for growth is rooted in executing commercial launches and ongoing commercialization initiatives; advancing robust research and development programs and delivering impactful clinical results; effectively deploying capital to strengthen the prospects of achieving our short- and long-term goals through strategic corporate development; and delivering strong financial performance. In January 2022, we announced our Vision 2025, which aims to deliver sustainable growth and enhanced value, driving our continued transformation to an innovative, high-growth global pharmaceutical leader. The three core components of our Vision 2025 focus on commercial execution, pipeline productivity and operational excellence. In this regard, strategic capital allocation will continue to be an important driver of our growth, including investing in our current pipeline and facilitating our ability to continue corporate development.</w:t>
      </w:r>
    </w:p>
    <w:p>
      <w:pPr>
        <w:spacing w:after="0" w:line="291" w:lineRule="exact"/>
        <w:rPr>
          <w:sz w:val="20"/>
          <w:szCs w:val="20"/>
          <w:color w:val="auto"/>
        </w:rPr>
      </w:pPr>
    </w:p>
    <w:p>
      <w:pPr>
        <w:ind w:right="180"/>
        <w:spacing w:after="0" w:line="319" w:lineRule="auto"/>
        <w:rPr>
          <w:sz w:val="20"/>
          <w:szCs w:val="20"/>
          <w:color w:val="auto"/>
        </w:rPr>
      </w:pPr>
      <w:r>
        <w:rPr>
          <w:rFonts w:ascii="Arial" w:cs="Arial" w:eastAsia="Arial" w:hAnsi="Arial"/>
          <w:sz w:val="16"/>
          <w:szCs w:val="16"/>
          <w:color w:val="auto"/>
        </w:rPr>
        <w:t>Our strategy for growth depends in part on our ability to quickly take advantage of strategic opportunities, including potential acquisitions and other capital-intensive transactions that we believe would increase shareholder value. Many of these opportunities are highly competitive, with multiple parties often offering comparable or even the same economics.</w:t>
      </w:r>
    </w:p>
    <w:p>
      <w:pPr>
        <w:spacing w:after="0" w:line="200" w:lineRule="exact"/>
        <w:rPr>
          <w:sz w:val="20"/>
          <w:szCs w:val="20"/>
          <w:color w:val="auto"/>
        </w:rPr>
      </w:pPr>
    </w:p>
    <w:p>
      <w:pPr>
        <w:spacing w:after="0" w:line="354"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98</w:t>
      </w:r>
      <w:r>
        <w:rPr>
          <w:sz w:val="20"/>
          <w:szCs w:val="20"/>
          <w:color w:val="auto"/>
        </w:rPr>
        <w:tab/>
      </w:r>
      <w:r>
        <w:rPr>
          <w:rFonts w:ascii="Arial" w:cs="Arial" w:eastAsia="Arial" w:hAnsi="Arial"/>
          <w:sz w:val="14"/>
          <w:szCs w:val="14"/>
          <w:color w:val="auto"/>
        </w:rPr>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102" w:name="page103"/>
    <w:bookmarkEnd w:id="102"/>
    <w:p>
      <w:pPr>
        <w:ind w:right="100"/>
        <w:spacing w:after="0" w:line="299" w:lineRule="auto"/>
        <w:rPr>
          <w:sz w:val="20"/>
          <w:szCs w:val="20"/>
          <w:color w:val="auto"/>
        </w:rPr>
      </w:pPr>
      <w:r>
        <w:rPr>
          <w:rFonts w:ascii="Arial" w:cs="Arial" w:eastAsia="Arial" w:hAnsi="Arial"/>
          <w:sz w:val="16"/>
          <w:szCs w:val="16"/>
          <w:color w:val="auto"/>
        </w:rPr>
        <w:t>If Proposal 5 is not approved, in each case where we propose to issue shares for cash consideration after February 3, 2025 and/or beyond the limits of our current pre-emption opt-out authority, we would first have to offer those shares on the same or more favorable terms to our existing shareholders pro-rata to their existing shareholdings following a specific Irish statutory procedure and timeline in the absence of a new shareholder approval to dis-apply the pre-emption rights provision to the issuance of those shares. This could put us at a distinct disadvantage vis-à-vis many of our peers in competing for acquisitions and similar transactions (particularly since many of the companies with which we compete strategically are listed and incorporated in the U.S. and are not subject to similar pre-emption right restrictions), and might make it difficult for us to complete such transactions in a timely manner or at all, thus potentially limiting our ability to further our strategy for growth by deploying capital to meet strategic goals that are in the best interests of our shareholders. Furthermore, we note that this pre-emption opt-out authorization is required as a matter of Irish law and is not otherwise required for U.S.-incorporated companies listed on Nasdaq or NYSE. And importantly, Jazz remains, like all U.S.-incorporated companies listed on Nasdaq, subject to compliance with Nasdaq listing rules, including the Nasdaq shareholder approval requirements related to equity issuances.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Supermajority Vote Standard; Special Resolution</w:t>
      </w:r>
    </w:p>
    <w:p>
      <w:pPr>
        <w:spacing w:after="0" w:line="13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As required under Irish law, Proposal 5 is a special resolution that requires the affirmative vote of at least 75% of the votes cast in person or by proxy at the AGM (including any adjournment thereof) in order to be approved. If Proposal 5 is approved, our current pre-emption opt-out authority approved at the 2023 AGM will be revoked effective upon the passing of the resolution set out below. If Proposal 5 is not approved, our current pre-emption opt-out authority approved at the 2023 AGM will continue to apply until February 3, 2025 unless otherwise varied, renewed or revoked following the AGM.</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Our board is asking our shareholders to vote “FOR” the following special resolution:</w:t>
      </w:r>
    </w:p>
    <w:p>
      <w:pPr>
        <w:spacing w:after="0" w:line="14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 the directors be and are hereby empowered pursuant to section 1023 of the Companies Act 2014 of Ireland (the 2014 Act) to allot equity</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(as defined in section 1023 of the 2014 Act) for cash, pursuant to the authority conferred by shareholders at Jazz Pharmaceuticals’ annual general meeting on July 29, 2021 in accordance with section 1021 of the 2014 Act, as if sub-section (1) of section 1022 of the 2014 Act did not apply to any such allotment, provided that this power shall be limited to the allotment of equity securities up to an aggregate nominal value of US$1,263.68 (12,636,816 shares) (being equivalent to approximately 20% of the aggregate nominal value of Jazz Pharmaceuticals’ issued ordinary share capital as at the last practicable date prior to the issue of the notice of this meeting), and the authority conferred by this resolution shall expire 18 months from the passing of this resolution, unless previously renewed, varied or revoked; provided that Jazz Pharmaceuticals may make an offer or agreement before the expiry of this authority, which would or might require any such securities to be allotted after this authority has expired, and in that case, the directors may allot equity securities in pursuance of any such offer or agreement as if the authority conferred hereby had not expired.”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Our board recommends a vote “FOR” Proposal 6.</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7420"/>
              <w:spacing w:after="0"/>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39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3" w:name="page104"/>
    <w:bookmarkEnd w:id="103"/>
    <w:p>
      <w:pPr>
        <w:spacing w:after="0"/>
        <w:rPr>
          <w:sz w:val="20"/>
          <w:szCs w:val="20"/>
          <w:color w:val="auto"/>
        </w:rPr>
      </w:pPr>
      <w:r>
        <w:rPr>
          <w:rFonts w:ascii="Arial" w:cs="Arial" w:eastAsia="Arial" w:hAnsi="Arial"/>
          <w:sz w:val="32"/>
          <w:szCs w:val="32"/>
          <w:b w:val="1"/>
          <w:bCs w:val="1"/>
          <w:color w:val="852166"/>
        </w:rPr>
        <w:t>PROPOSAL 6</w:t>
      </w:r>
    </w:p>
    <w:p>
      <w:pPr>
        <w:spacing w:after="0" w:line="186" w:lineRule="exact"/>
        <w:rPr>
          <w:sz w:val="20"/>
          <w:szCs w:val="20"/>
          <w:color w:val="auto"/>
        </w:rPr>
      </w:pPr>
    </w:p>
    <w:p>
      <w:pPr>
        <w:spacing w:after="0"/>
        <w:rPr>
          <w:sz w:val="20"/>
          <w:szCs w:val="20"/>
          <w:color w:val="auto"/>
        </w:rPr>
      </w:pPr>
      <w:r>
        <w:rPr>
          <w:rFonts w:ascii="Arial" w:cs="Arial" w:eastAsia="Arial" w:hAnsi="Arial"/>
          <w:sz w:val="32"/>
          <w:szCs w:val="32"/>
          <w:b w:val="1"/>
          <w:bCs w:val="1"/>
          <w:color w:val="852166"/>
        </w:rPr>
        <w:t>ADJOURNMENT PROPOSAL</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You are being asked to consider and vote upon an adjournment proposal.</w:t>
      </w:r>
    </w:p>
    <w:p>
      <w:pPr>
        <w:spacing w:after="0" w:line="154"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color w:val="auto"/>
        </w:rPr>
        <w:t>This resolution proposes to approve any motion to adjourn the annual meeting, or any adjournments thereof, to another time and place to solicit additional proxies if there are insufficient votes at the time of the annual meeting to approve Proposal 5.</w:t>
      </w:r>
    </w:p>
    <w:p>
      <w:pPr>
        <w:spacing w:after="0" w:line="4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Proposal 5 is subject to the Irish law super majority voting regime of voting by special resolution, which requires no less than 75% of the votes of shareholders cast (in person or by proxy) at a general meeting to be voted “FOR” the proposal in order to be passed. Given the high vote threshold associated with Proposal 5, we are seeking your authority to adjourn the meeting to solicit additional proxies if there are insufficient votes at the time of the annual meeting to approve Proposal 5.</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Our board is asking our shareholders to vote “FOR” the following ordinary resolution:</w:t>
      </w:r>
    </w:p>
    <w:p>
      <w:pPr>
        <w:spacing w:after="0" w:line="154"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 any motion to adjourn the annual meeting, or any adjournments thereof, to another time and place to solicit additional proxies if there are</w:t>
      </w:r>
      <w:r>
        <w:rPr>
          <w:rFonts w:ascii="Arial" w:cs="Arial" w:eastAsia="Arial" w:hAnsi="Arial"/>
          <w:sz w:val="16"/>
          <w:szCs w:val="16"/>
          <w:b w:val="1"/>
          <w:bCs w:val="1"/>
          <w:color w:val="auto"/>
        </w:rPr>
        <w:t xml:space="preserve"> </w:t>
      </w:r>
      <w:r>
        <w:rPr>
          <w:rFonts w:ascii="Arial" w:cs="Arial" w:eastAsia="Arial" w:hAnsi="Arial"/>
          <w:sz w:val="16"/>
          <w:szCs w:val="16"/>
          <w:color w:val="auto"/>
        </w:rPr>
        <w:t>insufficient votes at the time of the annual meeting to approve Proposal 5 set forth in this proxy statement, be approved.”</w:t>
      </w:r>
    </w:p>
    <w:p>
      <w:pPr>
        <w:spacing w:after="0" w:line="34" w:lineRule="exact"/>
        <w:rPr>
          <w:sz w:val="20"/>
          <w:szCs w:val="20"/>
          <w:color w:val="auto"/>
        </w:rPr>
      </w:pPr>
    </w:p>
    <w:p>
      <w:pPr>
        <w:ind w:right="600"/>
        <w:spacing w:after="0" w:line="339" w:lineRule="auto"/>
        <w:rPr>
          <w:sz w:val="20"/>
          <w:szCs w:val="20"/>
          <w:color w:val="auto"/>
        </w:rPr>
      </w:pPr>
      <w:r>
        <w:rPr>
          <w:rFonts w:ascii="Arial" w:cs="Arial" w:eastAsia="Arial" w:hAnsi="Arial"/>
          <w:sz w:val="16"/>
          <w:szCs w:val="16"/>
          <w:color w:val="auto"/>
        </w:rPr>
        <w:t>Proposal 6 is an ordinary resolution and must receive the affirmative vote of a majority of the votes cast in person or by proxy at the annual meeting (including any adjournment thereof) in order to be approved.</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i w:val="1"/>
          <w:iCs w:val="1"/>
          <w:color w:val="auto"/>
        </w:rPr>
        <w:t>Our board recommends a vote “FOR” Proposal 6.</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100</w:t>
        <w:tab/>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41" w:right="439" w:bottom="1440" w:gutter="0" w:footer="0" w:header="0"/>
        </w:sectPr>
      </w:pPr>
    </w:p>
    <w:bookmarkStart w:id="104" w:name="page105"/>
    <w:bookmarkEnd w:id="104"/>
    <w:p>
      <w:pPr>
        <w:jc w:val="center"/>
        <w:ind w:left="340" w:right="180"/>
        <w:spacing w:after="0" w:line="307" w:lineRule="auto"/>
        <w:rPr>
          <w:sz w:val="20"/>
          <w:szCs w:val="20"/>
          <w:color w:val="auto"/>
        </w:rPr>
      </w:pPr>
      <w:r>
        <w:rPr>
          <w:rFonts w:ascii="Arial" w:cs="Arial" w:eastAsia="Arial" w:hAnsi="Arial"/>
          <w:sz w:val="32"/>
          <w:szCs w:val="32"/>
          <w:b w:val="1"/>
          <w:bCs w:val="1"/>
          <w:color w:val="852166"/>
        </w:rPr>
        <w:t>QUESTIONS AND ANSWERS ABOUT THESE PROXY MATERIALS AND VOTING</w:t>
      </w:r>
    </w:p>
    <w:p>
      <w:pPr>
        <w:spacing w:after="0" w:line="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52166"/>
        </w:rPr>
        <w:t>Q:  Why am I receiving these materials?</w:t>
      </w:r>
    </w:p>
    <w:p>
      <w:pPr>
        <w:spacing w:after="0" w:line="140" w:lineRule="exact"/>
        <w:rPr>
          <w:sz w:val="20"/>
          <w:szCs w:val="20"/>
          <w:color w:val="auto"/>
        </w:rPr>
      </w:pPr>
    </w:p>
    <w:p>
      <w:pPr>
        <w:ind w:left="324" w:right="200" w:hanging="324"/>
        <w:spacing w:after="0" w:line="310" w:lineRule="auto"/>
        <w:tabs>
          <w:tab w:leader="none" w:pos="315" w:val="left"/>
        </w:tabs>
        <w:numPr>
          <w:ilvl w:val="0"/>
          <w:numId w:val="97"/>
        </w:numPr>
        <w:rPr>
          <w:rFonts w:ascii="Arial" w:cs="Arial" w:eastAsia="Arial" w:hAnsi="Arial"/>
          <w:sz w:val="16"/>
          <w:szCs w:val="16"/>
          <w:color w:val="auto"/>
        </w:rPr>
      </w:pPr>
      <w:r>
        <w:rPr>
          <w:rFonts w:ascii="Arial" w:cs="Arial" w:eastAsia="Arial" w:hAnsi="Arial"/>
          <w:sz w:val="16"/>
          <w:szCs w:val="16"/>
          <w:color w:val="auto"/>
        </w:rPr>
        <w:t>Our board is soliciting your proxy to vote at the annual meeting, including at any adjournments or postponements of the annual meeting. This proxy statement contains important information regarding the annual meeting, the proposals on which you are being asked to vote, information you may find useful in determining how to vote and voting procedures.</w:t>
      </w:r>
    </w:p>
    <w:p>
      <w:pPr>
        <w:spacing w:after="0" w:line="5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52166"/>
        </w:rPr>
        <w:t>Q:  Why did I receive a notice in the mail regarding the internet availability of proxy materials instead of a full set of proxy materials?</w:t>
      </w:r>
    </w:p>
    <w:p>
      <w:pPr>
        <w:spacing w:after="0" w:line="140" w:lineRule="exact"/>
        <w:rPr>
          <w:sz w:val="20"/>
          <w:szCs w:val="20"/>
          <w:color w:val="auto"/>
        </w:rPr>
      </w:pPr>
    </w:p>
    <w:p>
      <w:pPr>
        <w:jc w:val="both"/>
        <w:ind w:left="324" w:right="80" w:hanging="324"/>
        <w:spacing w:after="0" w:line="304" w:lineRule="auto"/>
        <w:tabs>
          <w:tab w:leader="none" w:pos="315" w:val="left"/>
        </w:tabs>
        <w:numPr>
          <w:ilvl w:val="0"/>
          <w:numId w:val="98"/>
        </w:numPr>
        <w:rPr>
          <w:rFonts w:ascii="Arial" w:cs="Arial" w:eastAsia="Arial" w:hAnsi="Arial"/>
          <w:sz w:val="16"/>
          <w:szCs w:val="16"/>
          <w:color w:val="auto"/>
        </w:rPr>
      </w:pPr>
      <w:r>
        <w:rPr>
          <w:rFonts w:ascii="Arial" w:cs="Arial" w:eastAsia="Arial" w:hAnsi="Arial"/>
          <w:sz w:val="16"/>
          <w:szCs w:val="16"/>
          <w:color w:val="auto"/>
        </w:rPr>
        <w:t>We are pleased to take advantage of SEC rules that allow companies to furnish their proxy materials over the internet. Most of our shareholders will not receive paper copies of our proxy materials (unless requested), and will instead be sent a Notice of Internet Availability of Proxy Materials, or Notice. All shareholders receiving a Notice will have the ability to access the proxy materials on the website referred to in the Notice and to request a printed set of the proxy materials. Instructions on how to access the proxy materials via the internet or to request a printed set of the proxy materials may be found in the Notice.</w:t>
      </w:r>
    </w:p>
    <w:p>
      <w:pPr>
        <w:spacing w:after="0" w:line="6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52166"/>
        </w:rPr>
        <w:t>Q:  Why did I receive a full set of proxy materials in the mail instead of a notice regarding the internet availability of proxy materials?</w:t>
      </w:r>
    </w:p>
    <w:p>
      <w:pPr>
        <w:spacing w:after="0" w:line="127" w:lineRule="exact"/>
        <w:rPr>
          <w:sz w:val="20"/>
          <w:szCs w:val="20"/>
          <w:color w:val="auto"/>
        </w:rPr>
      </w:pPr>
    </w:p>
    <w:p>
      <w:pPr>
        <w:ind w:left="324" w:right="120" w:hanging="324"/>
        <w:spacing w:after="0" w:line="339" w:lineRule="auto"/>
        <w:tabs>
          <w:tab w:leader="none" w:pos="315" w:val="left"/>
        </w:tabs>
        <w:numPr>
          <w:ilvl w:val="0"/>
          <w:numId w:val="99"/>
        </w:numPr>
        <w:rPr>
          <w:rFonts w:ascii="Arial" w:cs="Arial" w:eastAsia="Arial" w:hAnsi="Arial"/>
          <w:sz w:val="16"/>
          <w:szCs w:val="16"/>
          <w:color w:val="auto"/>
        </w:rPr>
      </w:pPr>
      <w:r>
        <w:rPr>
          <w:rFonts w:ascii="Arial" w:cs="Arial" w:eastAsia="Arial" w:hAnsi="Arial"/>
          <w:sz w:val="16"/>
          <w:szCs w:val="16"/>
          <w:color w:val="auto"/>
        </w:rPr>
        <w:t>We are providing shareholders who have previously requested a printed set of our proxy materials with paper copies of our proxy materials instead of a Notice.</w:t>
      </w:r>
    </w:p>
    <w:p>
      <w:pPr>
        <w:spacing w:after="0" w:line="3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52166"/>
        </w:rPr>
        <w:t>Q:  What is the annual report included in the proxy materials?</w:t>
      </w:r>
    </w:p>
    <w:p>
      <w:pPr>
        <w:spacing w:after="0" w:line="127" w:lineRule="exact"/>
        <w:rPr>
          <w:sz w:val="20"/>
          <w:szCs w:val="20"/>
          <w:color w:val="auto"/>
        </w:rPr>
      </w:pPr>
    </w:p>
    <w:p>
      <w:pPr>
        <w:ind w:left="324" w:right="440" w:hanging="324"/>
        <w:spacing w:after="0" w:line="339" w:lineRule="auto"/>
        <w:tabs>
          <w:tab w:leader="none" w:pos="31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Under applicable U.S. securities laws, we are required to provide an annual report to security holders along with this proxy statement. We intend to satisfy this annual report requirement by providing the 2023 Annual Report on Form 10-K together with this proxy statement.</w:t>
      </w:r>
    </w:p>
    <w:p>
      <w:pPr>
        <w:spacing w:after="0" w:line="3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52166"/>
        </w:rPr>
        <w:t>Q:  How do I attend the annual meeting?</w:t>
      </w:r>
    </w:p>
    <w:p>
      <w:pPr>
        <w:spacing w:after="0" w:line="127" w:lineRule="exact"/>
        <w:rPr>
          <w:sz w:val="20"/>
          <w:szCs w:val="20"/>
          <w:color w:val="auto"/>
        </w:rPr>
      </w:pPr>
    </w:p>
    <w:p>
      <w:pPr>
        <w:ind w:left="324" w:right="80" w:hanging="324"/>
        <w:spacing w:after="0" w:line="304" w:lineRule="auto"/>
        <w:tabs>
          <w:tab w:leader="none" w:pos="31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annual meeting will be held on Thursday, July 25, 2024, at 9:45 a.m. local time at our corporate headquarters located at Fifth Floor, Waterloo Exchange, Waterloo Road, Dublin 4, Ireland. For directions to attend the annual meeting in person, please contact our Investor Relations department at +353.1.634.3211 (Ireland) or +1.650.496.2717 (United States) or by email at investorinfo@jazzpharmaceuticals.com. Information on how to vote in person at the annual meeting is discussed below. However, you do not need to attend the annual meeting to vote your shares and, as noted in the next question, we strongly recommend that you vote your shares in advance of the meeting as instructed below.</w:t>
      </w:r>
    </w:p>
    <w:p>
      <w:pPr>
        <w:spacing w:after="0" w:line="6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52166"/>
        </w:rPr>
        <w:t>Q:  Who can vote at the annual meeting?</w:t>
      </w:r>
    </w:p>
    <w:p>
      <w:pPr>
        <w:spacing w:after="0" w:line="127" w:lineRule="exact"/>
        <w:rPr>
          <w:sz w:val="20"/>
          <w:szCs w:val="20"/>
          <w:color w:val="auto"/>
        </w:rPr>
      </w:pPr>
    </w:p>
    <w:p>
      <w:pPr>
        <w:ind w:left="324" w:right="480" w:hanging="324"/>
        <w:spacing w:after="0" w:line="339" w:lineRule="auto"/>
        <w:tabs>
          <w:tab w:leader="none" w:pos="31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Only shareholders of record at the close of business on May 29, 2024, the record date for the annual meeting, will be entitled to vote at the annual meeting.</w:t>
      </w:r>
    </w:p>
    <w:p>
      <w:pPr>
        <w:spacing w:after="0" w:line="35" w:lineRule="exact"/>
        <w:rPr>
          <w:rFonts w:ascii="Arial" w:cs="Arial" w:eastAsia="Arial" w:hAnsi="Arial"/>
          <w:sz w:val="16"/>
          <w:szCs w:val="16"/>
          <w:color w:val="auto"/>
        </w:rPr>
      </w:pPr>
    </w:p>
    <w:p>
      <w:pPr>
        <w:ind w:left="324"/>
        <w:spacing w:after="0"/>
        <w:rPr>
          <w:rFonts w:ascii="Arial" w:cs="Arial" w:eastAsia="Arial" w:hAnsi="Arial"/>
          <w:sz w:val="16"/>
          <w:szCs w:val="16"/>
          <w:color w:val="auto"/>
        </w:rPr>
      </w:pPr>
      <w:r>
        <w:rPr>
          <w:rFonts w:ascii="Arial" w:cs="Arial" w:eastAsia="Arial" w:hAnsi="Arial"/>
          <w:sz w:val="16"/>
          <w:szCs w:val="16"/>
          <w:b w:val="1"/>
          <w:bCs w:val="1"/>
          <w:i w:val="1"/>
          <w:iCs w:val="1"/>
          <w:color w:val="auto"/>
        </w:rPr>
        <w:t>Shareholders of Record: Shares registered in your name</w:t>
      </w:r>
    </w:p>
    <w:p>
      <w:pPr>
        <w:spacing w:after="0" w:line="124" w:lineRule="exact"/>
        <w:rPr>
          <w:rFonts w:ascii="Arial" w:cs="Arial" w:eastAsia="Arial" w:hAnsi="Arial"/>
          <w:sz w:val="16"/>
          <w:szCs w:val="16"/>
          <w:color w:val="auto"/>
        </w:rPr>
      </w:pPr>
    </w:p>
    <w:p>
      <w:pPr>
        <w:ind w:left="324" w:right="20"/>
        <w:spacing w:after="0" w:line="312" w:lineRule="auto"/>
        <w:rPr>
          <w:rFonts w:ascii="Arial" w:cs="Arial" w:eastAsia="Arial" w:hAnsi="Arial"/>
          <w:sz w:val="16"/>
          <w:szCs w:val="16"/>
          <w:color w:val="auto"/>
        </w:rPr>
      </w:pPr>
      <w:r>
        <w:rPr>
          <w:rFonts w:ascii="Arial" w:cs="Arial" w:eastAsia="Arial" w:hAnsi="Arial"/>
          <w:sz w:val="16"/>
          <w:szCs w:val="16"/>
          <w:color w:val="auto"/>
        </w:rPr>
        <w:t>If, at the close of business on May 29, 2024, your shares were registered directly in your name with our transfer agent, Computershare Trust Company, N.A., then you are a shareholder of record. As a shareholder of record, you may vote in person at the annual meeting or vote by proxy. Whether or not you plan to attend the annual meeting, we urge you to vote by proxy over the telephone or via the internet as instructed below, or, for those shareholders who receive a paper proxy card in the mail, by mailing a completed proxy card.</w:t>
      </w:r>
    </w:p>
    <w:p>
      <w:pPr>
        <w:spacing w:after="0" w:line="44" w:lineRule="exact"/>
        <w:rPr>
          <w:rFonts w:ascii="Arial" w:cs="Arial" w:eastAsia="Arial" w:hAnsi="Arial"/>
          <w:sz w:val="16"/>
          <w:szCs w:val="16"/>
          <w:color w:val="auto"/>
        </w:rPr>
      </w:pPr>
    </w:p>
    <w:p>
      <w:pPr>
        <w:ind w:left="324"/>
        <w:spacing w:after="0"/>
        <w:rPr>
          <w:rFonts w:ascii="Arial" w:cs="Arial" w:eastAsia="Arial" w:hAnsi="Arial"/>
          <w:sz w:val="16"/>
          <w:szCs w:val="16"/>
          <w:color w:val="auto"/>
        </w:rPr>
      </w:pPr>
      <w:r>
        <w:rPr>
          <w:rFonts w:ascii="Arial" w:cs="Arial" w:eastAsia="Arial" w:hAnsi="Arial"/>
          <w:sz w:val="16"/>
          <w:szCs w:val="16"/>
          <w:b w:val="1"/>
          <w:bCs w:val="1"/>
          <w:i w:val="1"/>
          <w:iCs w:val="1"/>
          <w:color w:val="auto"/>
        </w:rPr>
        <w:t>Beneficial Owners: Shares registered in the name of a broker, bank or other agent</w:t>
      </w:r>
    </w:p>
    <w:p>
      <w:pPr>
        <w:spacing w:after="0" w:line="138" w:lineRule="exact"/>
        <w:rPr>
          <w:rFonts w:ascii="Arial" w:cs="Arial" w:eastAsia="Arial" w:hAnsi="Arial"/>
          <w:sz w:val="16"/>
          <w:szCs w:val="16"/>
          <w:color w:val="auto"/>
        </w:rPr>
      </w:pPr>
    </w:p>
    <w:p>
      <w:pPr>
        <w:ind w:left="324" w:right="40"/>
        <w:spacing w:after="0" w:line="304" w:lineRule="auto"/>
        <w:rPr>
          <w:rFonts w:ascii="Arial" w:cs="Arial" w:eastAsia="Arial" w:hAnsi="Arial"/>
          <w:sz w:val="16"/>
          <w:szCs w:val="16"/>
          <w:color w:val="auto"/>
        </w:rPr>
      </w:pPr>
      <w:r>
        <w:rPr>
          <w:rFonts w:ascii="Arial" w:cs="Arial" w:eastAsia="Arial" w:hAnsi="Arial"/>
          <w:sz w:val="16"/>
          <w:szCs w:val="16"/>
          <w:color w:val="auto"/>
        </w:rPr>
        <w:t>If, at the close of business on May 29, 2024, your shares were held not in your name, but rather in an account at a brokerage firm, bank or other agent, then you are the beneficial owner of shares held in “street name” and a Notice is being sent to you by that broker, bank or other agent. The broker, bank or other agent holding your account is considered to be the shareholder of record for purposes of voting at the annual meeting. As a beneficial owner, you have the right to direct your broker, bank or other agent regarding how to vote the shares in your account as set forth in the voting instructions in the Notice from your broker, bank or other agent. You are also invited to attend the annual meeting. However, since you are not the shareholder of</w:t>
      </w:r>
    </w:p>
    <w:p>
      <w:pPr>
        <w:spacing w:after="0" w:line="200" w:lineRule="exact"/>
        <w:rPr>
          <w:sz w:val="20"/>
          <w:szCs w:val="20"/>
          <w:color w:val="auto"/>
        </w:rPr>
      </w:pPr>
    </w:p>
    <w:p>
      <w:pPr>
        <w:spacing w:after="0" w:line="368"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r>
        <w:rPr>
          <w:rFonts w:ascii="Arial" w:cs="Arial" w:eastAsia="Arial" w:hAnsi="Arial"/>
          <w:sz w:val="14"/>
          <w:szCs w:val="14"/>
          <w:color w:val="auto"/>
        </w:rPr>
        <w:tab/>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259715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4"/>
          </w:cols>
          <w:pgMar w:left="296" w:top="1041" w:right="359" w:bottom="1440" w:gutter="0" w:footer="0" w:header="0"/>
        </w:sectPr>
      </w:pPr>
    </w:p>
    <w:bookmarkStart w:id="105" w:name="page106"/>
    <w:bookmarkEnd w:id="105"/>
    <w:p>
      <w:pPr>
        <w:ind w:left="324"/>
        <w:spacing w:after="0"/>
        <w:rPr>
          <w:sz w:val="20"/>
          <w:szCs w:val="20"/>
          <w:color w:val="auto"/>
        </w:rPr>
      </w:pPr>
      <w:r>
        <w:rPr>
          <w:rFonts w:ascii="Arial" w:cs="Arial" w:eastAsia="Arial" w:hAnsi="Arial"/>
          <w:sz w:val="16"/>
          <w:szCs w:val="16"/>
          <w:color w:val="auto"/>
        </w:rPr>
        <w:t>record, you may not vote your shares in person at the annual meeting unless you request and obtain a valid proxy from your broker, bank or other agent.</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52166"/>
        </w:rPr>
        <w:t>Q:  What am I voting on?</w:t>
      </w:r>
    </w:p>
    <w:p>
      <w:pPr>
        <w:spacing w:after="0" w:line="127" w:lineRule="exact"/>
        <w:rPr>
          <w:sz w:val="20"/>
          <w:szCs w:val="20"/>
          <w:color w:val="auto"/>
        </w:rPr>
      </w:pPr>
    </w:p>
    <w:p>
      <w:pPr>
        <w:ind w:left="324" w:hanging="324"/>
        <w:spacing w:after="0"/>
        <w:tabs>
          <w:tab w:leader="none" w:pos="324"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There are six matters scheduled for a vote at the annual meeting:</w:t>
      </w:r>
    </w:p>
    <w:p>
      <w:pPr>
        <w:spacing w:after="0" w:line="153" w:lineRule="exact"/>
        <w:rPr>
          <w:rFonts w:ascii="Arial" w:cs="Arial" w:eastAsia="Arial" w:hAnsi="Arial"/>
          <w:sz w:val="16"/>
          <w:szCs w:val="16"/>
          <w:color w:val="auto"/>
        </w:rPr>
      </w:pPr>
    </w:p>
    <w:p>
      <w:pPr>
        <w:ind w:left="664" w:hanging="308"/>
        <w:spacing w:after="0"/>
        <w:tabs>
          <w:tab w:leader="none" w:pos="664" w:val="left"/>
        </w:tabs>
        <w:numPr>
          <w:ilvl w:val="1"/>
          <w:numId w:val="103"/>
        </w:numPr>
        <w:rPr>
          <w:rFonts w:ascii="Arial" w:cs="Arial" w:eastAsia="Arial" w:hAnsi="Arial"/>
          <w:sz w:val="16"/>
          <w:szCs w:val="16"/>
          <w:color w:val="auto"/>
        </w:rPr>
      </w:pPr>
      <w:r>
        <w:rPr>
          <w:rFonts w:ascii="Arial" w:cs="Arial" w:eastAsia="Arial" w:hAnsi="Arial"/>
          <w:sz w:val="16"/>
          <w:szCs w:val="16"/>
          <w:color w:val="auto"/>
        </w:rPr>
        <w:t xml:space="preserve">Election by separate resolutions of the four named nominees for director to hold office until the 2027 annual meeting of shareholders </w:t>
      </w:r>
      <w:r>
        <w:rPr>
          <w:rFonts w:ascii="Arial" w:cs="Arial" w:eastAsia="Arial" w:hAnsi="Arial"/>
          <w:sz w:val="16"/>
          <w:szCs w:val="16"/>
          <w:i w:val="1"/>
          <w:iCs w:val="1"/>
          <w:color w:val="auto"/>
        </w:rPr>
        <w:t>(Proposal 1)</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ind w:left="684" w:right="360" w:hanging="328"/>
        <w:spacing w:after="0" w:line="310" w:lineRule="auto"/>
        <w:tabs>
          <w:tab w:leader="none" w:pos="673" w:val="left"/>
        </w:tabs>
        <w:numPr>
          <w:ilvl w:val="1"/>
          <w:numId w:val="103"/>
        </w:numPr>
        <w:rPr>
          <w:rFonts w:ascii="Arial" w:cs="Arial" w:eastAsia="Arial" w:hAnsi="Arial"/>
          <w:sz w:val="16"/>
          <w:szCs w:val="16"/>
          <w:color w:val="auto"/>
        </w:rPr>
      </w:pPr>
      <w:r>
        <w:rPr>
          <w:rFonts w:ascii="Arial" w:cs="Arial" w:eastAsia="Arial" w:hAnsi="Arial"/>
          <w:sz w:val="16"/>
          <w:szCs w:val="16"/>
          <w:color w:val="auto"/>
        </w:rPr>
        <w:t xml:space="preserve">Ratification, on a non-binding advisory basis, of the appointment of KPMG as our independent auditors for the fiscal year ending December 31, 2024 and the authorization, in a binding vote, of our board, acting through our audit committee, to determine the independent auditors’ remuneration </w:t>
      </w:r>
      <w:r>
        <w:rPr>
          <w:rFonts w:ascii="Arial" w:cs="Arial" w:eastAsia="Arial" w:hAnsi="Arial"/>
          <w:sz w:val="16"/>
          <w:szCs w:val="16"/>
          <w:i w:val="1"/>
          <w:iCs w:val="1"/>
          <w:color w:val="auto"/>
        </w:rPr>
        <w:t>(Proposal 2).</w:t>
      </w:r>
    </w:p>
    <w:p>
      <w:pPr>
        <w:spacing w:after="0" w:line="70" w:lineRule="exact"/>
        <w:rPr>
          <w:rFonts w:ascii="Arial" w:cs="Arial" w:eastAsia="Arial" w:hAnsi="Arial"/>
          <w:sz w:val="16"/>
          <w:szCs w:val="16"/>
          <w:color w:val="auto"/>
        </w:rPr>
      </w:pPr>
    </w:p>
    <w:p>
      <w:pPr>
        <w:ind w:left="664" w:hanging="308"/>
        <w:spacing w:after="0"/>
        <w:tabs>
          <w:tab w:leader="none" w:pos="664" w:val="left"/>
        </w:tabs>
        <w:numPr>
          <w:ilvl w:val="1"/>
          <w:numId w:val="103"/>
        </w:numPr>
        <w:rPr>
          <w:rFonts w:ascii="Arial" w:cs="Arial" w:eastAsia="Arial" w:hAnsi="Arial"/>
          <w:sz w:val="16"/>
          <w:szCs w:val="16"/>
          <w:color w:val="auto"/>
        </w:rPr>
      </w:pPr>
      <w:r>
        <w:rPr>
          <w:rFonts w:ascii="Arial" w:cs="Arial" w:eastAsia="Arial" w:hAnsi="Arial"/>
          <w:sz w:val="16"/>
          <w:szCs w:val="16"/>
          <w:color w:val="auto"/>
        </w:rPr>
        <w:t xml:space="preserve">Approval, on a non-binding advisory basis, of the compensation of our NEOs as disclosed in this proxy statement </w:t>
      </w:r>
      <w:r>
        <w:rPr>
          <w:rFonts w:ascii="Arial" w:cs="Arial" w:eastAsia="Arial" w:hAnsi="Arial"/>
          <w:sz w:val="16"/>
          <w:szCs w:val="16"/>
          <w:i w:val="1"/>
          <w:iCs w:val="1"/>
          <w:color w:val="auto"/>
        </w:rPr>
        <w:t>(Proposal 3)</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ind w:left="684" w:right="280" w:hanging="328"/>
        <w:spacing w:after="0" w:line="339" w:lineRule="auto"/>
        <w:tabs>
          <w:tab w:leader="none" w:pos="673" w:val="left"/>
        </w:tabs>
        <w:numPr>
          <w:ilvl w:val="1"/>
          <w:numId w:val="103"/>
        </w:numPr>
        <w:rPr>
          <w:rFonts w:ascii="Arial" w:cs="Arial" w:eastAsia="Arial" w:hAnsi="Arial"/>
          <w:sz w:val="16"/>
          <w:szCs w:val="16"/>
          <w:color w:val="auto"/>
        </w:rPr>
      </w:pPr>
      <w:r>
        <w:rPr>
          <w:rFonts w:ascii="Arial" w:cs="Arial" w:eastAsia="Arial" w:hAnsi="Arial"/>
          <w:sz w:val="16"/>
          <w:szCs w:val="16"/>
          <w:color w:val="auto"/>
        </w:rPr>
        <w:t xml:space="preserve">Indication, on a non-binding advisory basis, of the preferred frequency of the advisory vote on the compensation of our named executive officers </w:t>
      </w:r>
      <w:r>
        <w:rPr>
          <w:rFonts w:ascii="Arial" w:cs="Arial" w:eastAsia="Arial" w:hAnsi="Arial"/>
          <w:sz w:val="16"/>
          <w:szCs w:val="16"/>
          <w:i w:val="1"/>
          <w:iCs w:val="1"/>
          <w:color w:val="auto"/>
        </w:rPr>
        <w:t>(Proposal 4)</w:t>
      </w:r>
      <w:r>
        <w:rPr>
          <w:rFonts w:ascii="Arial" w:cs="Arial" w:eastAsia="Arial" w:hAnsi="Arial"/>
          <w:sz w:val="16"/>
          <w:szCs w:val="16"/>
          <w:color w:val="auto"/>
        </w:rPr>
        <w:t>.</w:t>
      </w:r>
    </w:p>
    <w:p>
      <w:pPr>
        <w:spacing w:after="0" w:line="33" w:lineRule="exact"/>
        <w:rPr>
          <w:rFonts w:ascii="Arial" w:cs="Arial" w:eastAsia="Arial" w:hAnsi="Arial"/>
          <w:sz w:val="16"/>
          <w:szCs w:val="16"/>
          <w:color w:val="auto"/>
        </w:rPr>
      </w:pPr>
    </w:p>
    <w:p>
      <w:pPr>
        <w:ind w:left="684" w:right="420" w:hanging="328"/>
        <w:spacing w:after="0" w:line="339" w:lineRule="auto"/>
        <w:tabs>
          <w:tab w:leader="none" w:pos="673" w:val="left"/>
        </w:tabs>
        <w:numPr>
          <w:ilvl w:val="1"/>
          <w:numId w:val="103"/>
        </w:numPr>
        <w:rPr>
          <w:rFonts w:ascii="Arial" w:cs="Arial" w:eastAsia="Arial" w:hAnsi="Arial"/>
          <w:sz w:val="16"/>
          <w:szCs w:val="16"/>
          <w:color w:val="auto"/>
        </w:rPr>
      </w:pPr>
      <w:r>
        <w:rPr>
          <w:rFonts w:ascii="Arial" w:cs="Arial" w:eastAsia="Arial" w:hAnsi="Arial"/>
          <w:sz w:val="16"/>
          <w:szCs w:val="16"/>
          <w:color w:val="auto"/>
        </w:rPr>
        <w:t xml:space="preserve">Granting to our board authority under Irish law to allot and issue ordinary shares for cash without first offering those ordinary shares to existing shareholders pursuant to the statutory pre-emption right that would otherwise apply </w:t>
      </w:r>
      <w:r>
        <w:rPr>
          <w:rFonts w:ascii="Arial" w:cs="Arial" w:eastAsia="Arial" w:hAnsi="Arial"/>
          <w:sz w:val="16"/>
          <w:szCs w:val="16"/>
          <w:i w:val="1"/>
          <w:iCs w:val="1"/>
          <w:color w:val="auto"/>
        </w:rPr>
        <w:t>(Proposal 5)</w:t>
      </w:r>
      <w:r>
        <w:rPr>
          <w:rFonts w:ascii="Arial" w:cs="Arial" w:eastAsia="Arial" w:hAnsi="Arial"/>
          <w:sz w:val="16"/>
          <w:szCs w:val="16"/>
          <w:color w:val="auto"/>
        </w:rPr>
        <w:t>.</w:t>
      </w:r>
    </w:p>
    <w:p>
      <w:pPr>
        <w:spacing w:after="0" w:line="47" w:lineRule="exact"/>
        <w:rPr>
          <w:rFonts w:ascii="Arial" w:cs="Arial" w:eastAsia="Arial" w:hAnsi="Arial"/>
          <w:sz w:val="16"/>
          <w:szCs w:val="16"/>
          <w:color w:val="auto"/>
        </w:rPr>
      </w:pPr>
    </w:p>
    <w:p>
      <w:pPr>
        <w:ind w:left="684" w:right="240" w:hanging="328"/>
        <w:spacing w:after="0" w:line="339" w:lineRule="auto"/>
        <w:tabs>
          <w:tab w:leader="none" w:pos="673"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Approval of any motion to adjourn the annual meeting, or any adjournments thereof, to another time and place to solicit additional proxies if there are insufficient votes at the time of the annual meeting to approve Proposal 5 (</w:t>
      </w:r>
      <w:r>
        <w:rPr>
          <w:rFonts w:ascii="Arial" w:cs="Arial" w:eastAsia="Arial" w:hAnsi="Arial"/>
          <w:sz w:val="16"/>
          <w:szCs w:val="16"/>
          <w:i w:val="1"/>
          <w:iCs w:val="1"/>
          <w:color w:val="auto"/>
        </w:rPr>
        <w:t>Proposal 6).</w:t>
      </w:r>
    </w:p>
    <w:p>
      <w:pPr>
        <w:spacing w:after="0" w:line="3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52166"/>
        </w:rPr>
        <w:t>Q:  What are the board’s voting recommendations?</w:t>
      </w:r>
    </w:p>
    <w:p>
      <w:pPr>
        <w:spacing w:after="0" w:line="127" w:lineRule="exact"/>
        <w:rPr>
          <w:sz w:val="20"/>
          <w:szCs w:val="20"/>
          <w:color w:val="auto"/>
        </w:rPr>
      </w:pPr>
    </w:p>
    <w:p>
      <w:pPr>
        <w:ind w:left="324" w:right="80" w:hanging="324"/>
        <w:spacing w:after="0" w:line="319" w:lineRule="auto"/>
        <w:tabs>
          <w:tab w:leader="none" w:pos="31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Our board recommends that you vote your shares “FOR” each of the director nominees named in this proxy statement to hold office until the 2027 annual meeting of shareholders, for the frequency option of every “1 YEAR” on the non-binding advisory vote on the preferred frequency of the advisory vote on the compensation of our named executive officers and “FOR” the other four proposals.</w:t>
      </w:r>
    </w:p>
    <w:p>
      <w:pPr>
        <w:spacing w:after="0" w:line="3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52166"/>
        </w:rPr>
        <w:t>Q:  What if another matter is properly brought before the annual meeting?</w:t>
      </w:r>
    </w:p>
    <w:p>
      <w:pPr>
        <w:spacing w:after="0" w:line="140" w:lineRule="exact"/>
        <w:rPr>
          <w:sz w:val="20"/>
          <w:szCs w:val="20"/>
          <w:color w:val="auto"/>
        </w:rPr>
      </w:pPr>
    </w:p>
    <w:p>
      <w:pPr>
        <w:jc w:val="both"/>
        <w:ind w:left="324" w:right="80" w:hanging="324"/>
        <w:spacing w:after="0" w:line="310" w:lineRule="auto"/>
        <w:tabs>
          <w:tab w:leader="none" w:pos="31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Our board knows of no other matters that will be presented for consideration at the annual meeting. If any other matters are properly brought before the annual meeting, it is the intention of the persons named in the accompanying proxy, referred to in this proxy statement as the “proxy holders,” to vote on those matters in accordance with their best judgment.</w:t>
      </w:r>
    </w:p>
    <w:p>
      <w:pPr>
        <w:spacing w:after="0" w:line="5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52166"/>
        </w:rPr>
        <w:t>Q:  How do I vote?</w:t>
      </w:r>
    </w:p>
    <w:p>
      <w:pPr>
        <w:spacing w:after="0" w:line="140" w:lineRule="exact"/>
        <w:rPr>
          <w:sz w:val="20"/>
          <w:szCs w:val="20"/>
          <w:color w:val="auto"/>
        </w:rPr>
      </w:pPr>
    </w:p>
    <w:p>
      <w:pPr>
        <w:ind w:left="324" w:right="240" w:hanging="324"/>
        <w:spacing w:after="0" w:line="306" w:lineRule="auto"/>
        <w:tabs>
          <w:tab w:leader="none" w:pos="31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For the election of directors (Proposal 1), you may vote “FOR” or “AGAINST” each nominee, or you may abstain from voting for all or any of the nominees. For the proposal regarding the preferred frequency of the advisory vote on the compensation of our named executive officers (Proposal 4), you may vote for any of the following options: every “1 YEAR,” “2 YEARS” or “3 YEARS,” or you may abstain from voting. For each of the other four proposals, you may vote “FOR” or “AGAINST” or you may abstain from voting.</w:t>
      </w:r>
    </w:p>
    <w:p>
      <w:pPr>
        <w:spacing w:after="0" w:line="62" w:lineRule="exact"/>
        <w:rPr>
          <w:rFonts w:ascii="Arial" w:cs="Arial" w:eastAsia="Arial" w:hAnsi="Arial"/>
          <w:sz w:val="16"/>
          <w:szCs w:val="16"/>
          <w:color w:val="auto"/>
        </w:rPr>
      </w:pPr>
    </w:p>
    <w:p>
      <w:pPr>
        <w:ind w:left="324"/>
        <w:spacing w:after="0"/>
        <w:rPr>
          <w:rFonts w:ascii="Arial" w:cs="Arial" w:eastAsia="Arial" w:hAnsi="Arial"/>
          <w:sz w:val="16"/>
          <w:szCs w:val="16"/>
          <w:color w:val="auto"/>
        </w:rPr>
      </w:pPr>
      <w:r>
        <w:rPr>
          <w:rFonts w:ascii="Arial" w:cs="Arial" w:eastAsia="Arial" w:hAnsi="Arial"/>
          <w:sz w:val="16"/>
          <w:szCs w:val="16"/>
          <w:b w:val="1"/>
          <w:bCs w:val="1"/>
          <w:i w:val="1"/>
          <w:iCs w:val="1"/>
          <w:color w:val="auto"/>
        </w:rPr>
        <w:t>Shareholders of Record: Shares registered in your name.</w:t>
      </w:r>
    </w:p>
    <w:p>
      <w:pPr>
        <w:spacing w:after="0" w:line="124" w:lineRule="exact"/>
        <w:rPr>
          <w:rFonts w:ascii="Arial" w:cs="Arial" w:eastAsia="Arial" w:hAnsi="Arial"/>
          <w:sz w:val="16"/>
          <w:szCs w:val="16"/>
          <w:color w:val="auto"/>
        </w:rPr>
      </w:pPr>
    </w:p>
    <w:p>
      <w:pPr>
        <w:jc w:val="both"/>
        <w:ind w:left="324"/>
        <w:spacing w:after="0" w:line="310" w:lineRule="auto"/>
        <w:rPr>
          <w:rFonts w:ascii="Arial" w:cs="Arial" w:eastAsia="Arial" w:hAnsi="Arial"/>
          <w:sz w:val="16"/>
          <w:szCs w:val="16"/>
          <w:color w:val="auto"/>
        </w:rPr>
      </w:pPr>
      <w:r>
        <w:rPr>
          <w:rFonts w:ascii="Arial" w:cs="Arial" w:eastAsia="Arial" w:hAnsi="Arial"/>
          <w:sz w:val="16"/>
          <w:szCs w:val="16"/>
          <w:color w:val="auto"/>
        </w:rPr>
        <w:t xml:space="preserve">If you are a shareholder of record, you may vote in person at the annual meeting, you may vote by electronic proxy over the telephone or via the internet as instructed below, or, for those shareholders who receive a paper proxy card in the mail, by mailing a completed proxy card. Whether or not you plan to attend the annual meeting, we urge you to vote by proxy to ensure your vote is counted. You may still attend the annual meeting and vote in person even if you have already voted by proxy. </w:t>
      </w:r>
      <w:r>
        <w:rPr>
          <w:rFonts w:ascii="Arial" w:cs="Arial" w:eastAsia="Arial" w:hAnsi="Arial"/>
          <w:sz w:val="16"/>
          <w:szCs w:val="16"/>
          <w:b w:val="1"/>
          <w:bCs w:val="1"/>
          <w:color w:val="auto"/>
        </w:rPr>
        <w:t>However, as noted above, we recommend that you vote your shares by proxy in advance of the meeting.</w:t>
      </w:r>
    </w:p>
    <w:p>
      <w:pPr>
        <w:spacing w:after="0" w:line="61" w:lineRule="exact"/>
        <w:rPr>
          <w:rFonts w:ascii="Arial" w:cs="Arial" w:eastAsia="Arial" w:hAnsi="Arial"/>
          <w:sz w:val="16"/>
          <w:szCs w:val="16"/>
          <w:color w:val="auto"/>
        </w:rPr>
      </w:pPr>
    </w:p>
    <w:p>
      <w:pPr>
        <w:ind w:left="684" w:right="700" w:hanging="328"/>
        <w:spacing w:after="0" w:line="339" w:lineRule="auto"/>
        <w:tabs>
          <w:tab w:leader="none" w:pos="673" w:val="left"/>
        </w:tabs>
        <w:numPr>
          <w:ilvl w:val="1"/>
          <w:numId w:val="106"/>
        </w:numPr>
        <w:rPr>
          <w:rFonts w:ascii="Arial" w:cs="Arial" w:eastAsia="Arial" w:hAnsi="Arial"/>
          <w:sz w:val="16"/>
          <w:szCs w:val="16"/>
          <w:color w:val="auto"/>
        </w:rPr>
      </w:pPr>
      <w:r>
        <w:rPr>
          <w:rFonts w:ascii="Arial" w:cs="Arial" w:eastAsia="Arial" w:hAnsi="Arial"/>
          <w:sz w:val="16"/>
          <w:szCs w:val="16"/>
          <w:color w:val="auto"/>
        </w:rPr>
        <w:t xml:space="preserve">To vote in person, come to the annual meeting and we will give you a ballot when you arrive. Please bring your admission ticket or proof of ownership, as further discussed under </w:t>
      </w:r>
      <w:r>
        <w:rPr>
          <w:rFonts w:ascii="Arial" w:cs="Arial" w:eastAsia="Arial" w:hAnsi="Arial"/>
          <w:sz w:val="16"/>
          <w:szCs w:val="16"/>
          <w:i w:val="1"/>
          <w:iCs w:val="1"/>
          <w:color w:val="auto"/>
        </w:rPr>
        <w:t>“Do I need a ticket to attend the annual meeting?”</w:t>
      </w:r>
      <w:r>
        <w:rPr>
          <w:rFonts w:ascii="Arial" w:cs="Arial" w:eastAsia="Arial" w:hAnsi="Arial"/>
          <w:sz w:val="16"/>
          <w:szCs w:val="16"/>
          <w:color w:val="auto"/>
        </w:rPr>
        <w:t xml:space="preserve"> below.</w:t>
      </w:r>
    </w:p>
    <w:p>
      <w:pPr>
        <w:spacing w:after="0" w:line="47" w:lineRule="exact"/>
        <w:rPr>
          <w:rFonts w:ascii="Arial" w:cs="Arial" w:eastAsia="Arial" w:hAnsi="Arial"/>
          <w:sz w:val="16"/>
          <w:szCs w:val="16"/>
          <w:color w:val="auto"/>
        </w:rPr>
      </w:pPr>
    </w:p>
    <w:p>
      <w:pPr>
        <w:ind w:left="684" w:right="240" w:hanging="328"/>
        <w:spacing w:after="0" w:line="310" w:lineRule="auto"/>
        <w:tabs>
          <w:tab w:leader="none" w:pos="673"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To vote using a proxy card, simply complete, sign and date the proxy card that was mailed to you and return it promptly in the envelope provided. Proxy cards must be received by July 24, 2024. If you return your signed proxy card before this time, we will forward it to our registered office electronically in accordance with Irish law and we will vote your shares as you direct.</w:t>
      </w:r>
    </w:p>
    <w:p>
      <w:pPr>
        <w:spacing w:after="0" w:line="200" w:lineRule="exact"/>
        <w:rPr>
          <w:sz w:val="20"/>
          <w:szCs w:val="20"/>
          <w:color w:val="auto"/>
        </w:rPr>
      </w:pPr>
    </w:p>
    <w:p>
      <w:pPr>
        <w:spacing w:after="0" w:line="374" w:lineRule="exact"/>
        <w:rPr>
          <w:sz w:val="20"/>
          <w:szCs w:val="20"/>
          <w:color w:val="auto"/>
        </w:rPr>
      </w:pPr>
    </w:p>
    <w:p>
      <w:pPr>
        <w:ind w:left="44"/>
        <w:spacing w:after="0"/>
        <w:tabs>
          <w:tab w:leader="none" w:pos="464" w:val="left"/>
        </w:tabs>
        <w:rPr>
          <w:sz w:val="20"/>
          <w:szCs w:val="20"/>
          <w:color w:val="auto"/>
        </w:rPr>
      </w:pPr>
      <w:r>
        <w:rPr>
          <w:rFonts w:ascii="Arial" w:cs="Arial" w:eastAsia="Arial" w:hAnsi="Arial"/>
          <w:sz w:val="14"/>
          <w:szCs w:val="14"/>
          <w:color w:val="auto"/>
        </w:rPr>
        <w:t>102</w:t>
        <w:tab/>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250825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4"/>
          </w:cols>
          <w:pgMar w:left="296" w:top="1070" w:right="339" w:bottom="1440" w:gutter="0" w:footer="0" w:header="0"/>
        </w:sectPr>
      </w:pPr>
    </w:p>
    <w:bookmarkStart w:id="106" w:name="page107"/>
    <w:bookmarkEnd w:id="106"/>
    <w:p>
      <w:pPr>
        <w:jc w:val="both"/>
        <w:ind w:left="684" w:right="180" w:hanging="328"/>
        <w:spacing w:after="0" w:line="310" w:lineRule="auto"/>
        <w:tabs>
          <w:tab w:leader="none" w:pos="67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To vote by telephone, dial toll-free +1.800.690.6903 within the United States, U.S. territories and Canada using a touch-tone phone and follow the recorded instructions to submit an electronic proxy card. You will be asked to provide our company number and control number from the enclosed proxy card. Your vote must be received by 11:59 p.m., U.S. Eastern Time, on July 24, 2024 to be counted.</w:t>
      </w:r>
    </w:p>
    <w:p>
      <w:pPr>
        <w:spacing w:after="0" w:line="70" w:lineRule="exact"/>
        <w:rPr>
          <w:rFonts w:ascii="Arial" w:cs="Arial" w:eastAsia="Arial" w:hAnsi="Arial"/>
          <w:sz w:val="16"/>
          <w:szCs w:val="16"/>
          <w:color w:val="auto"/>
        </w:rPr>
      </w:pPr>
    </w:p>
    <w:p>
      <w:pPr>
        <w:ind w:left="684" w:right="400" w:hanging="328"/>
        <w:spacing w:after="0" w:line="339" w:lineRule="auto"/>
        <w:tabs>
          <w:tab w:leader="none" w:pos="67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To vote via the internet, go to www.proxyvote.com to complete an electronic proxy card. You will be asked to provide our company number and control number from the enclosed proxy card. Your vote must be received by 11:59 p.m., U.S. Eastern Time, on July 24, 2024 to be counted.</w:t>
      </w:r>
    </w:p>
    <w:p>
      <w:pPr>
        <w:spacing w:after="0" w:line="49" w:lineRule="exact"/>
        <w:rPr>
          <w:sz w:val="20"/>
          <w:szCs w:val="20"/>
          <w:color w:val="auto"/>
        </w:rPr>
      </w:pPr>
    </w:p>
    <w:p>
      <w:pPr>
        <w:ind w:left="324"/>
        <w:spacing w:after="0"/>
        <w:rPr>
          <w:sz w:val="20"/>
          <w:szCs w:val="20"/>
          <w:color w:val="auto"/>
        </w:rPr>
      </w:pPr>
      <w:r>
        <w:rPr>
          <w:rFonts w:ascii="Arial" w:cs="Arial" w:eastAsia="Arial" w:hAnsi="Arial"/>
          <w:sz w:val="16"/>
          <w:szCs w:val="16"/>
          <w:b w:val="1"/>
          <w:bCs w:val="1"/>
          <w:i w:val="1"/>
          <w:iCs w:val="1"/>
          <w:color w:val="auto"/>
        </w:rPr>
        <w:t>Beneficial Owners: Shares registered in the name of a broker, bank or other agent.</w:t>
      </w:r>
    </w:p>
    <w:p>
      <w:pPr>
        <w:spacing w:after="0" w:line="152" w:lineRule="exact"/>
        <w:rPr>
          <w:sz w:val="20"/>
          <w:szCs w:val="20"/>
          <w:color w:val="auto"/>
        </w:rPr>
      </w:pPr>
    </w:p>
    <w:p>
      <w:pPr>
        <w:ind w:left="324" w:right="40"/>
        <w:spacing w:after="0" w:line="304" w:lineRule="auto"/>
        <w:rPr>
          <w:sz w:val="20"/>
          <w:szCs w:val="20"/>
          <w:color w:val="auto"/>
        </w:rPr>
      </w:pPr>
      <w:r>
        <w:rPr>
          <w:rFonts w:ascii="Arial" w:cs="Arial" w:eastAsia="Arial" w:hAnsi="Arial"/>
          <w:sz w:val="16"/>
          <w:szCs w:val="16"/>
          <w:color w:val="auto"/>
        </w:rPr>
        <w:t>If you are a beneficial owner of shares registered in the name of your broker, bank or other agent, you should have received a Notice or the full set of proxy materials containing voting instructions from that broker, bank or other agent rather than from us. Simply follow the voting instructions in the Notice or the full set of proxy materials to ensure that your vote is counted. Alternatively, you may vote by telephone or via the internet as instructed by your broker, bank or other agent. To vote in person at the annual meeting, you must request and obtain a valid proxy from your broker, bank, or other agent. Follow the voting instructions from your broker, bank or other agent, or contact your broker, bank or other agent to request a proxy form.</w:t>
      </w:r>
    </w:p>
    <w:p>
      <w:pPr>
        <w:spacing w:after="0" w:line="77" w:lineRule="exact"/>
        <w:rPr>
          <w:sz w:val="20"/>
          <w:szCs w:val="20"/>
          <w:color w:val="auto"/>
        </w:rPr>
      </w:pPr>
    </w:p>
    <w:p>
      <w:pPr>
        <w:ind w:left="324" w:right="300"/>
        <w:spacing w:after="0" w:line="315" w:lineRule="auto"/>
        <w:rPr>
          <w:sz w:val="20"/>
          <w:szCs w:val="20"/>
          <w:color w:val="auto"/>
        </w:rPr>
      </w:pPr>
      <w:r>
        <w:rPr>
          <w:rFonts w:ascii="Arial" w:cs="Arial" w:eastAsia="Arial" w:hAnsi="Arial"/>
          <w:sz w:val="16"/>
          <w:szCs w:val="16"/>
          <w:b w:val="1"/>
          <w:bCs w:val="1"/>
          <w:color w:val="auto"/>
        </w:rPr>
        <w:t>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4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52166"/>
        </w:rPr>
        <w:t>Q:  How many votes do I have?</w:t>
      </w:r>
    </w:p>
    <w:p>
      <w:pPr>
        <w:spacing w:after="0" w:line="127" w:lineRule="exact"/>
        <w:rPr>
          <w:sz w:val="20"/>
          <w:szCs w:val="20"/>
          <w:color w:val="auto"/>
        </w:rPr>
      </w:pPr>
    </w:p>
    <w:p>
      <w:pPr>
        <w:ind w:left="4"/>
        <w:spacing w:after="0"/>
        <w:tabs>
          <w:tab w:leader="none" w:pos="304" w:val="left"/>
        </w:tabs>
        <w:rPr>
          <w:sz w:val="20"/>
          <w:szCs w:val="20"/>
          <w:color w:val="auto"/>
        </w:rPr>
      </w:pPr>
      <w:r>
        <w:rPr>
          <w:rFonts w:ascii="Arial" w:cs="Arial" w:eastAsia="Arial" w:hAnsi="Arial"/>
          <w:sz w:val="16"/>
          <w:szCs w:val="16"/>
          <w:color w:val="auto"/>
        </w:rPr>
        <w:t>A:</w:t>
        <w:tab/>
        <w:t>On each matter to be voted upon, you have one vote for each ordinary share you owned as of the close of business on May 29, 2024.</w:t>
      </w:r>
    </w:p>
    <w:p>
      <w:pPr>
        <w:spacing w:after="0" w:line="140" w:lineRule="exact"/>
        <w:rPr>
          <w:sz w:val="20"/>
          <w:szCs w:val="20"/>
          <w:color w:val="auto"/>
        </w:rPr>
      </w:pPr>
    </w:p>
    <w:p>
      <w:pPr>
        <w:ind w:left="324" w:right="140" w:hanging="324"/>
        <w:spacing w:after="0" w:line="314" w:lineRule="auto"/>
        <w:tabs>
          <w:tab w:leader="none" w:pos="315" w:val="left"/>
        </w:tabs>
        <w:numPr>
          <w:ilvl w:val="0"/>
          <w:numId w:val="108"/>
        </w:numPr>
        <w:rPr>
          <w:rFonts w:ascii="Arial" w:cs="Arial" w:eastAsia="Arial" w:hAnsi="Arial"/>
          <w:sz w:val="16"/>
          <w:szCs w:val="16"/>
          <w:b w:val="1"/>
          <w:bCs w:val="1"/>
          <w:color w:val="852166"/>
        </w:rPr>
      </w:pPr>
      <w:r>
        <w:rPr>
          <w:rFonts w:ascii="Arial" w:cs="Arial" w:eastAsia="Arial" w:hAnsi="Arial"/>
          <w:sz w:val="16"/>
          <w:szCs w:val="16"/>
          <w:b w:val="1"/>
          <w:bCs w:val="1"/>
          <w:color w:val="852166"/>
        </w:rPr>
        <w:t>If I am a shareholder of record and I do not vote, or if I return a proxy card or otherwise vote without giving specific voting instructions, what happens?</w:t>
      </w:r>
    </w:p>
    <w:p>
      <w:pPr>
        <w:spacing w:after="0" w:line="32" w:lineRule="exact"/>
        <w:rPr>
          <w:sz w:val="20"/>
          <w:szCs w:val="20"/>
          <w:color w:val="auto"/>
        </w:rPr>
      </w:pPr>
    </w:p>
    <w:p>
      <w:pPr>
        <w:ind w:left="324" w:right="80" w:hanging="324"/>
        <w:spacing w:after="0" w:line="339" w:lineRule="auto"/>
        <w:tabs>
          <w:tab w:leader="none" w:pos="31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If you are a shareholder of record and you do not vote by completing your proxy card, vote by proxy via the internet or by telephone, or vote in person at the annual meeting, your shares will not be voted.</w:t>
      </w:r>
    </w:p>
    <w:p>
      <w:pPr>
        <w:spacing w:after="0" w:line="47" w:lineRule="exact"/>
        <w:rPr>
          <w:rFonts w:ascii="Arial" w:cs="Arial" w:eastAsia="Arial" w:hAnsi="Arial"/>
          <w:sz w:val="16"/>
          <w:szCs w:val="16"/>
          <w:color w:val="auto"/>
        </w:rPr>
      </w:pPr>
    </w:p>
    <w:p>
      <w:pPr>
        <w:ind w:left="324" w:right="20"/>
        <w:spacing w:after="0" w:line="304" w:lineRule="auto"/>
        <w:rPr>
          <w:rFonts w:ascii="Arial" w:cs="Arial" w:eastAsia="Arial" w:hAnsi="Arial"/>
          <w:sz w:val="16"/>
          <w:szCs w:val="16"/>
          <w:color w:val="auto"/>
        </w:rPr>
      </w:pPr>
      <w:r>
        <w:rPr>
          <w:rFonts w:ascii="Arial" w:cs="Arial" w:eastAsia="Arial" w:hAnsi="Arial"/>
          <w:sz w:val="16"/>
          <w:szCs w:val="16"/>
          <w:color w:val="auto"/>
        </w:rPr>
        <w:t xml:space="preserve">If you are a shareholder of record and you do not specify your vote on each proposal individually when voting by proxy via the internet or by telephone, or if you sign and return a proxy card without giving specific voting instructions, then the proxy holders will vote your shares in the manner recommended by our board on all matters presented in this proxy statement and as the proxy holders may determine in their discretion with respect to any other matters properly presented for a vote at the annual meeting. The voting recommendations of our board are set forth under </w:t>
      </w:r>
      <w:r>
        <w:rPr>
          <w:rFonts w:ascii="Arial" w:cs="Arial" w:eastAsia="Arial" w:hAnsi="Arial"/>
          <w:sz w:val="16"/>
          <w:szCs w:val="16"/>
          <w:i w:val="1"/>
          <w:iCs w:val="1"/>
          <w:color w:val="auto"/>
        </w:rPr>
        <w:t>“What are the board’s voting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recommendations?” </w:t>
      </w:r>
      <w:r>
        <w:rPr>
          <w:rFonts w:ascii="Arial" w:cs="Arial" w:eastAsia="Arial" w:hAnsi="Arial"/>
          <w:sz w:val="16"/>
          <w:szCs w:val="16"/>
          <w:color w:val="auto"/>
        </w:rPr>
        <w:t>above.</w:t>
      </w:r>
    </w:p>
    <w:p>
      <w:pPr>
        <w:spacing w:after="0" w:line="6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52166"/>
        </w:rPr>
        <w:t>Q:  If I am a beneficial owner of shares held in street name and I do not provide my broker or bank with voting instructions, what happens?</w:t>
      </w:r>
    </w:p>
    <w:p>
      <w:pPr>
        <w:spacing w:after="0" w:line="127" w:lineRule="exact"/>
        <w:rPr>
          <w:sz w:val="20"/>
          <w:szCs w:val="20"/>
          <w:color w:val="auto"/>
        </w:rPr>
      </w:pPr>
    </w:p>
    <w:p>
      <w:pPr>
        <w:ind w:left="324" w:hanging="324"/>
        <w:spacing w:after="0" w:line="300" w:lineRule="auto"/>
        <w:tabs>
          <w:tab w:leader="none" w:pos="31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If you are a beneficial owner of shares held in street name and you do not instruct your broker, bank or other agent how to vote your shares, your broker, bank or other agent may still be able to vote your shares in its discretion. In this regard, under the rules of the New York Stock Exchange (NYSE), brokers, banks and other securities intermediaries that are subject to NYSE rules may use their discretion to vote your “uninstructed” shares with respect to matters considered to be “routine” under NYSE rules, but not with respect to “non-routine” matters. In this regard, we have been advised by the NYSE that Proposals 1, 3 and 4 are considered to be “non-routine” under NYSE rules meaning that your broker may not vote your shares on those proposals in the absence of your voting instructions. We have also been advised by the NYSE that Proposals 2, 5 and 6 are considered to be “routine” matters under NYSE rules meaning that if you do not return voting instructions to your broker by its deadline, your shares may be voted by your broker in its discretion on Proposals 2, 5 and 6.</w:t>
      </w:r>
    </w:p>
    <w:p>
      <w:pPr>
        <w:spacing w:after="0" w:line="79" w:lineRule="exact"/>
        <w:rPr>
          <w:rFonts w:ascii="Arial" w:cs="Arial" w:eastAsia="Arial" w:hAnsi="Arial"/>
          <w:sz w:val="16"/>
          <w:szCs w:val="16"/>
          <w:color w:val="auto"/>
        </w:rPr>
      </w:pPr>
    </w:p>
    <w:p>
      <w:pPr>
        <w:ind w:left="324" w:right="180"/>
        <w:spacing w:after="0" w:line="323" w:lineRule="auto"/>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If you are a beneficial owner of shares held in street name, in order to ensure your shares are voted in the way you would prefer, you </w:t>
      </w:r>
      <w:r>
        <w:rPr>
          <w:rFonts w:ascii="Arial" w:cs="Arial" w:eastAsia="Arial" w:hAnsi="Arial"/>
          <w:sz w:val="16"/>
          <w:szCs w:val="16"/>
          <w:b w:val="1"/>
          <w:bCs w:val="1"/>
          <w:i w:val="1"/>
          <w:iCs w:val="1"/>
          <w:u w:val="single" w:color="auto"/>
          <w:color w:val="auto"/>
        </w:rPr>
        <w:t>must</w:t>
      </w:r>
      <w:r>
        <w:rPr>
          <w:rFonts w:ascii="Arial" w:cs="Arial" w:eastAsia="Arial" w:hAnsi="Arial"/>
          <w:sz w:val="16"/>
          <w:szCs w:val="16"/>
          <w:b w:val="1"/>
          <w:bCs w:val="1"/>
          <w:i w:val="1"/>
          <w:iCs w:val="1"/>
          <w:color w:val="auto"/>
        </w:rPr>
        <w:t xml:space="preserve"> provide voting instructions to your broker, bank or other agent by the deadline provided in the materials you receive from your broker, bank or other agent.</w:t>
      </w:r>
    </w:p>
    <w:p>
      <w:pPr>
        <w:spacing w:after="0" w:line="200" w:lineRule="exact"/>
        <w:rPr>
          <w:sz w:val="20"/>
          <w:szCs w:val="20"/>
          <w:color w:val="auto"/>
        </w:rPr>
      </w:pPr>
    </w:p>
    <w:p>
      <w:pPr>
        <w:spacing w:after="0" w:line="343" w:lineRule="exact"/>
        <w:rPr>
          <w:sz w:val="20"/>
          <w:szCs w:val="20"/>
          <w:color w:val="auto"/>
        </w:rPr>
      </w:pPr>
    </w:p>
    <w:p>
      <w:pPr>
        <w:ind w:left="7444"/>
        <w:spacing w:after="0"/>
        <w:tabs>
          <w:tab w:leader="none" w:pos="10984" w:val="left"/>
        </w:tabs>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r>
        <w:rPr>
          <w:rFonts w:ascii="Arial" w:cs="Arial" w:eastAsia="Arial" w:hAnsi="Arial"/>
          <w:sz w:val="14"/>
          <w:szCs w:val="14"/>
          <w:color w:val="auto"/>
        </w:rPr>
        <w:tab/>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259715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4"/>
          </w:cols>
          <w:pgMar w:left="296" w:top="1070" w:right="339" w:bottom="1440" w:gutter="0" w:footer="0" w:header="0"/>
        </w:sectPr>
      </w:pPr>
    </w:p>
    <w:bookmarkStart w:id="107" w:name="page108"/>
    <w:bookmarkEnd w:id="107"/>
    <w:p>
      <w:pPr>
        <w:ind w:left="4"/>
        <w:spacing w:after="0"/>
        <w:rPr>
          <w:sz w:val="20"/>
          <w:szCs w:val="20"/>
          <w:color w:val="auto"/>
        </w:rPr>
      </w:pPr>
      <w:r>
        <w:rPr>
          <w:rFonts w:ascii="Arial" w:cs="Arial" w:eastAsia="Arial" w:hAnsi="Arial"/>
          <w:sz w:val="16"/>
          <w:szCs w:val="16"/>
          <w:b w:val="1"/>
          <w:bCs w:val="1"/>
          <w:color w:val="852166"/>
        </w:rPr>
        <w:t>Q:  What does it mean if I receive more than one set of proxy materials, more than one Notice, or a combination thereof?</w:t>
      </w:r>
    </w:p>
    <w:p>
      <w:pPr>
        <w:spacing w:after="0" w:line="127" w:lineRule="exact"/>
        <w:rPr>
          <w:sz w:val="20"/>
          <w:szCs w:val="20"/>
          <w:color w:val="auto"/>
        </w:rPr>
      </w:pPr>
    </w:p>
    <w:p>
      <w:pPr>
        <w:ind w:left="324" w:right="300" w:hanging="324"/>
        <w:spacing w:after="0" w:line="319" w:lineRule="auto"/>
        <w:tabs>
          <w:tab w:leader="none" w:pos="31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If you receive more than one set of proxy materials, more than one Notice, or a combination thereof, your shares may be registered in more than one name or are registered in different accounts. Please follow the voting instructions on each set of proxy materials or Notices to ensure that all of your shares are voted.</w:t>
      </w:r>
    </w:p>
    <w:p>
      <w:pPr>
        <w:spacing w:after="0" w:line="4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52166"/>
        </w:rPr>
        <w:t>Q:  Can I change my vote after submitting my proxy?</w:t>
      </w:r>
    </w:p>
    <w:p>
      <w:pPr>
        <w:spacing w:after="0" w:line="127" w:lineRule="exact"/>
        <w:rPr>
          <w:sz w:val="20"/>
          <w:szCs w:val="20"/>
          <w:color w:val="auto"/>
        </w:rPr>
      </w:pPr>
    </w:p>
    <w:p>
      <w:pPr>
        <w:ind w:left="324" w:right="460" w:hanging="324"/>
        <w:spacing w:after="0" w:line="339" w:lineRule="auto"/>
        <w:tabs>
          <w:tab w:leader="none" w:pos="31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Yes. You can revoke your proxy at any time before the commencement of the annual meeting. If you are the record holder of your shares, you may revoke your proxy in any one of the following ways:</w:t>
      </w:r>
    </w:p>
    <w:p>
      <w:pPr>
        <w:spacing w:after="0" w:line="47" w:lineRule="exact"/>
        <w:rPr>
          <w:rFonts w:ascii="Arial" w:cs="Arial" w:eastAsia="Arial" w:hAnsi="Arial"/>
          <w:sz w:val="16"/>
          <w:szCs w:val="16"/>
          <w:color w:val="auto"/>
        </w:rPr>
      </w:pPr>
    </w:p>
    <w:p>
      <w:pPr>
        <w:ind w:left="664" w:hanging="308"/>
        <w:spacing w:after="0"/>
        <w:tabs>
          <w:tab w:leader="none" w:pos="664" w:val="left"/>
        </w:tabs>
        <w:numPr>
          <w:ilvl w:val="1"/>
          <w:numId w:val="112"/>
        </w:numPr>
        <w:rPr>
          <w:rFonts w:ascii="Arial" w:cs="Arial" w:eastAsia="Arial" w:hAnsi="Arial"/>
          <w:sz w:val="16"/>
          <w:szCs w:val="16"/>
          <w:color w:val="auto"/>
        </w:rPr>
      </w:pPr>
      <w:r>
        <w:rPr>
          <w:rFonts w:ascii="Arial" w:cs="Arial" w:eastAsia="Arial" w:hAnsi="Arial"/>
          <w:sz w:val="16"/>
          <w:szCs w:val="16"/>
          <w:color w:val="auto"/>
        </w:rPr>
        <w:t>You may submit another properly completed proxy card with a later date.</w:t>
      </w:r>
    </w:p>
    <w:p>
      <w:pPr>
        <w:spacing w:after="0" w:line="140" w:lineRule="exact"/>
        <w:rPr>
          <w:rFonts w:ascii="Arial" w:cs="Arial" w:eastAsia="Arial" w:hAnsi="Arial"/>
          <w:sz w:val="16"/>
          <w:szCs w:val="16"/>
          <w:color w:val="auto"/>
        </w:rPr>
      </w:pPr>
    </w:p>
    <w:p>
      <w:pPr>
        <w:ind w:left="664" w:hanging="308"/>
        <w:spacing w:after="0"/>
        <w:tabs>
          <w:tab w:leader="none" w:pos="664" w:val="left"/>
        </w:tabs>
        <w:numPr>
          <w:ilvl w:val="1"/>
          <w:numId w:val="112"/>
        </w:numPr>
        <w:rPr>
          <w:rFonts w:ascii="Arial" w:cs="Arial" w:eastAsia="Arial" w:hAnsi="Arial"/>
          <w:sz w:val="16"/>
          <w:szCs w:val="16"/>
          <w:color w:val="auto"/>
        </w:rPr>
      </w:pPr>
      <w:r>
        <w:rPr>
          <w:rFonts w:ascii="Arial" w:cs="Arial" w:eastAsia="Arial" w:hAnsi="Arial"/>
          <w:sz w:val="16"/>
          <w:szCs w:val="16"/>
          <w:color w:val="auto"/>
        </w:rPr>
        <w:t>You may grant a subsequent proxy by telephone or via the internet.</w:t>
      </w:r>
    </w:p>
    <w:p>
      <w:pPr>
        <w:spacing w:after="0" w:line="153" w:lineRule="exact"/>
        <w:rPr>
          <w:rFonts w:ascii="Arial" w:cs="Arial" w:eastAsia="Arial" w:hAnsi="Arial"/>
          <w:sz w:val="16"/>
          <w:szCs w:val="16"/>
          <w:color w:val="auto"/>
        </w:rPr>
      </w:pPr>
    </w:p>
    <w:p>
      <w:pPr>
        <w:ind w:left="684" w:right="20" w:hanging="328"/>
        <w:spacing w:after="0" w:line="339" w:lineRule="auto"/>
        <w:tabs>
          <w:tab w:leader="none" w:pos="673" w:val="left"/>
        </w:tabs>
        <w:numPr>
          <w:ilvl w:val="1"/>
          <w:numId w:val="112"/>
        </w:numPr>
        <w:rPr>
          <w:rFonts w:ascii="Arial" w:cs="Arial" w:eastAsia="Arial" w:hAnsi="Arial"/>
          <w:sz w:val="16"/>
          <w:szCs w:val="16"/>
          <w:color w:val="auto"/>
        </w:rPr>
      </w:pPr>
      <w:r>
        <w:rPr>
          <w:rFonts w:ascii="Arial" w:cs="Arial" w:eastAsia="Arial" w:hAnsi="Arial"/>
          <w:sz w:val="16"/>
          <w:szCs w:val="16"/>
          <w:color w:val="auto"/>
        </w:rPr>
        <w:t>You may send a timely written notice that you are revoking your proxy to our Company Secretary at Fifth Floor, Waterloo Exchange, Waterloo Road, Dublin 4, Ireland.</w:t>
      </w:r>
    </w:p>
    <w:p>
      <w:pPr>
        <w:spacing w:after="0" w:line="47" w:lineRule="exact"/>
        <w:rPr>
          <w:rFonts w:ascii="Arial" w:cs="Arial" w:eastAsia="Arial" w:hAnsi="Arial"/>
          <w:sz w:val="16"/>
          <w:szCs w:val="16"/>
          <w:color w:val="auto"/>
        </w:rPr>
      </w:pPr>
    </w:p>
    <w:p>
      <w:pPr>
        <w:ind w:left="664" w:hanging="308"/>
        <w:spacing w:after="0"/>
        <w:tabs>
          <w:tab w:leader="none" w:pos="664" w:val="left"/>
        </w:tabs>
        <w:numPr>
          <w:ilvl w:val="1"/>
          <w:numId w:val="112"/>
        </w:numPr>
        <w:rPr>
          <w:rFonts w:ascii="Arial" w:cs="Arial" w:eastAsia="Arial" w:hAnsi="Arial"/>
          <w:sz w:val="16"/>
          <w:szCs w:val="16"/>
          <w:color w:val="auto"/>
        </w:rPr>
      </w:pPr>
      <w:r>
        <w:rPr>
          <w:rFonts w:ascii="Arial" w:cs="Arial" w:eastAsia="Arial" w:hAnsi="Arial"/>
          <w:sz w:val="16"/>
          <w:szCs w:val="16"/>
          <w:color w:val="auto"/>
        </w:rPr>
        <w:t>You may attend the annual meeting and vote in person. Simply attending the annual meeting will not, by itself, revoke your proxy.</w:t>
      </w:r>
    </w:p>
    <w:p>
      <w:pPr>
        <w:spacing w:after="0" w:line="154" w:lineRule="exact"/>
        <w:rPr>
          <w:sz w:val="20"/>
          <w:szCs w:val="20"/>
          <w:color w:val="auto"/>
        </w:rPr>
      </w:pPr>
    </w:p>
    <w:p>
      <w:pPr>
        <w:ind w:left="324" w:right="300"/>
        <w:spacing w:after="0" w:line="321" w:lineRule="auto"/>
        <w:rPr>
          <w:sz w:val="20"/>
          <w:szCs w:val="20"/>
          <w:color w:val="auto"/>
        </w:rPr>
      </w:pPr>
      <w:r>
        <w:rPr>
          <w:rFonts w:ascii="Arial" w:cs="Arial" w:eastAsia="Arial" w:hAnsi="Arial"/>
          <w:sz w:val="16"/>
          <w:szCs w:val="16"/>
          <w:color w:val="auto"/>
        </w:rPr>
        <w:t>Your most recent proxy card or telephone or internet proxy is the one that is counted. If your shares are held by your broker, bank or other agent as a nominee or agent, you should follow the instructions provided by your broker, bank or other agent.</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52166"/>
        </w:rPr>
        <w:t>Q:  Do I need a ticket to attend the annual meeting?</w:t>
      </w:r>
    </w:p>
    <w:p>
      <w:pPr>
        <w:spacing w:after="0" w:line="140" w:lineRule="exact"/>
        <w:rPr>
          <w:sz w:val="20"/>
          <w:szCs w:val="20"/>
          <w:color w:val="auto"/>
        </w:rPr>
      </w:pPr>
    </w:p>
    <w:p>
      <w:pPr>
        <w:ind w:left="324" w:hanging="324"/>
        <w:spacing w:after="0" w:line="299" w:lineRule="auto"/>
        <w:tabs>
          <w:tab w:leader="none" w:pos="31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Yes, you will need an admission ticket or proof of ownership of ordinary shares to enter the annual meeting. If you are a shareholder of record and you received a full set of proxy materials in the mail, your admission ticket is attached to the proxy card sent to you. If you plan to attend the annual meeting, please so indicate when you vote and bring the ticket and valid photo identification with you to the annual meeting. If you are a shareholder of record and you received a Notice in the mail, your admission ticket is your Notice. Please bring your Notice and valid photo identification with you to the annual meeting. If your shares are held in the name of a bank, broker or other holder of record, your admission ticket is on your voting instruction form. If you do not bring your admission ticket, you will need proof of ownership to be admitted to the annual meeting. A recent brokerage statement or letter from a bank or broker is an example of proof of ownership. If you arrive at the annual meeting without an admission ticket, we will admit you only if we are able to verify that you are a shareholder. For directions to attend the annual meeting in person, please contact our Investor Relations department at +353.1.634.3211 (Ireland) or +1.650.496.2717 (United States) or by email at investorinfo@jazzpharmaceuticals.com.</w:t>
      </w:r>
    </w:p>
    <w:p>
      <w:pPr>
        <w:spacing w:after="0" w:line="70" w:lineRule="exact"/>
        <w:rPr>
          <w:sz w:val="20"/>
          <w:szCs w:val="20"/>
          <w:color w:val="auto"/>
        </w:rPr>
      </w:pPr>
    </w:p>
    <w:p>
      <w:pPr>
        <w:ind w:left="364" w:hanging="364"/>
        <w:spacing w:after="0"/>
        <w:tabs>
          <w:tab w:leader="none" w:pos="364" w:val="left"/>
        </w:tabs>
        <w:numPr>
          <w:ilvl w:val="0"/>
          <w:numId w:val="114"/>
        </w:numPr>
        <w:rPr>
          <w:rFonts w:ascii="Arial" w:cs="Arial" w:eastAsia="Arial" w:hAnsi="Arial"/>
          <w:sz w:val="16"/>
          <w:szCs w:val="16"/>
          <w:b w:val="1"/>
          <w:bCs w:val="1"/>
          <w:color w:val="852166"/>
        </w:rPr>
      </w:pPr>
      <w:r>
        <w:rPr>
          <w:rFonts w:ascii="Arial" w:cs="Arial" w:eastAsia="Arial" w:hAnsi="Arial"/>
          <w:sz w:val="16"/>
          <w:szCs w:val="16"/>
          <w:b w:val="1"/>
          <w:bCs w:val="1"/>
          <w:color w:val="852166"/>
        </w:rPr>
        <w:t>How are votes counted?</w:t>
      </w:r>
    </w:p>
    <w:p>
      <w:pPr>
        <w:spacing w:after="0" w:line="127" w:lineRule="exact"/>
        <w:rPr>
          <w:sz w:val="20"/>
          <w:szCs w:val="20"/>
          <w:color w:val="auto"/>
        </w:rPr>
      </w:pPr>
    </w:p>
    <w:p>
      <w:pPr>
        <w:ind w:left="324" w:right="20" w:hanging="324"/>
        <w:spacing w:after="0" w:line="304" w:lineRule="auto"/>
        <w:tabs>
          <w:tab w:leader="none" w:pos="379" w:val="left"/>
        </w:tabs>
        <w:numPr>
          <w:ilvl w:val="0"/>
          <w:numId w:val="115"/>
        </w:numPr>
        <w:rPr>
          <w:rFonts w:ascii="Arial" w:cs="Arial" w:eastAsia="Arial" w:hAnsi="Arial"/>
          <w:sz w:val="16"/>
          <w:szCs w:val="16"/>
          <w:color w:val="auto"/>
        </w:rPr>
      </w:pPr>
      <w:r>
        <w:rPr>
          <w:rFonts w:ascii="Arial" w:cs="Arial" w:eastAsia="Arial" w:hAnsi="Arial"/>
          <w:sz w:val="16"/>
          <w:szCs w:val="16"/>
          <w:color w:val="auto"/>
        </w:rPr>
        <w:t>Votes will be counted by the inspector of elections appointed for the meeting. The inspector of elections will separately count, with respect to the proposal to elect directors (Proposal 1), votes “FOR,” “AGAINST,” abstentions and broker non-votes; with respect to the proposal regarding the preferred frequency of the advisory vote on the compensation of our named executive officers (Proposal 4), votes for the frequency options of every “1 YEAR,” “2 YEARS” or “3 YEARS,” abstentions and broker non-votes; and, with respect to each of the other proposals, votes “FOR,” “AGAINST,” abstentions, and, as applicable, broker non-votes.</w:t>
      </w:r>
    </w:p>
    <w:p>
      <w:pPr>
        <w:spacing w:after="0" w:line="63" w:lineRule="exact"/>
        <w:rPr>
          <w:sz w:val="20"/>
          <w:szCs w:val="20"/>
          <w:color w:val="auto"/>
        </w:rPr>
      </w:pPr>
    </w:p>
    <w:p>
      <w:pPr>
        <w:ind w:left="364" w:hanging="364"/>
        <w:spacing w:after="0"/>
        <w:tabs>
          <w:tab w:leader="none" w:pos="364" w:val="left"/>
        </w:tabs>
        <w:numPr>
          <w:ilvl w:val="0"/>
          <w:numId w:val="116"/>
        </w:numPr>
        <w:rPr>
          <w:rFonts w:ascii="Arial" w:cs="Arial" w:eastAsia="Arial" w:hAnsi="Arial"/>
          <w:sz w:val="16"/>
          <w:szCs w:val="16"/>
          <w:b w:val="1"/>
          <w:bCs w:val="1"/>
          <w:color w:val="852166"/>
        </w:rPr>
      </w:pPr>
      <w:r>
        <w:rPr>
          <w:rFonts w:ascii="Arial" w:cs="Arial" w:eastAsia="Arial" w:hAnsi="Arial"/>
          <w:sz w:val="16"/>
          <w:szCs w:val="16"/>
          <w:b w:val="1"/>
          <w:bCs w:val="1"/>
          <w:color w:val="852166"/>
        </w:rPr>
        <w:t>What are “broker non-votes”?</w:t>
      </w:r>
    </w:p>
    <w:p>
      <w:pPr>
        <w:spacing w:after="0" w:line="127" w:lineRule="exact"/>
        <w:rPr>
          <w:sz w:val="20"/>
          <w:szCs w:val="20"/>
          <w:color w:val="auto"/>
        </w:rPr>
      </w:pPr>
    </w:p>
    <w:p>
      <w:pPr>
        <w:ind w:left="324" w:hanging="324"/>
        <w:spacing w:after="0" w:line="309" w:lineRule="auto"/>
        <w:tabs>
          <w:tab w:leader="none" w:pos="32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As discussed above, when a beneficial owner of shares held in street name does not give voting instructions to his or her broker, bank or other securities intermediary holding his or her shares as to how to vote on matters deemed to be “non-routine” under NYSE rules, the broker, bank or other such agent cannot vote the shares. When there is at least one “routine” matter that the broker, bank or other securities intermediary votes on, the shares that are un-voted on “non-routine” matters are counted as “broker non-votes.” We have been advised by the NYSE that Proposals 1, 3 and 4 are considered to be “non-routine” under NYSE rules and we therefore expect broker non-votes in connection with those proposals.</w:t>
      </w:r>
    </w:p>
    <w:p>
      <w:pPr>
        <w:spacing w:after="0" w:line="59" w:lineRule="exact"/>
        <w:rPr>
          <w:rFonts w:ascii="Arial" w:cs="Arial" w:eastAsia="Arial" w:hAnsi="Arial"/>
          <w:sz w:val="16"/>
          <w:szCs w:val="16"/>
          <w:color w:val="auto"/>
        </w:rPr>
      </w:pPr>
    </w:p>
    <w:p>
      <w:pPr>
        <w:ind w:left="324" w:right="280"/>
        <w:spacing w:after="0" w:line="323" w:lineRule="auto"/>
        <w:rPr>
          <w:rFonts w:ascii="Arial" w:cs="Arial" w:eastAsia="Arial" w:hAnsi="Arial"/>
          <w:sz w:val="16"/>
          <w:szCs w:val="16"/>
          <w:color w:val="auto"/>
        </w:rPr>
      </w:pPr>
      <w:r>
        <w:rPr>
          <w:rFonts w:ascii="Arial" w:cs="Arial" w:eastAsia="Arial" w:hAnsi="Arial"/>
          <w:sz w:val="16"/>
          <w:szCs w:val="16"/>
          <w:b w:val="1"/>
          <w:bCs w:val="1"/>
          <w:i w:val="1"/>
          <w:iCs w:val="1"/>
          <w:color w:val="auto"/>
        </w:rPr>
        <w:t>As a reminder, 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200" w:lineRule="exact"/>
        <w:rPr>
          <w:sz w:val="20"/>
          <w:szCs w:val="20"/>
          <w:color w:val="auto"/>
        </w:rPr>
      </w:pPr>
    </w:p>
    <w:p>
      <w:pPr>
        <w:spacing w:after="0" w:line="343" w:lineRule="exact"/>
        <w:rPr>
          <w:sz w:val="20"/>
          <w:szCs w:val="20"/>
          <w:color w:val="auto"/>
        </w:rPr>
      </w:pPr>
    </w:p>
    <w:p>
      <w:pPr>
        <w:ind w:left="44"/>
        <w:spacing w:after="0"/>
        <w:tabs>
          <w:tab w:leader="none" w:pos="464" w:val="left"/>
        </w:tabs>
        <w:rPr>
          <w:sz w:val="20"/>
          <w:szCs w:val="20"/>
          <w:color w:val="auto"/>
        </w:rPr>
      </w:pPr>
      <w:r>
        <w:rPr>
          <w:rFonts w:ascii="Arial" w:cs="Arial" w:eastAsia="Arial" w:hAnsi="Arial"/>
          <w:sz w:val="14"/>
          <w:szCs w:val="14"/>
          <w:color w:val="auto"/>
        </w:rPr>
        <w:t>104</w:t>
        <w:tab/>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259715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4"/>
          </w:cols>
          <w:pgMar w:left="296" w:top="1057" w:right="339" w:bottom="1440" w:gutter="0" w:footer="0" w:header="0"/>
        </w:sectPr>
      </w:pPr>
    </w:p>
    <w:bookmarkStart w:id="108" w:name="page109"/>
    <w:bookmarkEnd w:id="108"/>
    <w:p>
      <w:pPr>
        <w:ind w:left="4"/>
        <w:spacing w:after="0"/>
        <w:rPr>
          <w:sz w:val="20"/>
          <w:szCs w:val="20"/>
          <w:color w:val="auto"/>
        </w:rPr>
      </w:pPr>
      <w:r>
        <w:rPr>
          <w:rFonts w:ascii="Arial" w:cs="Arial" w:eastAsia="Arial" w:hAnsi="Arial"/>
          <w:sz w:val="16"/>
          <w:szCs w:val="16"/>
          <w:b w:val="1"/>
          <w:bCs w:val="1"/>
          <w:color w:val="852166"/>
        </w:rPr>
        <w:t>Q:  How many votes are needed to approve each proposal?</w:t>
      </w:r>
    </w:p>
    <w:p>
      <w:pPr>
        <w:spacing w:after="0" w:line="127" w:lineRule="exact"/>
        <w:rPr>
          <w:sz w:val="20"/>
          <w:szCs w:val="20"/>
          <w:color w:val="auto"/>
        </w:rPr>
      </w:pPr>
    </w:p>
    <w:p>
      <w:pPr>
        <w:ind w:left="4"/>
        <w:spacing w:after="0"/>
        <w:tabs>
          <w:tab w:leader="none" w:pos="304" w:val="left"/>
        </w:tabs>
        <w:rPr>
          <w:sz w:val="20"/>
          <w:szCs w:val="20"/>
          <w:color w:val="auto"/>
        </w:rPr>
      </w:pPr>
      <w:r>
        <w:rPr>
          <w:rFonts w:ascii="Arial" w:cs="Arial" w:eastAsia="Arial" w:hAnsi="Arial"/>
          <w:sz w:val="16"/>
          <w:szCs w:val="16"/>
          <w:color w:val="auto"/>
        </w:rPr>
        <w:t>A:</w:t>
        <w:tab/>
        <w:t>Assuming that a quorum is present at the annual meeting, the following votes will be required for approval:</w:t>
      </w:r>
    </w:p>
    <w:p>
      <w:pPr>
        <w:spacing w:after="0" w:line="181" w:lineRule="exact"/>
        <w:rPr>
          <w:sz w:val="20"/>
          <w:szCs w:val="20"/>
          <w:color w:val="auto"/>
        </w:rPr>
      </w:pPr>
    </w:p>
    <w:tbl>
      <w:tblPr>
        <w:tblLayout w:type="fixed"/>
        <w:tblInd w:w="324" w:type="dxa"/>
        <w:tblCellMar>
          <w:top w:w="0" w:type="dxa"/>
          <w:left w:w="0" w:type="dxa"/>
          <w:bottom w:w="0" w:type="dxa"/>
          <w:right w:w="0" w:type="dxa"/>
        </w:tblCellMar>
      </w:tblPr>
      <w:tr>
        <w:trPr>
          <w:trHeight w:val="216"/>
        </w:trPr>
        <w:tc>
          <w:tcPr>
            <w:tcW w:w="80" w:type="dxa"/>
            <w:vAlign w:val="bottom"/>
            <w:shd w:val="clear" w:color="auto" w:fill="852166"/>
          </w:tcPr>
          <w:p>
            <w:pPr>
              <w:spacing w:after="0"/>
              <w:rPr>
                <w:sz w:val="18"/>
                <w:szCs w:val="18"/>
                <w:color w:val="auto"/>
              </w:rPr>
            </w:pPr>
          </w:p>
        </w:tc>
        <w:tc>
          <w:tcPr>
            <w:tcW w:w="920" w:type="dxa"/>
            <w:vAlign w:val="bottom"/>
            <w:shd w:val="clear" w:color="auto" w:fill="852166"/>
          </w:tcPr>
          <w:p>
            <w:pPr>
              <w:ind w:left="20"/>
              <w:spacing w:after="0"/>
              <w:rPr>
                <w:sz w:val="20"/>
                <w:szCs w:val="20"/>
                <w:color w:val="auto"/>
              </w:rPr>
            </w:pPr>
            <w:r>
              <w:rPr>
                <w:rFonts w:ascii="Arial" w:cs="Arial" w:eastAsia="Arial" w:hAnsi="Arial"/>
                <w:sz w:val="14"/>
                <w:szCs w:val="14"/>
                <w:b w:val="1"/>
                <w:bCs w:val="1"/>
                <w:color w:val="FFFFFF"/>
              </w:rPr>
              <w:t>Proposal</w:t>
            </w:r>
          </w:p>
        </w:tc>
        <w:tc>
          <w:tcPr>
            <w:tcW w:w="9580" w:type="dxa"/>
            <w:vAlign w:val="bottom"/>
            <w:shd w:val="clear" w:color="auto" w:fill="852166"/>
          </w:tcPr>
          <w:p>
            <w:pPr>
              <w:ind w:left="240"/>
              <w:spacing w:after="0"/>
              <w:rPr>
                <w:sz w:val="20"/>
                <w:szCs w:val="20"/>
                <w:color w:val="auto"/>
              </w:rPr>
            </w:pPr>
            <w:r>
              <w:rPr>
                <w:rFonts w:ascii="Arial" w:cs="Arial" w:eastAsia="Arial" w:hAnsi="Arial"/>
                <w:sz w:val="14"/>
                <w:szCs w:val="14"/>
                <w:b w:val="1"/>
                <w:bCs w:val="1"/>
                <w:color w:val="FFFFFF"/>
              </w:rPr>
              <w:t>Vote Required for Approval</w:t>
            </w:r>
          </w:p>
        </w:tc>
        <w:tc>
          <w:tcPr>
            <w:tcW w:w="0" w:type="dxa"/>
            <w:vAlign w:val="bottom"/>
          </w:tcPr>
          <w:p>
            <w:pPr>
              <w:spacing w:after="0"/>
              <w:rPr>
                <w:sz w:val="1"/>
                <w:szCs w:val="1"/>
                <w:color w:val="auto"/>
              </w:rPr>
            </w:pPr>
          </w:p>
        </w:tc>
      </w:tr>
      <w:tr>
        <w:trPr>
          <w:trHeight w:val="67"/>
        </w:trPr>
        <w:tc>
          <w:tcPr>
            <w:tcW w:w="80" w:type="dxa"/>
            <w:vAlign w:val="bottom"/>
            <w:shd w:val="clear" w:color="auto" w:fill="852166"/>
          </w:tcPr>
          <w:p>
            <w:pPr>
              <w:spacing w:after="0"/>
              <w:rPr>
                <w:sz w:val="5"/>
                <w:szCs w:val="5"/>
                <w:color w:val="auto"/>
              </w:rPr>
            </w:pPr>
          </w:p>
        </w:tc>
        <w:tc>
          <w:tcPr>
            <w:tcW w:w="920" w:type="dxa"/>
            <w:vAlign w:val="bottom"/>
            <w:shd w:val="clear" w:color="auto" w:fill="852166"/>
          </w:tcPr>
          <w:p>
            <w:pPr>
              <w:spacing w:after="0"/>
              <w:rPr>
                <w:sz w:val="5"/>
                <w:szCs w:val="5"/>
                <w:color w:val="auto"/>
              </w:rPr>
            </w:pPr>
          </w:p>
        </w:tc>
        <w:tc>
          <w:tcPr>
            <w:tcW w:w="9580" w:type="dxa"/>
            <w:vAlign w:val="bottom"/>
            <w:shd w:val="clear" w:color="auto" w:fill="852166"/>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920" w:type="dxa"/>
            <w:vAlign w:val="bottom"/>
            <w:vMerge w:val="restart"/>
          </w:tcPr>
          <w:p>
            <w:pPr>
              <w:ind w:left="20"/>
              <w:spacing w:after="0"/>
              <w:rPr>
                <w:sz w:val="20"/>
                <w:szCs w:val="20"/>
                <w:color w:val="auto"/>
              </w:rPr>
            </w:pPr>
            <w:r>
              <w:rPr>
                <w:rFonts w:ascii="Arial" w:cs="Arial" w:eastAsia="Arial" w:hAnsi="Arial"/>
                <w:sz w:val="14"/>
                <w:szCs w:val="14"/>
                <w:color w:val="auto"/>
              </w:rPr>
              <w:t>Proposal 1</w:t>
            </w:r>
          </w:p>
        </w:tc>
        <w:tc>
          <w:tcPr>
            <w:tcW w:w="9580" w:type="dxa"/>
            <w:vAlign w:val="bottom"/>
          </w:tcPr>
          <w:p>
            <w:pPr>
              <w:ind w:left="240"/>
              <w:spacing w:after="0"/>
              <w:rPr>
                <w:sz w:val="20"/>
                <w:szCs w:val="20"/>
                <w:color w:val="auto"/>
              </w:rPr>
            </w:pPr>
            <w:r>
              <w:rPr>
                <w:rFonts w:ascii="Arial" w:cs="Arial" w:eastAsia="Arial" w:hAnsi="Arial"/>
                <w:sz w:val="14"/>
                <w:szCs w:val="14"/>
                <w:color w:val="auto"/>
              </w:rPr>
              <w:t>Each director nominee must receive the affirmative vote of a majority of the votes cast on his or her election to hold office until the 2027 annual</w:t>
            </w:r>
          </w:p>
        </w:tc>
        <w:tc>
          <w:tcPr>
            <w:tcW w:w="0" w:type="dxa"/>
            <w:vAlign w:val="bottom"/>
          </w:tcPr>
          <w:p>
            <w:pPr>
              <w:spacing w:after="0"/>
              <w:rPr>
                <w:sz w:val="1"/>
                <w:szCs w:val="1"/>
                <w:color w:val="auto"/>
              </w:rPr>
            </w:pPr>
          </w:p>
        </w:tc>
      </w:tr>
      <w:tr>
        <w:trPr>
          <w:trHeight w:val="96"/>
        </w:trPr>
        <w:tc>
          <w:tcPr>
            <w:tcW w:w="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9580" w:type="dxa"/>
            <w:vAlign w:val="bottom"/>
            <w:vMerge w:val="restart"/>
          </w:tcPr>
          <w:p>
            <w:pPr>
              <w:ind w:left="240"/>
              <w:spacing w:after="0"/>
              <w:rPr>
                <w:sz w:val="20"/>
                <w:szCs w:val="20"/>
                <w:color w:val="auto"/>
              </w:rPr>
            </w:pPr>
            <w:r>
              <w:rPr>
                <w:rFonts w:ascii="Arial" w:cs="Arial" w:eastAsia="Arial" w:hAnsi="Arial"/>
                <w:sz w:val="14"/>
                <w:szCs w:val="14"/>
                <w:color w:val="auto"/>
              </w:rPr>
              <w:t>meeting of shareholders.</w:t>
            </w: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9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Borders>
              <w:bottom w:val="single" w:sz="8" w:color="EAEAEA"/>
            </w:tcBorders>
            <w:shd w:val="clear" w:color="auto" w:fill="EAEAEA"/>
          </w:tcPr>
          <w:p>
            <w:pPr>
              <w:spacing w:after="0"/>
              <w:rPr>
                <w:sz w:val="18"/>
                <w:szCs w:val="18"/>
                <w:color w:val="auto"/>
              </w:rPr>
            </w:pPr>
          </w:p>
        </w:tc>
        <w:tc>
          <w:tcPr>
            <w:tcW w:w="92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4"/>
                <w:szCs w:val="14"/>
                <w:color w:val="auto"/>
              </w:rPr>
              <w:t>Proposal 2</w:t>
            </w:r>
          </w:p>
        </w:tc>
        <w:tc>
          <w:tcPr>
            <w:tcW w:w="9580" w:type="dxa"/>
            <w:vAlign w:val="bottom"/>
            <w:tcBorders>
              <w:bottom w:val="single" w:sz="8" w:color="EAEAEA"/>
            </w:tcBorders>
            <w:shd w:val="clear" w:color="auto" w:fill="EAEAEA"/>
          </w:tcPr>
          <w:p>
            <w:pPr>
              <w:ind w:left="240"/>
              <w:spacing w:after="0"/>
              <w:rPr>
                <w:sz w:val="20"/>
                <w:szCs w:val="20"/>
                <w:color w:val="auto"/>
              </w:rPr>
            </w:pPr>
            <w:r>
              <w:rPr>
                <w:rFonts w:ascii="Arial" w:cs="Arial" w:eastAsia="Arial" w:hAnsi="Arial"/>
                <w:sz w:val="14"/>
                <w:szCs w:val="14"/>
                <w:color w:val="auto"/>
              </w:rPr>
              <w:t>Affirmative vote of a majority of the votes cast</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Proposal 3</w:t>
            </w:r>
          </w:p>
        </w:tc>
        <w:tc>
          <w:tcPr>
            <w:tcW w:w="9580" w:type="dxa"/>
            <w:vAlign w:val="bottom"/>
          </w:tcPr>
          <w:p>
            <w:pPr>
              <w:ind w:left="240"/>
              <w:spacing w:after="0"/>
              <w:rPr>
                <w:sz w:val="20"/>
                <w:szCs w:val="20"/>
                <w:color w:val="auto"/>
              </w:rPr>
            </w:pPr>
            <w:r>
              <w:rPr>
                <w:rFonts w:ascii="Arial" w:cs="Arial" w:eastAsia="Arial" w:hAnsi="Arial"/>
                <w:sz w:val="14"/>
                <w:szCs w:val="14"/>
                <w:color w:val="auto"/>
              </w:rPr>
              <w:t>Affirmative vote of a majority of the votes cast</w:t>
            </w: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0" w:type="dxa"/>
            <w:vAlign w:val="bottom"/>
            <w:shd w:val="clear" w:color="auto" w:fill="EAEAEA"/>
          </w:tcPr>
          <w:p>
            <w:pPr>
              <w:spacing w:after="0"/>
              <w:rPr>
                <w:sz w:val="16"/>
                <w:szCs w:val="16"/>
                <w:color w:val="auto"/>
              </w:rPr>
            </w:pPr>
          </w:p>
        </w:tc>
        <w:tc>
          <w:tcPr>
            <w:tcW w:w="920" w:type="dxa"/>
            <w:vAlign w:val="bottom"/>
            <w:vMerge w:val="restart"/>
            <w:shd w:val="clear" w:color="auto" w:fill="EAEAEA"/>
          </w:tcPr>
          <w:p>
            <w:pPr>
              <w:ind w:left="20"/>
              <w:spacing w:after="0"/>
              <w:rPr>
                <w:sz w:val="20"/>
                <w:szCs w:val="20"/>
                <w:color w:val="auto"/>
              </w:rPr>
            </w:pPr>
            <w:r>
              <w:rPr>
                <w:rFonts w:ascii="Arial" w:cs="Arial" w:eastAsia="Arial" w:hAnsi="Arial"/>
                <w:sz w:val="14"/>
                <w:szCs w:val="14"/>
                <w:color w:val="auto"/>
              </w:rPr>
              <w:t>Proposal 4</w:t>
            </w:r>
          </w:p>
        </w:tc>
        <w:tc>
          <w:tcPr>
            <w:tcW w:w="9580" w:type="dxa"/>
            <w:vAlign w:val="bottom"/>
            <w:shd w:val="clear" w:color="auto" w:fill="EAEAEA"/>
          </w:tcPr>
          <w:p>
            <w:pPr>
              <w:ind w:left="240"/>
              <w:spacing w:after="0"/>
              <w:rPr>
                <w:sz w:val="20"/>
                <w:szCs w:val="20"/>
                <w:color w:val="auto"/>
              </w:rPr>
            </w:pPr>
            <w:r>
              <w:rPr>
                <w:rFonts w:ascii="Arial" w:cs="Arial" w:eastAsia="Arial" w:hAnsi="Arial"/>
                <w:sz w:val="14"/>
                <w:szCs w:val="14"/>
                <w:color w:val="auto"/>
              </w:rPr>
              <w:t>The frequency option that receives the affirmative vote of a majority of the votes cast will be deemed to be the frequency preferred by our</w:t>
            </w:r>
          </w:p>
        </w:tc>
        <w:tc>
          <w:tcPr>
            <w:tcW w:w="0" w:type="dxa"/>
            <w:vAlign w:val="bottom"/>
          </w:tcPr>
          <w:p>
            <w:pPr>
              <w:spacing w:after="0"/>
              <w:rPr>
                <w:sz w:val="1"/>
                <w:szCs w:val="1"/>
                <w:color w:val="auto"/>
              </w:rPr>
            </w:pPr>
          </w:p>
        </w:tc>
      </w:tr>
      <w:tr>
        <w:trPr>
          <w:trHeight w:val="96"/>
        </w:trPr>
        <w:tc>
          <w:tcPr>
            <w:tcW w:w="80" w:type="dxa"/>
            <w:vAlign w:val="bottom"/>
            <w:shd w:val="clear" w:color="auto" w:fill="EAEAEA"/>
          </w:tcPr>
          <w:p>
            <w:pPr>
              <w:spacing w:after="0"/>
              <w:rPr>
                <w:sz w:val="8"/>
                <w:szCs w:val="8"/>
                <w:color w:val="auto"/>
              </w:rPr>
            </w:pPr>
          </w:p>
        </w:tc>
        <w:tc>
          <w:tcPr>
            <w:tcW w:w="920" w:type="dxa"/>
            <w:vAlign w:val="bottom"/>
            <w:vMerge w:val="continue"/>
            <w:shd w:val="clear" w:color="auto" w:fill="EAEAEA"/>
          </w:tcPr>
          <w:p>
            <w:pPr>
              <w:spacing w:after="0"/>
              <w:rPr>
                <w:sz w:val="8"/>
                <w:szCs w:val="8"/>
                <w:color w:val="auto"/>
              </w:rPr>
            </w:pPr>
          </w:p>
        </w:tc>
        <w:tc>
          <w:tcPr>
            <w:tcW w:w="9580" w:type="dxa"/>
            <w:vAlign w:val="bottom"/>
            <w:vMerge w:val="restart"/>
            <w:shd w:val="clear" w:color="auto" w:fill="EAEAEA"/>
          </w:tcPr>
          <w:p>
            <w:pPr>
              <w:ind w:left="240"/>
              <w:spacing w:after="0"/>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96"/>
        </w:trPr>
        <w:tc>
          <w:tcPr>
            <w:tcW w:w="80" w:type="dxa"/>
            <w:vAlign w:val="bottom"/>
            <w:tcBorders>
              <w:bottom w:val="single" w:sz="8" w:color="EAEAEA"/>
            </w:tcBorders>
            <w:shd w:val="clear" w:color="auto" w:fill="EAEAEA"/>
          </w:tcPr>
          <w:p>
            <w:pPr>
              <w:spacing w:after="0"/>
              <w:rPr>
                <w:sz w:val="8"/>
                <w:szCs w:val="8"/>
                <w:color w:val="auto"/>
              </w:rPr>
            </w:pPr>
          </w:p>
        </w:tc>
        <w:tc>
          <w:tcPr>
            <w:tcW w:w="920" w:type="dxa"/>
            <w:vAlign w:val="bottom"/>
            <w:tcBorders>
              <w:bottom w:val="single" w:sz="8" w:color="EAEAEA"/>
            </w:tcBorders>
            <w:shd w:val="clear" w:color="auto" w:fill="EAEAEA"/>
          </w:tcPr>
          <w:p>
            <w:pPr>
              <w:spacing w:after="0"/>
              <w:rPr>
                <w:sz w:val="8"/>
                <w:szCs w:val="8"/>
                <w:color w:val="auto"/>
              </w:rPr>
            </w:pPr>
          </w:p>
        </w:tc>
        <w:tc>
          <w:tcPr>
            <w:tcW w:w="9580" w:type="dxa"/>
            <w:vAlign w:val="bottom"/>
            <w:tcBorders>
              <w:bottom w:val="single" w:sz="8" w:color="EAEAEA"/>
            </w:tcBorders>
            <w:vMerge w:val="continue"/>
            <w:shd w:val="clear" w:color="auto" w:fill="EAEAEA"/>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Proposal 5</w:t>
            </w:r>
          </w:p>
        </w:tc>
        <w:tc>
          <w:tcPr>
            <w:tcW w:w="9580" w:type="dxa"/>
            <w:vAlign w:val="bottom"/>
          </w:tcPr>
          <w:p>
            <w:pPr>
              <w:ind w:left="240"/>
              <w:spacing w:after="0"/>
              <w:rPr>
                <w:sz w:val="20"/>
                <w:szCs w:val="20"/>
                <w:color w:val="auto"/>
              </w:rPr>
            </w:pPr>
            <w:r>
              <w:rPr>
                <w:rFonts w:ascii="Arial" w:cs="Arial" w:eastAsia="Arial" w:hAnsi="Arial"/>
                <w:sz w:val="14"/>
                <w:szCs w:val="14"/>
                <w:color w:val="auto"/>
              </w:rPr>
              <w:t>Affirmative vote of 75% of the votes cast</w:t>
            </w: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Borders>
              <w:bottom w:val="single" w:sz="8" w:color="EAEAEA"/>
            </w:tcBorders>
            <w:shd w:val="clear" w:color="auto" w:fill="EAEAEA"/>
          </w:tcPr>
          <w:p>
            <w:pPr>
              <w:spacing w:after="0"/>
              <w:rPr>
                <w:sz w:val="18"/>
                <w:szCs w:val="18"/>
                <w:color w:val="auto"/>
              </w:rPr>
            </w:pPr>
          </w:p>
        </w:tc>
        <w:tc>
          <w:tcPr>
            <w:tcW w:w="92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4"/>
                <w:szCs w:val="14"/>
                <w:color w:val="auto"/>
              </w:rPr>
              <w:t>Proposal 6</w:t>
            </w:r>
          </w:p>
        </w:tc>
        <w:tc>
          <w:tcPr>
            <w:tcW w:w="9580" w:type="dxa"/>
            <w:vAlign w:val="bottom"/>
            <w:tcBorders>
              <w:bottom w:val="single" w:sz="8" w:color="EAEAEA"/>
            </w:tcBorders>
            <w:shd w:val="clear" w:color="auto" w:fill="EAEAEA"/>
          </w:tcPr>
          <w:p>
            <w:pPr>
              <w:ind w:left="240"/>
              <w:spacing w:after="0"/>
              <w:rPr>
                <w:sz w:val="20"/>
                <w:szCs w:val="20"/>
                <w:color w:val="auto"/>
              </w:rPr>
            </w:pPr>
            <w:r>
              <w:rPr>
                <w:rFonts w:ascii="Arial" w:cs="Arial" w:eastAsia="Arial" w:hAnsi="Arial"/>
                <w:sz w:val="14"/>
                <w:szCs w:val="14"/>
                <w:color w:val="auto"/>
              </w:rPr>
              <w:t>Affirmative vote of a majority of the votes cast</w:t>
            </w:r>
          </w:p>
        </w:tc>
        <w:tc>
          <w:tcPr>
            <w:tcW w:w="0" w:type="dxa"/>
            <w:vAlign w:val="bottom"/>
          </w:tcPr>
          <w:p>
            <w:pPr>
              <w:spacing w:after="0"/>
              <w:rPr>
                <w:sz w:val="1"/>
                <w:szCs w:val="1"/>
                <w:color w:val="auto"/>
              </w:rPr>
            </w:pPr>
          </w:p>
        </w:tc>
      </w:tr>
      <w:tr>
        <w:trPr>
          <w:trHeight w:val="20"/>
        </w:trPr>
        <w:tc>
          <w:tcPr>
            <w:tcW w:w="80" w:type="dxa"/>
            <w:vAlign w:val="bottom"/>
            <w:shd w:val="clear" w:color="auto" w:fill="852166"/>
          </w:tcPr>
          <w:p>
            <w:pPr>
              <w:spacing w:after="0" w:line="20" w:lineRule="exact"/>
              <w:rPr>
                <w:sz w:val="1"/>
                <w:szCs w:val="1"/>
                <w:color w:val="auto"/>
              </w:rPr>
            </w:pPr>
          </w:p>
        </w:tc>
        <w:tc>
          <w:tcPr>
            <w:tcW w:w="920" w:type="dxa"/>
            <w:vAlign w:val="bottom"/>
            <w:shd w:val="clear" w:color="auto" w:fill="852166"/>
          </w:tcPr>
          <w:p>
            <w:pPr>
              <w:spacing w:after="0" w:line="20" w:lineRule="exact"/>
              <w:rPr>
                <w:sz w:val="1"/>
                <w:szCs w:val="1"/>
                <w:color w:val="auto"/>
              </w:rPr>
            </w:pPr>
          </w:p>
        </w:tc>
        <w:tc>
          <w:tcPr>
            <w:tcW w:w="9580" w:type="dxa"/>
            <w:vAlign w:val="bottom"/>
            <w:shd w:val="clear" w:color="auto" w:fill="85216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52166"/>
        </w:rPr>
        <w:t>Q:  What are the treatment and effect of abstentions and broker non-votes?</w:t>
      </w:r>
    </w:p>
    <w:p>
      <w:pPr>
        <w:spacing w:after="0" w:line="127" w:lineRule="exact"/>
        <w:rPr>
          <w:sz w:val="20"/>
          <w:szCs w:val="20"/>
          <w:color w:val="auto"/>
        </w:rPr>
      </w:pPr>
    </w:p>
    <w:p>
      <w:pPr>
        <w:ind w:left="324" w:right="20" w:hanging="324"/>
        <w:spacing w:after="0" w:line="306" w:lineRule="auto"/>
        <w:tabs>
          <w:tab w:leader="none" w:pos="31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Abstentions and broker non-votes will be treated as shares present for purposes of determining the presence of a quorum for the transaction of business at the annual meeting. Abstentions and broker non-votes will not, however, be considered votes cast at the annual meeting. Because the approval of all of the proposals is based on the votes cast at the annual meeting, abstentions and, as applicable, broker non-votes will not have any effect on the outcome of voting on the proposals.</w:t>
      </w:r>
    </w:p>
    <w:p>
      <w:pPr>
        <w:spacing w:after="0" w:line="6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52166"/>
        </w:rPr>
        <w:t>Q:  What is the quorum requirement?</w:t>
      </w:r>
    </w:p>
    <w:p>
      <w:pPr>
        <w:spacing w:after="0" w:line="140" w:lineRule="exact"/>
        <w:rPr>
          <w:sz w:val="20"/>
          <w:szCs w:val="20"/>
          <w:color w:val="auto"/>
        </w:rPr>
      </w:pPr>
    </w:p>
    <w:p>
      <w:pPr>
        <w:ind w:left="324" w:hanging="324"/>
        <w:spacing w:after="0" w:line="300" w:lineRule="auto"/>
        <w:tabs>
          <w:tab w:leader="none" w:pos="31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 quorum of shareholders is necessary to hold a valid meeting. A quorum will be present if shareholders holding a majority of the issued and outstanding ordinary shares entitled to vote as of the record date are present at the annual meeting or represented by proxy. On the record date, there were 63,062,356 ordinary shares outstanding and entitled to vote. Your shares will be counted towards the quorum only if you submit a valid proxy (or if one is submitted on your behalf by your broker, bank or other agent) or, provided that you are a shareholder of record, if you vote in person at the annual meeting. Abstentions and broker non-votes will be counted towards the quorum requirement. If there is no quorum within one hour of the time scheduled for the annual meeting, the annual meeting will stand adjourned to August 1, 2024 at 9:45 a.m. local time at the same location, or such other time or place as our board may determine.</w:t>
      </w:r>
    </w:p>
    <w:p>
      <w:pPr>
        <w:spacing w:after="0" w:line="6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52166"/>
        </w:rPr>
        <w:t>Q:  How can I find out the results of the voting at the annual meeting?</w:t>
      </w:r>
    </w:p>
    <w:p>
      <w:pPr>
        <w:spacing w:after="0" w:line="140" w:lineRule="exact"/>
        <w:rPr>
          <w:sz w:val="20"/>
          <w:szCs w:val="20"/>
          <w:color w:val="auto"/>
        </w:rPr>
      </w:pPr>
    </w:p>
    <w:p>
      <w:pPr>
        <w:ind w:left="324" w:right="20" w:hanging="324"/>
        <w:spacing w:after="0" w:line="306" w:lineRule="auto"/>
        <w:tabs>
          <w:tab w:leader="none" w:pos="31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Preliminary voting results will be announced at the annual meeting. In addition, final voting results will be published in a quarterly report on Form 10-Q or a current report on Form 8-K that we expect to file with the SEC within four business days after the annual meeting. If final voting results are not available to us in time to file a Form 10-Q or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6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52166"/>
        </w:rPr>
        <w:t>Q:  What are the Irish statutory financial statements and where can I access them?</w:t>
      </w:r>
    </w:p>
    <w:p>
      <w:pPr>
        <w:spacing w:after="0" w:line="127" w:lineRule="exact"/>
        <w:rPr>
          <w:sz w:val="20"/>
          <w:szCs w:val="20"/>
          <w:color w:val="auto"/>
        </w:rPr>
      </w:pPr>
    </w:p>
    <w:p>
      <w:pPr>
        <w:ind w:left="324" w:hanging="324"/>
        <w:spacing w:after="0" w:line="303" w:lineRule="auto"/>
        <w:tabs>
          <w:tab w:leader="none" w:pos="31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We are presenting for consideration our Irish statutory financial statements, and the respective reports of the directors and the auditors thereon, at the annual meeting. Since we are an Irish company, we are required to prepare Irish statutory financial statements under applicable Irish company law and to deliver those financial statements together with the respective reports of the directors and the auditors thereon to shareholders of record in connection with our annual meetings of shareholders. The Irish statutory financial statements cover the results of operations and financial position of Jazz Pharmaceuticals plc for the year ended December 31, 2023. The Irish statutory financial statements were prepared in accordance with the International Financial Reporting Standards as adopted by the European Union and as applied in accordance with the 2014 Act. There is no requirement under Irish law that the Irish statutory financial statements be approved by the shareholders, and no such approval will be sought at the annual meeting.</w:t>
      </w:r>
    </w:p>
    <w:p>
      <w:pPr>
        <w:spacing w:after="0" w:line="75" w:lineRule="exact"/>
        <w:rPr>
          <w:rFonts w:ascii="Arial" w:cs="Arial" w:eastAsia="Arial" w:hAnsi="Arial"/>
          <w:sz w:val="16"/>
          <w:szCs w:val="16"/>
          <w:color w:val="auto"/>
        </w:rPr>
      </w:pPr>
    </w:p>
    <w:p>
      <w:pPr>
        <w:ind w:left="324" w:right="20"/>
        <w:spacing w:after="0" w:line="306" w:lineRule="auto"/>
        <w:rPr>
          <w:rFonts w:ascii="Arial" w:cs="Arial" w:eastAsia="Arial" w:hAnsi="Arial"/>
          <w:sz w:val="16"/>
          <w:szCs w:val="16"/>
          <w:color w:val="auto"/>
        </w:rPr>
      </w:pPr>
      <w:r>
        <w:rPr>
          <w:rFonts w:ascii="Arial" w:cs="Arial" w:eastAsia="Arial" w:hAnsi="Arial"/>
          <w:sz w:val="16"/>
          <w:szCs w:val="16"/>
          <w:color w:val="auto"/>
        </w:rPr>
        <w:t>Our Irish statutory financial statements, and the respective reports of the directors and the auditors thereon, will be delivered to shareholders of record in accordance with our obligations under Irish law. We will mail without charge, upon written request, a copy of the Irish statutory financial statements, together with the respective reports of the directors and the auditors thereon, to beneficial “street name” owners of our shares. Requests should be sent to: Jazz Pharmaceuticals plc, Attention: Company Secretary, Fifth Floor, Waterloo Exchange, Waterloo Road, Dublin 4, Ireland.</w:t>
      </w:r>
    </w:p>
    <w:p>
      <w:pPr>
        <w:spacing w:after="0" w:line="200" w:lineRule="exact"/>
        <w:rPr>
          <w:sz w:val="20"/>
          <w:szCs w:val="20"/>
          <w:color w:val="auto"/>
        </w:rPr>
      </w:pPr>
    </w:p>
    <w:p>
      <w:pPr>
        <w:spacing w:after="0" w:line="365"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r>
        <w:rPr>
          <w:rFonts w:ascii="Arial" w:cs="Arial" w:eastAsia="Arial" w:hAnsi="Arial"/>
          <w:sz w:val="14"/>
          <w:szCs w:val="14"/>
          <w:color w:val="auto"/>
        </w:rPr>
        <w:tab/>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259715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4"/>
          </w:cols>
          <w:pgMar w:left="296" w:top="1057" w:right="35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b w:val="1"/>
          <w:bCs w:val="1"/>
          <w:color w:val="852166"/>
        </w:rPr>
        <w:t>Q:  What proxy materials are available on the internet?</w:t>
      </w:r>
    </w:p>
    <w:p>
      <w:pPr>
        <w:spacing w:after="0" w:line="127"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tab/>
        <w:t>This proxy statement, our letter to shareholders and the 2023 Annual Report on Form 10-K are available at https://materials.proxyvote.com/G50871.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4"/>
          <w:szCs w:val="14"/>
          <w:color w:val="auto"/>
        </w:rPr>
        <w:t>106</w:t>
        <w:tab/>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00" w:top="1057" w:right="699" w:bottom="1440" w:gutter="0" w:footer="0" w:header="0"/>
        </w:sectPr>
      </w:pPr>
    </w:p>
    <w:bookmarkStart w:id="110" w:name="page111"/>
    <w:bookmarkEnd w:id="110"/>
    <w:p>
      <w:pPr>
        <w:spacing w:after="0"/>
        <w:rPr>
          <w:sz w:val="20"/>
          <w:szCs w:val="20"/>
          <w:color w:val="auto"/>
        </w:rPr>
      </w:pPr>
      <w:r>
        <w:rPr>
          <w:rFonts w:ascii="Arial" w:cs="Arial" w:eastAsia="Arial" w:hAnsi="Arial"/>
          <w:sz w:val="32"/>
          <w:szCs w:val="32"/>
          <w:b w:val="1"/>
          <w:bCs w:val="1"/>
          <w:color w:val="852166"/>
        </w:rPr>
        <w:t>OTHER MATTERS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Presentation of Irish Statutory Financial Statements</w:t>
      </w:r>
    </w:p>
    <w:p>
      <w:pPr>
        <w:spacing w:after="0" w:line="13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Our Irish statutory financial statements for the fiscal year ended December 31, 2023, together with the reports of the directors and auditors thereon, will be presented and considered at the annual meeting in accordance with the requirements of the 2014 Act. Our Irish statutory financial statements have been approved by our board. There is no requirement under Irish law that such statements be approved by shareholders, and no such approval will be sought at the annual meeting.</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Delinquent Section 16(a) Reports</w:t>
      </w:r>
    </w:p>
    <w:p>
      <w:pPr>
        <w:spacing w:after="0" w:line="144"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Section 16(a) of the Exchange Act requires our directors, executive officers and persons who beneficially own more than 10% of the outstanding shares of our ordinary shares to file reports of their stock ownership and changes in their ownership of our ordinary shares with the SEC. Based solely on a review of the reports filed for fiscal year 2023 and related written representations, we believe that all Section 16(a) reports were filed on a timely basis, except for a late filing due to an inadvertent administrative error of one Form 4 to report the sale of 50 shares purchased through our Employee Stock Purchase Plan by Patricia Carr in December 2023.</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Registered and Principal Executive Offices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registered and principal executive offices of Jazz Pharmaceuticals plc are located at Fifth Floor, Waterloo Exchange, Waterloo Road, Dublin 4, Ireland.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telephone number there is +353.1.634.7800.</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Shareholder Proposals and Director Nominations for the 2025 Annual Meeting</w:t>
      </w:r>
    </w:p>
    <w:p>
      <w:pPr>
        <w:spacing w:after="0" w:line="144"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auto"/>
        </w:rPr>
        <w:t>Our shareholders may submit proposals on matters appropriate for shareholder action at shareholder meetings in accordance with Rule 14a-8 promulgated under the Exchange Act. For such proposals to be included in our proxy materials relating to our 2025 annual meeting of shareholders, all applicable requirements of Rule 14a-8 must be satisfied and, pursuant to Rule 14a-8, such proposals must be received by us no later than February 14, 2025. However, if our 2025 annual meeting of shareholders is not held between June 25, 2025 and August 24, 2025, then the deadline will be a reasonable time prior to the time that we begin to print and mail our proxy materials. Such proposals should be delivered to Jazz Pharmaceuticals plc, Attention: Company Secretary, Fifth Floor, Waterloo Exchange, Waterloo Road, Dublin 4, Ireland.</w:t>
      </w:r>
    </w:p>
    <w:p>
      <w:pPr>
        <w:spacing w:after="0" w:line="7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constitution provide that shareholder nominations of persons to be elected to our board at an annual meeting must be made following written notice to our Company Secretary which is executed by a shareholder and accompanied by certain background and other information specified in our constitution. Such written notice and information must be received by our Company Secretary not later than the close of business on March 16, 2025 nor earlier than January 15, 2025; provided, however, that in the event our 2025 annual meeting of shareholders is not held between June 25, 2025 and August 24, 2025, notice must be delivered no earlier than 150 days prior to nor later than the later of 90 days prior to the date of the 2025 annual meeting or the 10th day following the day on which public announcement of the date of such meeting is first made. In addition to satisfying the informational requirements in our constitution, shareholders intending to solicit proxies in support of director nominees other than our nominees must provide in their notice any additional information required by Rule 14a-19(b) promulgated under the Exchange Act. Our constitution provide that other proposals may only be proposed at an annual meeting if either (i) it is proposed by or at the direction of our board; (ii) it is proposed at the direction of the Irish High Court; or (ii) the chairperson of the meeting decides, in his or her absolute discretion, that the proposal may properly be regarded as within the scope of the relevant meeting. In addition, the proxy solicited by our board for the 2025 annual meeting of shareholders will confer discretionary voting authority with respect to (i) any proposal presented by a shareholder at that meeting for which we have not been provided with notice by April 30, 2025 and (ii), if we have received notice of such proposal by April 30, 2025, any matter, provided that (i) the 2025 proxy statement briefly describes such matter and how management’s proxy holders intend to vote on it and (ii) the shareholder does not comply with the requirements of Rule 14a-4(c)(2) promulgated under the Exchange Act. On any other business which may properly come before the 2025 annual meeting of shareholders, or any adjournment thereof, and whether procedural or substantive in nature (including without limitation any motion to amend a resolution or adjourn the meeting) not specified in this proxy statement, the proxy holder will act at his or her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r>
        <w:rPr>
          <w:rFonts w:ascii="Arial" w:cs="Arial" w:eastAsia="Arial" w:hAnsi="Arial"/>
          <w:sz w:val="14"/>
          <w:szCs w:val="14"/>
          <w:color w:val="auto"/>
        </w:rPr>
        <w:tab/>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111" w:name="page112"/>
    <w:bookmarkEnd w:id="111"/>
    <w:p>
      <w:pPr>
        <w:spacing w:after="0"/>
        <w:rPr>
          <w:sz w:val="20"/>
          <w:szCs w:val="20"/>
          <w:color w:val="auto"/>
        </w:rPr>
      </w:pPr>
      <w:r>
        <w:rPr>
          <w:rFonts w:ascii="Arial" w:cs="Arial" w:eastAsia="Arial" w:hAnsi="Arial"/>
          <w:sz w:val="20"/>
          <w:szCs w:val="20"/>
          <w:b w:val="1"/>
          <w:bCs w:val="1"/>
          <w:color w:val="852166"/>
        </w:rPr>
        <w:t>Householding of Proxy Materials</w:t>
      </w:r>
    </w:p>
    <w:p>
      <w:pPr>
        <w:spacing w:after="0" w:line="13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SEC has adopted rules that permit companies and intermediaries (such as brokers) to satisfy the delivery requirements for Notices and proxy materials with respect to two or more shareholders sharing the same address by delivering a single Notice or a single set of proxy materials, as applicable, addressed to those shareholders. This process, which is commonly referred to as “householding” potentially means extra convenience for shareholders and cost savings for companies.</w:t>
      </w:r>
    </w:p>
    <w:p>
      <w:pPr>
        <w:spacing w:after="0" w:line="69"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A number of brokers with account holders who are Jazz Pharmaceuticals shareholders will be “householding” Notices and our proxy materials. A single Notice or a single set of proxy materials, as applicable, may be delivered to multiple shareholders sharing an address unless contrary instructions have been received from the affected shareholders. Once you have received notice from your broker that it will be “householding” communications to your address, “householding” will continue until you are notified otherwise or until you revoke your consent. If, at any time, you no longer wish to participate in “householding” and would prefer to receive a separate Notice or set of proxy materials, as applicable, in the future you may: (1) notify your broker, (2) direct your written request to Jazz Pharmaceuticals plc, Attention: Investor Relations, Fifth Floor, Waterloo Exchange, Waterloo Road, Dublin 4, Ireland or (3) contact our Investor Relations department at +353.1.634.3211 (Ireland) or +1.650.496.2717 (United States) or by email at investorinfo@jazzpharmaceuticals.com. Shareholders who currently receive multiple copies of Notices or proxy materials at their address and would like to request “householding” of their communications should contact their broker. In addition, we will promptly deliver, upon written or oral request to the address or telephone number above, a separate copy of a Notice or set of proxy materials to a shareholder at a shared address to which a single Notice or set of proxy materials, as applicable, was delivered.</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Annual Report on Form 10-K</w:t>
      </w:r>
    </w:p>
    <w:p>
      <w:pPr>
        <w:spacing w:after="0" w:line="144" w:lineRule="exact"/>
        <w:rPr>
          <w:sz w:val="20"/>
          <w:szCs w:val="20"/>
          <w:color w:val="auto"/>
        </w:rPr>
      </w:pPr>
    </w:p>
    <w:p>
      <w:pPr>
        <w:ind w:right="240"/>
        <w:spacing w:after="0" w:line="324" w:lineRule="auto"/>
        <w:rPr>
          <w:sz w:val="20"/>
          <w:szCs w:val="20"/>
          <w:color w:val="auto"/>
        </w:rPr>
      </w:pPr>
      <w:r>
        <w:rPr>
          <w:rFonts w:ascii="Arial" w:cs="Arial" w:eastAsia="Arial" w:hAnsi="Arial"/>
          <w:sz w:val="16"/>
          <w:szCs w:val="16"/>
          <w:b w:val="1"/>
          <w:bCs w:val="1"/>
          <w:color w:val="auto"/>
        </w:rPr>
        <w:t>We will mail without charge, upon written request, a copy of our 2023 Annual Report on Form 10-K, including the consolidated financial statements, schedules and list of exhibits, and any particular exhibit specifically requested. Requests should be sent to: Jazz Pharmaceuticals plc, Attention: Aislinn Doody, Company Secretary, Fifth Floor, Waterloo Exchange, Waterloo Road, Dublin 4, Ireland.</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Special Note Regarding Forward-Looking Statements</w:t>
      </w:r>
    </w:p>
    <w:p>
      <w:pPr>
        <w:spacing w:after="0" w:line="14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proxy statement contains forward-looking statements, including, but not limited to, statements related to our growth prospects and future financial and operating performance, including Vision 2025 and expectations related thereto; our strategy to create sustainable and enhanced growth and value, including statements related to the potential ways in which we intend to advance our business, grow and diversify our portfolio and revenues, and increase shareholder value; the goals of our CSSI strategy, efforts and initiatives; our anticipated needs with respect to the issuance of our share capital and our ability to execute on our growth strategy; any potential future strategic opportunities, including potential acquisitions or other business development transactions; the anticipated benefits to us of our corporate development transactions and research and development efforts; the goals of I-CARE, our compliance and ethics program; the goals of our executive compensation programs; and other statements that are not historical facts. These forward-looking statements are based on our current plans, objectives, estimates, expectations and intentions and inherently involve significant risks and uncertainties. Actual results and the timing of events could differ materially from those anticipated in such forward-looking statements as a result of these risks and uncertainties, which include, without limitation, risks and uncertainties associated with: maintaining or increasing sales of and revenue from Xywav, Rylaze, Epidiolex/Epidyolex and other key marketed products; the introduction of new products into the U.S. market that compete with, or otherwise disrupt the market for our products and product candidates; effectively launching and commercializing our other products and product candidates; the successful completion of development and regulatory activities with respect to our product candidates; obtaining and maintaining adequate coverage and reimbursement for our products; the time-consuming and uncertain regulatory approval process, including the risk that our current and/or planned regulatory submissions may not be submitted, accepted or approved by applicable regulatory authorities in a timely manner or at all; the costly and time-consuming pharmaceutical product development and the uncertainty of clinical success, including risks related to failure or delays in successfully initiating or completing clinical trials and assessing patients; global economic, financial, and healthcare system disruptions and the current and potential future negative impacts to our business operations and financial results; geopolitical events, including the conflict between Russia and Ukraine and related sanctions; macroeconomic conditions, including global financial markets, rising interest rates and inflation and recent and potential banking disruptions; regulatory initiatives and changes in tax laws; market volatility; protecting and enhancing our intellectual property rights and our commercial success being dependent upon obtaining, maintaining and defending intellectual property protection for our products and product candidates; delays or problems in the supply or manufacture of our products and product candidates; complying with applicable U.S. and non-U.S. regulatory requirements, including those governing</w:t>
      </w:r>
    </w:p>
    <w:p>
      <w:pPr>
        <w:spacing w:after="0" w:line="200" w:lineRule="exact"/>
        <w:rPr>
          <w:sz w:val="20"/>
          <w:szCs w:val="20"/>
          <w:color w:val="auto"/>
        </w:rPr>
      </w:pPr>
    </w:p>
    <w:p>
      <w:pPr>
        <w:spacing w:after="0" w:line="385"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color w:val="auto"/>
        </w:rPr>
        <w:t>108</w:t>
        <w:tab/>
        <w:t xml:space="preserve">2024 Proxy Statement </w:t>
      </w:r>
      <w:r>
        <w:rPr>
          <w:rFonts w:ascii="Arial" w:cs="Arial" w:eastAsia="Arial" w:hAnsi="Arial"/>
          <w:sz w:val="14"/>
          <w:szCs w:val="14"/>
          <w:color w:val="852166"/>
        </w:rPr>
        <w:t>| JAZZ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5" w:right="359" w:bottom="1440" w:gutter="0" w:footer="0" w:header="0"/>
        </w:sectPr>
      </w:pPr>
    </w:p>
    <w:bookmarkStart w:id="112" w:name="page113"/>
    <w:bookmarkEnd w:id="112"/>
    <w:p>
      <w:pPr>
        <w:ind w:right="40"/>
        <w:spacing w:after="0" w:line="298" w:lineRule="auto"/>
        <w:rPr>
          <w:sz w:val="20"/>
          <w:szCs w:val="20"/>
          <w:color w:val="auto"/>
        </w:rPr>
      </w:pPr>
      <w:r>
        <w:rPr>
          <w:rFonts w:ascii="Arial" w:cs="Arial" w:eastAsia="Arial" w:hAnsi="Arial"/>
          <w:sz w:val="16"/>
          <w:szCs w:val="16"/>
          <w:color w:val="auto"/>
        </w:rPr>
        <w:t>the research, development, manufacturing and distribution of controlled substances; government investigations, legal proceedings and other actions; identifying and consummating corporate development transactions, financing these transactions and successfully integrating acquired product candidates, products and businesses; our ability to realize the anticipated benefits of our business development transactions and collaborations and license agreements with third parties; the sufficiency of our cash flows and capital resources; challenges inherent in efficiently managing employees in diverse geographies and creating and maintaining a positive workplace culture; the aspirational nature of our CSSI strategies, efforts and initiatives, which are not guarantees or promises that such goals, initiatives and objectives will be met; our ability to meet our projected long-term goals and objectives, including as part of Vision 2025, in the time periods that we anticipate, or at all, and the inherent uncertainty and significant judgments and assumptions underlying our long-term goals and objectives; our ability to identify, compete with others for, and successfully complete any potential future business development transactions; and other risks and uncertainties affecting us, including those described from time to time under the caption “Risk Factors” and elsewhere in Jazz Pharmaceuticals’ Securities and Exchange Commission filings and reports, including Jazz Pharmaceuticals’ Annual Report on Form 10-K for the year ended December 31, 2023, as supplemented by our Quarterly Report on Form 10-Q for the quarter ended March 31, 2024, and subsequent filings and reports by Jazz Pharmaceuticals. Other risks and uncertainties of which we are not currently aware may also affect our forward-looking statements and may cause actual results and timing of events to differ materially from those anticipated. The forward-looking statements herein are made only as of the date of this proxy statement or as of the dates indicated in the forward-looking statements, even if they are subsequently made available by us on our website or otherwise. We undertake no obligation to update or supplement any forward-looking statements to reflect actual results, new information, future events, changes in our expectations or other circumstances that exist after the date as of which the forward-looking statements were made.</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852166"/>
        </w:rPr>
        <w:t>General</w:t>
      </w:r>
    </w:p>
    <w:p>
      <w:pPr>
        <w:spacing w:after="0" w:line="13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Your proxy is solicited on behalf of our board. Unless otherwise directed, at the annual meeting (or any adjournment thereof), proxies will be voted “FOR” all of the nominees listed in Proposal 1, “FOR” Proposals 2, 3, 5 and 6, and for the frequency option of every “1 YEAR” with respect to Proposal 4. If any matter other than those described in this proxy statement properly comes before the annual meeting (or any adjournment thereof), it is the intention of the persons named in the accompanying proxy to vote on such matters in accordance with their best judgment.</w:t>
      </w:r>
    </w:p>
    <w:p>
      <w:pPr>
        <w:spacing w:after="0" w:line="4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By order of our board,</w:t>
      </w:r>
    </w:p>
    <w:p>
      <w:pPr>
        <w:spacing w:after="0" w:line="14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/s/ Aislinn Doody</w:t>
      </w:r>
    </w:p>
    <w:p>
      <w:pPr>
        <w:spacing w:after="0" w:line="15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Aislinn Doody, Company Secretary</w:t>
      </w:r>
    </w:p>
    <w:p>
      <w:pPr>
        <w:spacing w:after="0" w:line="3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Dublin, Ireland</w:t>
      </w:r>
    </w:p>
    <w:p>
      <w:pPr>
        <w:spacing w:after="0" w:line="2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June 14, 2024</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color w:val="852166"/>
        </w:rPr>
        <w:t xml:space="preserve">JAZZ PHARMACEUTICALS | </w:t>
      </w:r>
      <w:r>
        <w:rPr>
          <w:rFonts w:ascii="Arial" w:cs="Arial" w:eastAsia="Arial" w:hAnsi="Arial"/>
          <w:sz w:val="14"/>
          <w:szCs w:val="14"/>
          <w:color w:val="000000"/>
        </w:rPr>
        <w:t>2024 Proxy Statement</w:t>
      </w:r>
      <w:r>
        <w:rPr>
          <w:rFonts w:ascii="Arial" w:cs="Arial" w:eastAsia="Arial" w:hAnsi="Arial"/>
          <w:sz w:val="14"/>
          <w:szCs w:val="14"/>
          <w:color w:val="auto"/>
        </w:rPr>
        <w:tab/>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89369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8936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243205</wp:posOffset>
            </wp:positionV>
            <wp:extent cx="6789420" cy="87782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lvl w:ilvl="1">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
      <w:numFmt w:val="bullet"/>
      <w:start w:val="1"/>
    </w:lvl>
  </w:abstractNum>
  <w:abstractNum w:abstractNumId="5">
    <w:nsid w:val="579BE4F1"/>
    <w:multiLevelType w:val="hybridMultilevel"/>
    <w:lvl w:ilvl="0">
      <w:lvlJc w:val="left"/>
      <w:lvlText w:val="•"/>
      <w:numFmt w:val="bullet"/>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2"/>
      <w:numFmt w:val="bullet"/>
      <w:start w:val="1"/>
    </w:lvl>
  </w:abstractNum>
  <w:abstractNum w:abstractNumId="8">
    <w:nsid w:val="2F305DEF"/>
    <w:multiLevelType w:val="hybridMultilevel"/>
    <w:lvl w:ilvl="0">
      <w:lvlJc w:val="left"/>
      <w:lvlText w:val="(%1)"/>
      <w:numFmt w:val="decimal"/>
      <w:start w:val="1"/>
    </w:lvl>
  </w:abstractNum>
  <w:abstractNum w:abstractNumId="9">
    <w:nsid w:val="25A70BF7"/>
    <w:multiLevelType w:val="hybridMultilevel"/>
    <w:lvl w:ilvl="0">
      <w:lvlJc w:val="left"/>
      <w:lvlText w:val="•"/>
      <w:numFmt w:val="bullet"/>
      <w:start w:val="1"/>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4"/>
      <w:numFmt w:val="bullet"/>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6"/>
      <w:numFmt w:val="bullet"/>
      <w:start w:val="1"/>
    </w:lvl>
  </w:abstractNum>
  <w:abstractNum w:abstractNumId="17">
    <w:nsid w:val="15014ACB"/>
    <w:multiLevelType w:val="hybridMultilevel"/>
    <w:lvl w:ilvl="0">
      <w:lvlJc w:val="left"/>
      <w:lvlText w:val="(%1)"/>
      <w:numFmt w:val="decimal"/>
    </w:lvl>
    <w:lvl w:ilvl="1">
      <w:lvlJc w:val="left"/>
      <w:lvlText w:val="•"/>
      <w:numFmt w:val="bullet"/>
      <w:start w:val="1"/>
    </w:lvl>
  </w:abstractNum>
  <w:abstractNum w:abstractNumId="18">
    <w:nsid w:val="5F5E7FD0"/>
    <w:multiLevelType w:val="hybridMultilevel"/>
    <w:lvl w:ilvl="0">
      <w:lvlJc w:val="left"/>
      <w:lvlText w:val="•"/>
      <w:numFmt w:val="bullet"/>
      <w:start w:val="1"/>
    </w:lvl>
  </w:abstractNum>
  <w:abstractNum w:abstractNumId="19">
    <w:nsid w:val="98A3148"/>
    <w:multiLevelType w:val="hybridMultilevel"/>
    <w:lvl w:ilvl="0">
      <w:lvlJc w:val="left"/>
      <w:lvlText w:val="•"/>
      <w:numFmt w:val="bullet"/>
      <w:start w:val="1"/>
    </w:lvl>
  </w:abstractNum>
  <w:abstractNum w:abstractNumId="20">
    <w:nsid w:val="799D0247"/>
    <w:multiLevelType w:val="hybridMultilevel"/>
    <w:lvl w:ilvl="0">
      <w:lvlJc w:val="left"/>
      <w:lvlText w:val="•"/>
      <w:numFmt w:val="bullet"/>
      <w:start w:val="1"/>
    </w:lvl>
  </w:abstractNum>
  <w:abstractNum w:abstractNumId="21">
    <w:nsid w:val="6B94764"/>
    <w:multiLevelType w:val="hybridMultilevel"/>
    <w:lvl w:ilvl="0">
      <w:lvlJc w:val="left"/>
      <w:lvlText w:val="(%1)"/>
      <w:numFmt w:val="decimal"/>
      <w:start w:val="1"/>
    </w:lvl>
  </w:abstractNum>
  <w:abstractNum w:abstractNumId="22">
    <w:nsid w:val="42C296BD"/>
    <w:multiLevelType w:val="hybridMultilevel"/>
    <w:lvl w:ilvl="0">
      <w:lvlJc w:val="left"/>
      <w:lvlText w:val="(%1)"/>
      <w:numFmt w:val="decimal"/>
      <w:start w:val="1"/>
    </w:lvl>
  </w:abstractNum>
  <w:abstractNum w:abstractNumId="23">
    <w:nsid w:val="168E121F"/>
    <w:multiLevelType w:val="hybridMultilevel"/>
    <w:lvl w:ilvl="0">
      <w:lvlJc w:val="left"/>
      <w:lvlText w:val="*"/>
      <w:numFmt w:val="bullet"/>
      <w:start w:val="1"/>
    </w:lvl>
  </w:abstractNum>
  <w:abstractNum w:abstractNumId="24">
    <w:nsid w:val="1EBA5D23"/>
    <w:multiLevelType w:val="hybridMultilevel"/>
    <w:lvl w:ilvl="0">
      <w:lvlJc w:val="left"/>
      <w:lvlText w:val="*"/>
      <w:numFmt w:val="bullet"/>
      <w:start w:val="1"/>
    </w:lvl>
  </w:abstractNum>
  <w:abstractNum w:abstractNumId="25">
    <w:nsid w:val="661E3F1E"/>
    <w:multiLevelType w:val="hybridMultilevel"/>
    <w:lvl w:ilvl="0">
      <w:lvlJc w:val="left"/>
      <w:lvlText w:val="*"/>
      <w:numFmt w:val="bullet"/>
      <w:start w:val="1"/>
    </w:lvl>
  </w:abstractNum>
  <w:abstractNum w:abstractNumId="26">
    <w:nsid w:val="5DC79EA8"/>
    <w:multiLevelType w:val="hybridMultilevel"/>
    <w:lvl w:ilvl="0">
      <w:lvlJc w:val="left"/>
      <w:lvlText w:val="*"/>
      <w:numFmt w:val="bullet"/>
      <w:start w:val="1"/>
    </w:lvl>
  </w:abstractNum>
  <w:abstractNum w:abstractNumId="27">
    <w:nsid w:val="540A471C"/>
    <w:multiLevelType w:val="hybridMultilevel"/>
    <w:lvl w:ilvl="0">
      <w:lvlJc w:val="left"/>
      <w:lvlText w:val="•"/>
      <w:numFmt w:val="bullet"/>
      <w:start w:val="1"/>
    </w:lvl>
  </w:abstractNum>
  <w:abstractNum w:abstractNumId="28">
    <w:nsid w:val="7BD3EE7B"/>
    <w:multiLevelType w:val="hybridMultilevel"/>
    <w:lvl w:ilvl="0">
      <w:lvlJc w:val="left"/>
      <w:lvlText w:val="•"/>
      <w:numFmt w:val="bullet"/>
      <w:start w:val="1"/>
    </w:lvl>
  </w:abstractNum>
  <w:abstractNum w:abstractNumId="29">
    <w:nsid w:val="51D9C564"/>
    <w:multiLevelType w:val="hybridMultilevel"/>
    <w:lvl w:ilvl="0">
      <w:lvlJc w:val="left"/>
      <w:lvlText w:val="•"/>
      <w:numFmt w:val="bullet"/>
      <w:start w:val="1"/>
    </w:lvl>
  </w:abstractNum>
  <w:abstractNum w:abstractNumId="30">
    <w:nsid w:val="613EFDC5"/>
    <w:multiLevelType w:val="hybridMultilevel"/>
    <w:lvl w:ilvl="0">
      <w:lvlJc w:val="left"/>
      <w:lvlText w:val="(%1)"/>
      <w:numFmt w:val="decimal"/>
      <w:start w:val="1"/>
    </w:lvl>
  </w:abstractNum>
  <w:abstractNum w:abstractNumId="31">
    <w:nsid w:val="BF72B14"/>
    <w:multiLevelType w:val="hybridMultilevel"/>
    <w:lvl w:ilvl="0">
      <w:lvlJc w:val="left"/>
      <w:lvlText w:val="•"/>
      <w:numFmt w:val="bullet"/>
      <w:start w:val="1"/>
    </w:lvl>
  </w:abstractNum>
  <w:abstractNum w:abstractNumId="32">
    <w:nsid w:val="11447B73"/>
    <w:multiLevelType w:val="hybridMultilevel"/>
    <w:lvl w:ilvl="0">
      <w:lvlJc w:val="left"/>
      <w:lvlText w:val="•"/>
      <w:numFmt w:val="bullet"/>
      <w:start w:val="1"/>
    </w:lvl>
  </w:abstractNum>
  <w:abstractNum w:abstractNumId="33">
    <w:nsid w:val="42963E5A"/>
    <w:multiLevelType w:val="hybridMultilevel"/>
    <w:lvl w:ilvl="0">
      <w:lvlJc w:val="left"/>
      <w:lvlText w:val="•"/>
      <w:numFmt w:val="bullet"/>
      <w:start w:val="1"/>
    </w:lvl>
  </w:abstractNum>
  <w:abstractNum w:abstractNumId="34">
    <w:nsid w:val="A0382C5"/>
    <w:multiLevelType w:val="hybridMultilevel"/>
    <w:lvl w:ilvl="0">
      <w:lvlJc w:val="left"/>
      <w:lvlText w:val="•"/>
      <w:numFmt w:val="bullet"/>
      <w:start w:val="1"/>
    </w:lvl>
  </w:abstractNum>
  <w:abstractNum w:abstractNumId="35">
    <w:nsid w:val="8F2B15E"/>
    <w:multiLevelType w:val="hybridMultilevel"/>
    <w:lvl w:ilvl="0">
      <w:lvlJc w:val="left"/>
      <w:lvlText w:val="•"/>
      <w:numFmt w:val="bullet"/>
      <w:start w:val="1"/>
    </w:lvl>
  </w:abstractNum>
  <w:abstractNum w:abstractNumId="36">
    <w:nsid w:val="1A32234B"/>
    <w:multiLevelType w:val="hybridMultilevel"/>
    <w:lvl w:ilvl="0">
      <w:lvlJc w:val="left"/>
      <w:lvlText w:val="•"/>
      <w:numFmt w:val="bullet"/>
      <w:start w:val="1"/>
    </w:lvl>
  </w:abstractNum>
  <w:abstractNum w:abstractNumId="37">
    <w:nsid w:val="3B0FD379"/>
    <w:multiLevelType w:val="hybridMultilevel"/>
    <w:lvl w:ilvl="0">
      <w:lvlJc w:val="left"/>
      <w:lvlText w:val="•"/>
      <w:numFmt w:val="bullet"/>
      <w:start w:val="1"/>
    </w:lvl>
  </w:abstractNum>
  <w:abstractNum w:abstractNumId="38">
    <w:nsid w:val="68EB2F63"/>
    <w:multiLevelType w:val="hybridMultilevel"/>
    <w:lvl w:ilvl="0">
      <w:lvlJc w:val="left"/>
      <w:lvlText w:val="•"/>
      <w:numFmt w:val="bullet"/>
      <w:start w:val="1"/>
    </w:lvl>
  </w:abstractNum>
  <w:abstractNum w:abstractNumId="39">
    <w:nsid w:val="4962813B"/>
    <w:multiLevelType w:val="hybridMultilevel"/>
    <w:lvl w:ilvl="0">
      <w:lvlJc w:val="left"/>
      <w:lvlText w:val="(%1)"/>
      <w:numFmt w:val="decimal"/>
      <w:start w:val="1"/>
    </w:lvl>
  </w:abstractNum>
  <w:abstractNum w:abstractNumId="40">
    <w:nsid w:val="60B6DF70"/>
    <w:multiLevelType w:val="hybridMultilevel"/>
    <w:lvl w:ilvl="0">
      <w:lvlJc w:val="left"/>
      <w:lvlText w:val="&amp;"/>
      <w:numFmt w:val="bullet"/>
      <w:start w:val="1"/>
    </w:lvl>
  </w:abstractNum>
  <w:abstractNum w:abstractNumId="41">
    <w:nsid w:val="6A5EE64"/>
    <w:multiLevelType w:val="hybridMultilevel"/>
    <w:lvl w:ilvl="0">
      <w:lvlJc w:val="left"/>
      <w:lvlText w:val="(%1)"/>
      <w:numFmt w:val="decimal"/>
      <w:start w:val="1"/>
    </w:lvl>
  </w:abstractNum>
  <w:abstractNum w:abstractNumId="42">
    <w:nsid w:val="14330624"/>
    <w:multiLevelType w:val="hybridMultilevel"/>
    <w:lvl w:ilvl="0">
      <w:lvlJc w:val="left"/>
      <w:lvlText w:val="•"/>
      <w:numFmt w:val="bullet"/>
      <w:start w:val="1"/>
    </w:lvl>
  </w:abstractNum>
  <w:abstractNum w:abstractNumId="43">
    <w:nsid w:val="7FFFCA11"/>
    <w:multiLevelType w:val="hybridMultilevel"/>
    <w:lvl w:ilvl="0">
      <w:lvlJc w:val="left"/>
      <w:lvlText w:val="(%1)"/>
      <w:numFmt w:val="decimal"/>
      <w:start w:val="1"/>
    </w:lvl>
  </w:abstractNum>
  <w:abstractNum w:abstractNumId="44">
    <w:nsid w:val="1A27709E"/>
    <w:multiLevelType w:val="hybridMultilevel"/>
    <w:lvl w:ilvl="0">
      <w:lvlJc w:val="left"/>
      <w:lvlText w:val="•"/>
      <w:numFmt w:val="bullet"/>
      <w:start w:val="1"/>
    </w:lvl>
  </w:abstractNum>
  <w:abstractNum w:abstractNumId="45">
    <w:nsid w:val="71EA1109"/>
    <w:multiLevelType w:val="hybridMultilevel"/>
    <w:lvl w:ilvl="0">
      <w:lvlJc w:val="left"/>
      <w:lvlText w:val="•"/>
      <w:numFmt w:val="bullet"/>
      <w:start w:val="1"/>
    </w:lvl>
  </w:abstractNum>
  <w:abstractNum w:abstractNumId="46">
    <w:nsid w:val="100F59DC"/>
    <w:multiLevelType w:val="hybridMultilevel"/>
    <w:lvl w:ilvl="0">
      <w:lvlJc w:val="left"/>
      <w:lvlText w:val="•"/>
      <w:numFmt w:val="bullet"/>
      <w:start w:val="1"/>
    </w:lvl>
  </w:abstractNum>
  <w:abstractNum w:abstractNumId="47">
    <w:nsid w:val="7FB7E0AA"/>
    <w:multiLevelType w:val="hybridMultilevel"/>
    <w:lvl w:ilvl="0">
      <w:lvlJc w:val="left"/>
      <w:lvlText w:val="•"/>
      <w:numFmt w:val="bullet"/>
      <w:start w:val="1"/>
    </w:lvl>
  </w:abstractNum>
  <w:abstractNum w:abstractNumId="48">
    <w:nsid w:val="6EB5BD4"/>
    <w:multiLevelType w:val="hybridMultilevel"/>
    <w:lvl w:ilvl="0">
      <w:lvlJc w:val="left"/>
      <w:lvlText w:val="ü"/>
      <w:numFmt w:val="bullet"/>
      <w:start w:val="1"/>
    </w:lvl>
  </w:abstractNum>
  <w:abstractNum w:abstractNumId="49">
    <w:nsid w:val="6F6DD9AC"/>
    <w:multiLevelType w:val="hybridMultilevel"/>
    <w:lvl w:ilvl="0">
      <w:lvlJc w:val="left"/>
      <w:lvlText w:val="•"/>
      <w:numFmt w:val="bullet"/>
      <w:start w:val="1"/>
    </w:lvl>
  </w:abstractNum>
  <w:abstractNum w:abstractNumId="50">
    <w:nsid w:val="94211F2"/>
    <w:multiLevelType w:val="hybridMultilevel"/>
    <w:lvl w:ilvl="0">
      <w:lvlJc w:val="left"/>
      <w:lvlText w:val="•"/>
      <w:numFmt w:val="bullet"/>
      <w:start w:val="1"/>
    </w:lvl>
  </w:abstractNum>
  <w:abstractNum w:abstractNumId="51">
    <w:nsid w:val="885E1B"/>
    <w:multiLevelType w:val="hybridMultilevel"/>
    <w:lvl w:ilvl="0">
      <w:lvlJc w:val="left"/>
      <w:lvlText w:val="•"/>
      <w:numFmt w:val="bullet"/>
      <w:start w:val="1"/>
    </w:lvl>
  </w:abstractNum>
  <w:abstractNum w:abstractNumId="52">
    <w:nsid w:val="76272110"/>
    <w:multiLevelType w:val="hybridMultilevel"/>
    <w:lvl w:ilvl="0">
      <w:lvlJc w:val="left"/>
      <w:lvlText w:val="(%1)"/>
      <w:numFmt w:val="decimal"/>
      <w:start w:val="1"/>
    </w:lvl>
  </w:abstractNum>
  <w:abstractNum w:abstractNumId="53">
    <w:nsid w:val="4C04A8AF"/>
    <w:multiLevelType w:val="hybridMultilevel"/>
    <w:lvl w:ilvl="0">
      <w:lvlJc w:val="left"/>
      <w:lvlText w:val="•"/>
      <w:numFmt w:val="bullet"/>
      <w:start w:val="1"/>
    </w:lvl>
  </w:abstractNum>
  <w:abstractNum w:abstractNumId="54">
    <w:nsid w:val="1716703B"/>
    <w:multiLevelType w:val="hybridMultilevel"/>
    <w:lvl w:ilvl="0">
      <w:lvlJc w:val="left"/>
      <w:lvlText w:val="%1."/>
      <w:numFmt w:val="decimal"/>
      <w:start w:val="3"/>
    </w:lvl>
  </w:abstractNum>
  <w:abstractNum w:abstractNumId="55">
    <w:nsid w:val="14E17E33"/>
    <w:multiLevelType w:val="hybridMultilevel"/>
    <w:lvl w:ilvl="0">
      <w:lvlJc w:val="left"/>
      <w:lvlText w:val="%1."/>
      <w:numFmt w:val="decimal"/>
      <w:start w:val="4"/>
    </w:lvl>
  </w:abstractNum>
  <w:abstractNum w:abstractNumId="56">
    <w:nsid w:val="3222E7CD"/>
    <w:multiLevelType w:val="hybridMultilevel"/>
    <w:lvl w:ilvl="0">
      <w:lvlJc w:val="left"/>
      <w:lvlText w:val="(%1)"/>
      <w:numFmt w:val="decimal"/>
      <w:start w:val="1"/>
    </w:lvl>
  </w:abstractNum>
  <w:abstractNum w:abstractNumId="57">
    <w:nsid w:val="74DE0EE3"/>
    <w:multiLevelType w:val="hybridMultilevel"/>
    <w:lvl w:ilvl="0">
      <w:lvlJc w:val="left"/>
      <w:lvlText w:val="(%1)"/>
      <w:numFmt w:val="decimal"/>
      <w:start w:val="3"/>
    </w:lvl>
    <w:lvl w:ilvl="1">
      <w:lvlJc w:val="left"/>
      <w:lvlText w:val="(%2)"/>
      <w:numFmt w:val="lowerRoman"/>
      <w:start w:val="3"/>
    </w:lvl>
    <w:lvl w:ilvl="2">
      <w:lvlJc w:val="left"/>
      <w:lvlText w:val="%3."/>
      <w:numFmt w:val="lowerLetter"/>
      <w:start w:val="1"/>
    </w:lvl>
  </w:abstractNum>
  <w:abstractNum w:abstractNumId="58">
    <w:nsid w:val="68EBC550"/>
    <w:multiLevelType w:val="hybridMultilevel"/>
    <w:lvl w:ilvl="0">
      <w:lvlJc w:val="left"/>
      <w:lvlText w:val="(%1)"/>
      <w:numFmt w:val="decimal"/>
      <w:start w:val="1"/>
    </w:lvl>
  </w:abstractNum>
  <w:abstractNum w:abstractNumId="59">
    <w:nsid w:val="2DF6D648"/>
    <w:multiLevelType w:val="hybridMultilevel"/>
    <w:lvl w:ilvl="0">
      <w:lvlJc w:val="left"/>
      <w:lvlText w:val="•"/>
      <w:numFmt w:val="bullet"/>
      <w:start w:val="1"/>
    </w:lvl>
  </w:abstractNum>
  <w:abstractNum w:abstractNumId="60">
    <w:nsid w:val="46B7D447"/>
    <w:multiLevelType w:val="hybridMultilevel"/>
    <w:lvl w:ilvl="0">
      <w:lvlJc w:val="left"/>
      <w:lvlText w:val="(%1)"/>
      <w:numFmt w:val="decimal"/>
      <w:start w:val="1"/>
    </w:lvl>
  </w:abstractNum>
  <w:abstractNum w:abstractNumId="61">
    <w:nsid w:val="4A2AC315"/>
    <w:multiLevelType w:val="hybridMultilevel"/>
    <w:lvl w:ilvl="0">
      <w:lvlJc w:val="left"/>
      <w:lvlText w:val="(%1)"/>
      <w:numFmt w:val="decimal"/>
      <w:start w:val="1"/>
    </w:lvl>
  </w:abstractNum>
  <w:abstractNum w:abstractNumId="62">
    <w:nsid w:val="39EE015C"/>
    <w:multiLevelType w:val="hybridMultilevel"/>
    <w:lvl w:ilvl="0">
      <w:lvlJc w:val="left"/>
      <w:lvlText w:val="(%1)"/>
      <w:numFmt w:val="decimal"/>
      <w:start w:val="1"/>
    </w:lvl>
  </w:abstractNum>
  <w:abstractNum w:abstractNumId="63">
    <w:nsid w:val="57FC4FBB"/>
    <w:multiLevelType w:val="hybridMultilevel"/>
    <w:lvl w:ilvl="0">
      <w:lvlJc w:val="left"/>
      <w:lvlText w:val="(%1)"/>
      <w:numFmt w:val="decimal"/>
      <w:start w:val="1"/>
    </w:lvl>
  </w:abstractNum>
  <w:abstractNum w:abstractNumId="64">
    <w:nsid w:val="CC1016F"/>
    <w:multiLevelType w:val="hybridMultilevel"/>
    <w:lvl w:ilvl="0">
      <w:lvlJc w:val="left"/>
      <w:lvlText w:val="(%1)"/>
      <w:numFmt w:val="decimal"/>
      <w:start w:val="1"/>
    </w:lvl>
  </w:abstractNum>
  <w:abstractNum w:abstractNumId="65">
    <w:nsid w:val="43F18422"/>
    <w:multiLevelType w:val="hybridMultilevel"/>
    <w:lvl w:ilvl="0">
      <w:lvlJc w:val="left"/>
      <w:lvlText w:val="(%1)"/>
      <w:numFmt w:val="decimal"/>
      <w:start w:val="1"/>
    </w:lvl>
  </w:abstractNum>
  <w:abstractNum w:abstractNumId="66">
    <w:nsid w:val="60EF0119"/>
    <w:multiLevelType w:val="hybridMultilevel"/>
    <w:lvl w:ilvl="0">
      <w:lvlJc w:val="left"/>
      <w:lvlText w:val="(%1)"/>
      <w:numFmt w:val="decimal"/>
      <w:start w:val="1"/>
    </w:lvl>
  </w:abstractNum>
  <w:abstractNum w:abstractNumId="67">
    <w:nsid w:val="26F324BA"/>
    <w:multiLevelType w:val="hybridMultilevel"/>
    <w:lvl w:ilvl="0">
      <w:lvlJc w:val="left"/>
      <w:lvlText w:val="(%1)"/>
      <w:numFmt w:val="decimal"/>
      <w:start w:val="1"/>
    </w:lvl>
  </w:abstractNum>
  <w:abstractNum w:abstractNumId="68">
    <w:nsid w:val="7F01579B"/>
    <w:multiLevelType w:val="hybridMultilevel"/>
    <w:lvl w:ilvl="0">
      <w:lvlJc w:val="left"/>
      <w:lvlText w:val="(%1)"/>
      <w:numFmt w:val="decimal"/>
      <w:start w:val="1"/>
    </w:lvl>
  </w:abstractNum>
  <w:abstractNum w:abstractNumId="69">
    <w:nsid w:val="49DA307D"/>
    <w:multiLevelType w:val="hybridMultilevel"/>
    <w:lvl w:ilvl="0">
      <w:lvlJc w:val="left"/>
      <w:lvlText w:val="(%1)"/>
      <w:numFmt w:val="decimal"/>
      <w:start w:val="1"/>
    </w:lvl>
  </w:abstractNum>
  <w:abstractNum w:abstractNumId="70">
    <w:nsid w:val="7055A5F5"/>
    <w:multiLevelType w:val="hybridMultilevel"/>
    <w:lvl w:ilvl="0">
      <w:lvlJc w:val="left"/>
      <w:lvlText w:val="(%1)"/>
      <w:numFmt w:val="decimal"/>
      <w:start w:val="1"/>
    </w:lvl>
  </w:abstractNum>
  <w:abstractNum w:abstractNumId="71">
    <w:nsid w:val="5FB8370B"/>
    <w:multiLevelType w:val="hybridMultilevel"/>
    <w:lvl w:ilvl="0">
      <w:lvlJc w:val="left"/>
      <w:lvlText w:val="(%1)"/>
      <w:numFmt w:val="decimal"/>
      <w:start w:val="1"/>
    </w:lvl>
  </w:abstractNum>
  <w:abstractNum w:abstractNumId="72">
    <w:nsid w:val="50801EE1"/>
    <w:multiLevelType w:val="hybridMultilevel"/>
    <w:lvl w:ilvl="0">
      <w:lvlJc w:val="left"/>
      <w:lvlText w:val="(%1)"/>
      <w:numFmt w:val="decimal"/>
      <w:start w:val="3"/>
    </w:lvl>
  </w:abstractNum>
  <w:abstractNum w:abstractNumId="73">
    <w:nsid w:val="488AC1A"/>
    <w:multiLevelType w:val="hybridMultilevel"/>
    <w:lvl w:ilvl="0">
      <w:lvlJc w:val="left"/>
      <w:lvlText w:val="(%1)"/>
      <w:numFmt w:val="decimal"/>
      <w:start w:val="1"/>
    </w:lvl>
  </w:abstractNum>
  <w:abstractNum w:abstractNumId="74">
    <w:nsid w:val="5FB8011C"/>
    <w:multiLevelType w:val="hybridMultilevel"/>
    <w:lvl w:ilvl="0">
      <w:lvlJc w:val="left"/>
      <w:lvlText w:val="(%1)"/>
      <w:numFmt w:val="decimal"/>
      <w:start w:val="2"/>
    </w:lvl>
  </w:abstractNum>
  <w:abstractNum w:abstractNumId="75">
    <w:nsid w:val="6AA78F7F"/>
    <w:multiLevelType w:val="hybridMultilevel"/>
    <w:lvl w:ilvl="0">
      <w:lvlJc w:val="left"/>
      <w:lvlText w:val="•"/>
      <w:numFmt w:val="bullet"/>
      <w:start w:val="1"/>
    </w:lvl>
  </w:abstractNum>
  <w:abstractNum w:abstractNumId="76">
    <w:nsid w:val="7672BD23"/>
    <w:multiLevelType w:val="hybridMultilevel"/>
    <w:lvl w:ilvl="0">
      <w:lvlJc w:val="left"/>
      <w:lvlText w:val="(%1)"/>
      <w:numFmt w:val="upperLetter"/>
      <w:start w:val="1"/>
    </w:lvl>
  </w:abstractNum>
  <w:abstractNum w:abstractNumId="77">
    <w:nsid w:val="6FC75AF8"/>
    <w:multiLevelType w:val="hybridMultilevel"/>
    <w:lvl w:ilvl="0">
      <w:lvlJc w:val="left"/>
      <w:lvlText w:val="(%1)"/>
      <w:numFmt w:val="decimal"/>
      <w:start w:val="1"/>
    </w:lvl>
  </w:abstractNum>
  <w:abstractNum w:abstractNumId="78">
    <w:nsid w:val="6A5F7029"/>
    <w:multiLevelType w:val="hybridMultilevel"/>
    <w:lvl w:ilvl="0">
      <w:lvlJc w:val="left"/>
      <w:lvlText w:val="(%1)"/>
      <w:numFmt w:val="decimal"/>
      <w:start w:val="12"/>
    </w:lvl>
  </w:abstractNum>
  <w:abstractNum w:abstractNumId="79">
    <w:nsid w:val="7D5E18F8"/>
    <w:multiLevelType w:val="hybridMultilevel"/>
    <w:lvl w:ilvl="0">
      <w:lvlJc w:val="left"/>
      <w:lvlText w:val="•"/>
      <w:numFmt w:val="bullet"/>
      <w:start w:val="1"/>
    </w:lvl>
    <w:lvl w:ilvl="1">
      <w:lvlJc w:val="left"/>
      <w:lvlText w:val="◦"/>
      <w:numFmt w:val="bullet"/>
      <w:start w:val="1"/>
    </w:lvl>
  </w:abstractNum>
  <w:abstractNum w:abstractNumId="80">
    <w:nsid w:val="5F3534A4"/>
    <w:multiLevelType w:val="hybridMultilevel"/>
    <w:lvl w:ilvl="0">
      <w:lvlJc w:val="left"/>
      <w:lvlText w:val="•"/>
      <w:numFmt w:val="bullet"/>
      <w:start w:val="1"/>
    </w:lvl>
  </w:abstractNum>
  <w:abstractNum w:abstractNumId="81">
    <w:nsid w:val="73A1821B"/>
    <w:multiLevelType w:val="hybridMultilevel"/>
    <w:lvl w:ilvl="0">
      <w:lvlJc w:val="left"/>
      <w:lvlText w:val="•"/>
      <w:numFmt w:val="bullet"/>
      <w:start w:val="1"/>
    </w:lvl>
  </w:abstractNum>
  <w:abstractNum w:abstractNumId="82">
    <w:nsid w:val="7DE67713"/>
    <w:multiLevelType w:val="hybridMultilevel"/>
    <w:lvl w:ilvl="0">
      <w:lvlJc w:val="left"/>
      <w:lvlText w:val="(%1)"/>
      <w:numFmt w:val="lowerRoman"/>
      <w:start w:val="1"/>
    </w:lvl>
    <w:lvl w:ilvl="1">
      <w:lvlJc w:val="left"/>
      <w:lvlText w:val="(%2)"/>
      <w:numFmt w:val="decimal"/>
      <w:start w:val="1"/>
    </w:lvl>
  </w:abstractNum>
  <w:abstractNum w:abstractNumId="83">
    <w:nsid w:val="555C55B5"/>
    <w:multiLevelType w:val="hybridMultilevel"/>
    <w:lvl w:ilvl="0">
      <w:lvlJc w:val="left"/>
      <w:lvlText w:val="(%1)"/>
      <w:numFmt w:val="decimal"/>
      <w:start w:val="1"/>
    </w:lvl>
  </w:abstractNum>
  <w:abstractNum w:abstractNumId="84">
    <w:nsid w:val="3FA62ACA"/>
    <w:multiLevelType w:val="hybridMultilevel"/>
    <w:lvl w:ilvl="0">
      <w:lvlJc w:val="left"/>
      <w:lvlText w:val="•"/>
      <w:numFmt w:val="bullet"/>
      <w:start w:val="1"/>
    </w:lvl>
  </w:abstractNum>
  <w:abstractNum w:abstractNumId="85">
    <w:nsid w:val="14FCE74E"/>
    <w:multiLevelType w:val="hybridMultilevel"/>
    <w:lvl w:ilvl="0">
      <w:lvlJc w:val="left"/>
      <w:lvlText w:val="(%1)"/>
      <w:numFmt w:val="decimal"/>
      <w:start w:val="1"/>
    </w:lvl>
  </w:abstractNum>
  <w:abstractNum w:abstractNumId="86">
    <w:nsid w:val="6A3DD3E8"/>
    <w:multiLevelType w:val="hybridMultilevel"/>
    <w:lvl w:ilvl="0">
      <w:lvlJc w:val="left"/>
      <w:lvlText w:val="(%1)"/>
      <w:numFmt w:val="decimal"/>
      <w:start w:val="2"/>
    </w:lvl>
  </w:abstractNum>
  <w:abstractNum w:abstractNumId="87">
    <w:nsid w:val="71C91298"/>
    <w:multiLevelType w:val="hybridMultilevel"/>
    <w:lvl w:ilvl="0">
      <w:lvlJc w:val="left"/>
      <w:lvlText w:val="(%1)"/>
      <w:numFmt w:val="decimal"/>
      <w:start w:val="3"/>
    </w:lvl>
  </w:abstractNum>
  <w:abstractNum w:abstractNumId="88">
    <w:nsid w:val="9DAF632"/>
    <w:multiLevelType w:val="hybridMultilevel"/>
    <w:lvl w:ilvl="0">
      <w:lvlJc w:val="left"/>
      <w:lvlText w:val="(%1)"/>
      <w:numFmt w:val="decimal"/>
      <w:start w:val="4"/>
    </w:lvl>
  </w:abstractNum>
  <w:abstractNum w:abstractNumId="89">
    <w:nsid w:val="53299938"/>
    <w:multiLevelType w:val="hybridMultilevel"/>
    <w:lvl w:ilvl="0">
      <w:lvlJc w:val="left"/>
      <w:lvlText w:val="•"/>
      <w:numFmt w:val="bullet"/>
      <w:start w:val="1"/>
    </w:lvl>
  </w:abstractNum>
  <w:abstractNum w:abstractNumId="90">
    <w:nsid w:val="1FBFE8E0"/>
    <w:multiLevelType w:val="hybridMultilevel"/>
    <w:lvl w:ilvl="0">
      <w:lvlJc w:val="left"/>
      <w:lvlText w:val="(%1)"/>
      <w:numFmt w:val="decimal"/>
      <w:start w:val="1"/>
    </w:lvl>
  </w:abstractNum>
  <w:abstractNum w:abstractNumId="91">
    <w:nsid w:val="5092CA79"/>
    <w:multiLevelType w:val="hybridMultilevel"/>
    <w:lvl w:ilvl="0">
      <w:lvlJc w:val="left"/>
      <w:lvlText w:val="•"/>
      <w:numFmt w:val="bullet"/>
      <w:start w:val="1"/>
    </w:lvl>
  </w:abstractNum>
  <w:abstractNum w:abstractNumId="92">
    <w:nsid w:val="1D545C4D"/>
    <w:multiLevelType w:val="hybridMultilevel"/>
    <w:lvl w:ilvl="0">
      <w:lvlJc w:val="left"/>
      <w:lvlText w:val="(%1)"/>
      <w:numFmt w:val="decimal"/>
      <w:start w:val="1"/>
    </w:lvl>
  </w:abstractNum>
  <w:abstractNum w:abstractNumId="93">
    <w:nsid w:val="59ADEA3D"/>
    <w:multiLevelType w:val="hybridMultilevel"/>
    <w:lvl w:ilvl="0">
      <w:lvlJc w:val="left"/>
      <w:lvlText w:val="(%1)"/>
      <w:numFmt w:val="decimal"/>
      <w:start w:val="1"/>
    </w:lvl>
  </w:abstractNum>
  <w:abstractNum w:abstractNumId="94">
    <w:nsid w:val="288F1A34"/>
    <w:multiLevelType w:val="hybridMultilevel"/>
    <w:lvl w:ilvl="0">
      <w:lvlJc w:val="left"/>
      <w:lvlText w:val="(%1)"/>
      <w:numFmt w:val="decimal"/>
      <w:start w:val="1"/>
    </w:lvl>
  </w:abstractNum>
  <w:abstractNum w:abstractNumId="95">
    <w:nsid w:val="2A155DBC"/>
    <w:multiLevelType w:val="hybridMultilevel"/>
    <w:lvl w:ilvl="0">
      <w:lvlJc w:val="left"/>
      <w:lvlText w:val="•"/>
      <w:numFmt w:val="bullet"/>
      <w:start w:val="1"/>
    </w:lvl>
  </w:abstractNum>
  <w:abstractNum w:abstractNumId="96">
    <w:nsid w:val="1D9F6E5F"/>
    <w:multiLevelType w:val="hybridMultilevel"/>
    <w:lvl w:ilvl="0">
      <w:lvlJc w:val="left"/>
      <w:lvlText w:val="%1:"/>
      <w:numFmt w:val="upperLetter"/>
      <w:start w:val="1"/>
    </w:lvl>
  </w:abstractNum>
  <w:abstractNum w:abstractNumId="97">
    <w:nsid w:val="97E1B4E"/>
    <w:multiLevelType w:val="hybridMultilevel"/>
    <w:lvl w:ilvl="0">
      <w:lvlJc w:val="left"/>
      <w:lvlText w:val="%1:"/>
      <w:numFmt w:val="upperLetter"/>
      <w:start w:val="1"/>
    </w:lvl>
  </w:abstractNum>
  <w:abstractNum w:abstractNumId="98">
    <w:nsid w:val="51088277"/>
    <w:multiLevelType w:val="hybridMultilevel"/>
    <w:lvl w:ilvl="0">
      <w:lvlJc w:val="left"/>
      <w:lvlText w:val="%1:"/>
      <w:numFmt w:val="upperLetter"/>
      <w:start w:val="1"/>
    </w:lvl>
  </w:abstractNum>
  <w:abstractNum w:abstractNumId="99">
    <w:nsid w:val="1CA0C5FA"/>
    <w:multiLevelType w:val="hybridMultilevel"/>
    <w:lvl w:ilvl="0">
      <w:lvlJc w:val="left"/>
      <w:lvlText w:val="%1:"/>
      <w:numFmt w:val="upperLetter"/>
      <w:start w:val="1"/>
    </w:lvl>
  </w:abstractNum>
  <w:abstractNum w:abstractNumId="100">
    <w:nsid w:val="53584BCB"/>
    <w:multiLevelType w:val="hybridMultilevel"/>
    <w:lvl w:ilvl="0">
      <w:lvlJc w:val="left"/>
      <w:lvlText w:val="%1:"/>
      <w:numFmt w:val="upperLetter"/>
      <w:start w:val="1"/>
    </w:lvl>
  </w:abstractNum>
  <w:abstractNum w:abstractNumId="101">
    <w:nsid w:val="415E286C"/>
    <w:multiLevelType w:val="hybridMultilevel"/>
    <w:lvl w:ilvl="0">
      <w:lvlJc w:val="left"/>
      <w:lvlText w:val="%1:"/>
      <w:numFmt w:val="upperLetter"/>
      <w:start w:val="1"/>
    </w:lvl>
  </w:abstractNum>
  <w:abstractNum w:abstractNumId="102">
    <w:nsid w:val="7C58FD05"/>
    <w:multiLevelType w:val="hybridMultilevel"/>
    <w:lvl w:ilvl="0">
      <w:lvlJc w:val="left"/>
      <w:lvlText w:val="%1:"/>
      <w:numFmt w:val="upperLetter"/>
      <w:start w:val="1"/>
    </w:lvl>
    <w:lvl w:ilvl="1">
      <w:lvlJc w:val="left"/>
      <w:lvlText w:val="•"/>
      <w:numFmt w:val="bullet"/>
      <w:start w:val="1"/>
    </w:lvl>
  </w:abstractNum>
  <w:abstractNum w:abstractNumId="103">
    <w:nsid w:val="23D86AAC"/>
    <w:multiLevelType w:val="hybridMultilevel"/>
    <w:lvl w:ilvl="0">
      <w:lvlJc w:val="left"/>
      <w:lvlText w:val="%1:"/>
      <w:numFmt w:val="upperLetter"/>
      <w:start w:val="1"/>
    </w:lvl>
  </w:abstractNum>
  <w:abstractNum w:abstractNumId="104">
    <w:nsid w:val="45E6D486"/>
    <w:multiLevelType w:val="hybridMultilevel"/>
    <w:lvl w:ilvl="0">
      <w:lvlJc w:val="left"/>
      <w:lvlText w:val="%1:"/>
      <w:numFmt w:val="upperLetter"/>
      <w:start w:val="1"/>
    </w:lvl>
  </w:abstractNum>
  <w:abstractNum w:abstractNumId="105">
    <w:nsid w:val="5C10FE21"/>
    <w:multiLevelType w:val="hybridMultilevel"/>
    <w:lvl w:ilvl="0">
      <w:lvlJc w:val="left"/>
      <w:lvlText w:val="%1:"/>
      <w:numFmt w:val="upperLetter"/>
      <w:start w:val="1"/>
    </w:lvl>
    <w:lvl w:ilvl="1">
      <w:lvlJc w:val="left"/>
      <w:lvlText w:val="•"/>
      <w:numFmt w:val="bullet"/>
      <w:start w:val="1"/>
    </w:lvl>
  </w:abstractNum>
  <w:abstractNum w:abstractNumId="106">
    <w:nsid w:val="E7FFA2B"/>
    <w:multiLevelType w:val="hybridMultilevel"/>
    <w:lvl w:ilvl="0">
      <w:lvlJc w:val="left"/>
      <w:lvlText w:val="•"/>
      <w:numFmt w:val="bullet"/>
      <w:start w:val="1"/>
    </w:lvl>
  </w:abstractNum>
  <w:abstractNum w:abstractNumId="107">
    <w:nsid w:val="3C5991AA"/>
    <w:multiLevelType w:val="hybridMultilevel"/>
    <w:lvl w:ilvl="0">
      <w:lvlJc w:val="left"/>
      <w:lvlText w:val="%1:"/>
      <w:numFmt w:val="upperLetter"/>
      <w:start w:val="17"/>
    </w:lvl>
  </w:abstractNum>
  <w:abstractNum w:abstractNumId="108">
    <w:nsid w:val="4BD8591A"/>
    <w:multiLevelType w:val="hybridMultilevel"/>
    <w:lvl w:ilvl="0">
      <w:lvlJc w:val="left"/>
      <w:lvlText w:val="%1:"/>
      <w:numFmt w:val="upperLetter"/>
      <w:start w:val="1"/>
    </w:lvl>
  </w:abstractNum>
  <w:abstractNum w:abstractNumId="109">
    <w:nsid w:val="78DF6A55"/>
    <w:multiLevelType w:val="hybridMultilevel"/>
    <w:lvl w:ilvl="0">
      <w:lvlJc w:val="left"/>
      <w:lvlText w:val="%1:"/>
      <w:numFmt w:val="upperLetter"/>
      <w:start w:val="1"/>
    </w:lvl>
  </w:abstractNum>
  <w:abstractNum w:abstractNumId="110">
    <w:nsid w:val="39B7AAA2"/>
    <w:multiLevelType w:val="hybridMultilevel"/>
    <w:lvl w:ilvl="0">
      <w:lvlJc w:val="left"/>
      <w:lvlText w:val="%1:"/>
      <w:numFmt w:val="upperLetter"/>
      <w:start w:val="1"/>
    </w:lvl>
  </w:abstractNum>
  <w:abstractNum w:abstractNumId="111">
    <w:nsid w:val="2B0D8DBE"/>
    <w:multiLevelType w:val="hybridMultilevel"/>
    <w:lvl w:ilvl="0">
      <w:lvlJc w:val="left"/>
      <w:lvlText w:val="%1:"/>
      <w:numFmt w:val="upperLetter"/>
      <w:start w:val="1"/>
    </w:lvl>
    <w:lvl w:ilvl="1">
      <w:lvlJc w:val="left"/>
      <w:lvlText w:val="•"/>
      <w:numFmt w:val="bullet"/>
      <w:start w:val="1"/>
    </w:lvl>
  </w:abstractNum>
  <w:abstractNum w:abstractNumId="112">
    <w:nsid w:val="6C80EC70"/>
    <w:multiLevelType w:val="hybridMultilevel"/>
    <w:lvl w:ilvl="0">
      <w:lvlJc w:val="left"/>
      <w:lvlText w:val="%1:"/>
      <w:numFmt w:val="upperLetter"/>
      <w:start w:val="1"/>
    </w:lvl>
  </w:abstractNum>
  <w:abstractNum w:abstractNumId="113">
    <w:nsid w:val="379E21B5"/>
    <w:multiLevelType w:val="hybridMultilevel"/>
    <w:lvl w:ilvl="0">
      <w:lvlJc w:val="left"/>
      <w:lvlText w:val="%1:"/>
      <w:numFmt w:val="upperLetter"/>
      <w:start w:val="17"/>
    </w:lvl>
  </w:abstractNum>
  <w:abstractNum w:abstractNumId="114">
    <w:nsid w:val="69E373"/>
    <w:multiLevelType w:val="hybridMultilevel"/>
    <w:lvl w:ilvl="0">
      <w:lvlJc w:val="left"/>
      <w:lvlText w:val="%1:"/>
      <w:numFmt w:val="upperLetter"/>
      <w:start w:val="1"/>
    </w:lvl>
  </w:abstractNum>
  <w:abstractNum w:abstractNumId="115">
    <w:nsid w:val="2C27173B"/>
    <w:multiLevelType w:val="hybridMultilevel"/>
    <w:lvl w:ilvl="0">
      <w:lvlJc w:val="left"/>
      <w:lvlText w:val="%1:"/>
      <w:numFmt w:val="upperLetter"/>
      <w:start w:val="17"/>
    </w:lvl>
  </w:abstractNum>
  <w:abstractNum w:abstractNumId="116">
    <w:nsid w:val="4C9B0904"/>
    <w:multiLevelType w:val="hybridMultilevel"/>
    <w:lvl w:ilvl="0">
      <w:lvlJc w:val="left"/>
      <w:lvlText w:val="%1:"/>
      <w:numFmt w:val="upperLetter"/>
      <w:start w:val="1"/>
    </w:lvl>
  </w:abstractNum>
  <w:abstractNum w:abstractNumId="117">
    <w:nsid w:val="6AA7B75C"/>
    <w:multiLevelType w:val="hybridMultilevel"/>
    <w:lvl w:ilvl="0">
      <w:lvlJc w:val="left"/>
      <w:lvlText w:val="%1:"/>
      <w:numFmt w:val="upperLetter"/>
      <w:start w:val="1"/>
    </w:lvl>
  </w:abstractNum>
  <w:abstractNum w:abstractNumId="118">
    <w:nsid w:val="1DF029D3"/>
    <w:multiLevelType w:val="hybridMultilevel"/>
    <w:lvl w:ilvl="0">
      <w:lvlJc w:val="left"/>
      <w:lvlText w:val="%1:"/>
      <w:numFmt w:val="upperLetter"/>
      <w:start w:val="1"/>
    </w:lvl>
  </w:abstractNum>
  <w:abstractNum w:abstractNumId="119">
    <w:nsid w:val="5675FF36"/>
    <w:multiLevelType w:val="hybridMultilevel"/>
    <w:lvl w:ilvl="0">
      <w:lvlJc w:val="left"/>
      <w:lvlText w:val="%1:"/>
      <w:numFmt w:val="upperLetter"/>
      <w:start w:val="1"/>
    </w:lvl>
  </w:abstractNum>
  <w:abstractNum w:abstractNumId="120">
    <w:nsid w:val="3DD15094"/>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2024-06-14T15:26:58Z</dcterms:created>
  <dcterms:modified xsi:type="dcterms:W3CDTF">2024-06-14T15:26:58Z</dcterms:modified>
</cp:coreProperties>
</file>