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Patil Neena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0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5TH FL, WATERLOO EXCHANGE WATERLOO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Jazz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JAZZ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Chief Legal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DUBLIN 4</w:t>
            </w:r>
          </w:p>
        </w:tc>
        <w:tc>
          <w:tcPr>
            <w:tcW w:w="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L2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00" w:space="72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237.72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48,871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obligations arising out of vesting of a portion of previously granted restricted stock units.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/s/Paz Dizon, as attorney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 For: Neena M. Patil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908" TargetMode="External"/><Relationship Id="rId14" Type="http://schemas.openxmlformats.org/officeDocument/2006/relationships/hyperlink" Target="http://www.sec.gov/cgi-bin/browse-edgar?action=getcompany&amp;CIK=00012325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2026-07-02T17:10:40Z</dcterms:created>
  <dcterms:modified xsi:type="dcterms:W3CDTF">2026-07-02T17:10:40Z</dcterms:modified>
</cp:coreProperties>
</file>