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154305</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147955</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001-33500</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JAZZ PHARMACEUTICALS PUBLIC LIMITED COMPANY</w:t>
      </w:r>
    </w:p>
    <w:p>
      <w:pPr>
        <w:spacing w:after="0" w:line="73" w:lineRule="exact"/>
        <w:rPr>
          <w:sz w:val="24"/>
          <w:szCs w:val="24"/>
          <w:color w:val="auto"/>
        </w:rPr>
      </w:pPr>
    </w:p>
    <w:tbl>
      <w:tblPr>
        <w:tblLayout w:type="fixed"/>
        <w:tblInd w:w="186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5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8"/>
                <w:szCs w:val="18"/>
                <w:b w:val="1"/>
                <w:bCs w:val="1"/>
                <w:color w:val="auto"/>
                <w:w w:val="98"/>
              </w:rPr>
              <w:t>98-1032470</w:t>
            </w:r>
          </w:p>
        </w:tc>
      </w:tr>
      <w:tr>
        <w:trPr>
          <w:trHeight w:val="148"/>
        </w:trPr>
        <w:tc>
          <w:tcPr>
            <w:tcW w:w="20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Fifth Floor, Waterloo Exchange,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116205</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$0.0001 per share</w:t>
            </w:r>
          </w:p>
        </w:tc>
        <w:tc>
          <w:tcPr>
            <w:tcW w:w="2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JAZZ</w:t>
            </w:r>
          </w:p>
        </w:tc>
        <w:tc>
          <w:tcPr>
            <w:tcW w:w="4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8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16" w:lineRule="exact"/>
        <w:rPr>
          <w:sz w:val="24"/>
          <w:szCs w:val="24"/>
          <w:color w:val="auto"/>
        </w:rPr>
      </w:pPr>
    </w:p>
    <w:p>
      <w:pPr>
        <w:ind w:right="4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 w:name="page2"/>
    <w:bookmarkEnd w:id="1"/>
    <w:p>
      <w:pPr>
        <w:ind w:right="47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2025, 61,632,841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262255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7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MARCH 31, 2025</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31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500" w:type="dxa"/>
            <w:vAlign w:val="bottom"/>
            <w:gridSpan w:val="10"/>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180" w:type="dxa"/>
            <w:vAlign w:val="bottom"/>
            <w:tcBorders>
              <w:bottom w:val="single" w:sz="8" w:color="0000FF"/>
            </w:tcBorders>
            <w:gridSpan w:val="10"/>
            <w:vMerge w:val="continue"/>
          </w:tcPr>
          <w:p>
            <w:pPr>
              <w:spacing w:after="0"/>
              <w:rPr>
                <w:sz w:val="14"/>
                <w:szCs w:val="14"/>
                <w:color w:val="auto"/>
              </w:rPr>
            </w:pPr>
          </w:p>
        </w:tc>
        <w:tc>
          <w:tcPr>
            <w:tcW w:w="6500" w:type="dxa"/>
            <w:vAlign w:val="bottom"/>
            <w:gridSpan w:val="10"/>
            <w:vMerge w:val="continue"/>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Defined Terms and Products</w:t>
            </w:r>
          </w:p>
        </w:tc>
        <w:tc>
          <w:tcPr>
            <w:tcW w:w="6520" w:type="dxa"/>
            <w:vAlign w:val="bottom"/>
            <w:gridSpan w:val="11"/>
          </w:tcPr>
          <w:p>
            <w:pPr>
              <w:spacing w:after="0"/>
              <w:rPr>
                <w:sz w:val="22"/>
                <w:szCs w:val="22"/>
                <w:color w:val="auto"/>
              </w:rPr>
            </w:pPr>
          </w:p>
        </w:tc>
        <w:tc>
          <w:tcPr>
            <w:tcW w:w="8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88"/>
              </w:rPr>
              <w:t>3</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520" w:type="dxa"/>
            <w:vAlign w:val="bottom"/>
            <w:gridSpan w:val="11"/>
          </w:tcPr>
          <w:p>
            <w:pPr>
              <w:spacing w:after="0"/>
              <w:rPr>
                <w:sz w:val="18"/>
                <w:szCs w:val="18"/>
                <w:color w:val="auto"/>
              </w:rPr>
            </w:pPr>
          </w:p>
        </w:tc>
        <w:tc>
          <w:tcPr>
            <w:tcW w:w="8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88"/>
              </w:rPr>
              <w:t>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March 31, 2025 and December 31, 2024</w:t>
            </w:r>
          </w:p>
        </w:tc>
        <w:tc>
          <w:tcPr>
            <w:tcW w:w="2560" w:type="dxa"/>
            <w:vAlign w:val="bottom"/>
            <w:gridSpan w:val="6"/>
          </w:tcPr>
          <w:p>
            <w:pPr>
              <w:spacing w:after="0"/>
              <w:rPr>
                <w:sz w:val="18"/>
                <w:szCs w:val="18"/>
                <w:color w:val="auto"/>
              </w:rPr>
            </w:pPr>
          </w:p>
        </w:tc>
        <w:tc>
          <w:tcPr>
            <w:tcW w:w="8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88"/>
              </w:rPr>
              <w:t>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Loss – Three Months Ended March 31, 2025 and 2024</w:t>
            </w:r>
          </w:p>
        </w:tc>
        <w:tc>
          <w:tcPr>
            <w:tcW w:w="8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88"/>
              </w:rPr>
              <w:t>9</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 Three Months Ended March 31, 2025 and</w:t>
            </w:r>
          </w:p>
        </w:tc>
        <w:tc>
          <w:tcPr>
            <w:tcW w:w="660" w:type="dxa"/>
            <w:vAlign w:val="bottom"/>
            <w:vMerge w:val="restart"/>
          </w:tcPr>
          <w:p>
            <w:pPr>
              <w:spacing w:after="0"/>
              <w:rPr>
                <w:sz w:val="18"/>
                <w:szCs w:val="18"/>
                <w:color w:val="auto"/>
              </w:rPr>
            </w:pPr>
          </w:p>
        </w:tc>
        <w:tc>
          <w:tcPr>
            <w:tcW w:w="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2024</w:t>
            </w:r>
          </w:p>
        </w:tc>
        <w:tc>
          <w:tcPr>
            <w:tcW w:w="240" w:type="dxa"/>
            <w:vAlign w:val="bottom"/>
            <w:tcBorders>
              <w:top w:val="single" w:sz="8" w:color="0000FF"/>
              <w:bottom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Borders>
              <w:bottom w:val="single" w:sz="8" w:color="0000FF"/>
            </w:tcBorders>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 Three Months Ended March 31, 2025 and 2024</w:t>
            </w:r>
          </w:p>
        </w:tc>
        <w:tc>
          <w:tcPr>
            <w:tcW w:w="80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0000FF"/>
                <w:w w:val="88"/>
              </w:rPr>
              <w:t>11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March 31, 2025 and 2024</w:t>
            </w:r>
          </w:p>
        </w:tc>
        <w:tc>
          <w:tcPr>
            <w:tcW w:w="600" w:type="dxa"/>
            <w:vAlign w:val="bottom"/>
            <w:gridSpan w:val="2"/>
          </w:tcPr>
          <w:p>
            <w:pPr>
              <w:spacing w:after="0"/>
              <w:rPr>
                <w:sz w:val="18"/>
                <w:szCs w:val="18"/>
                <w:color w:val="auto"/>
              </w:rPr>
            </w:pPr>
          </w:p>
        </w:tc>
        <w:tc>
          <w:tcPr>
            <w:tcW w:w="80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0000FF"/>
                <w:w w:val="99"/>
              </w:rPr>
              <w:t>12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9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300" w:type="dxa"/>
            <w:vAlign w:val="bottom"/>
            <w:tcBorders>
              <w:top w:val="single" w:sz="8" w:color="0000FF"/>
            </w:tcBorders>
            <w:gridSpan w:val="6"/>
          </w:tcPr>
          <w:p>
            <w:pPr>
              <w:spacing w:after="0"/>
              <w:rPr>
                <w:sz w:val="18"/>
                <w:szCs w:val="18"/>
                <w:color w:val="auto"/>
              </w:rPr>
            </w:pPr>
          </w:p>
        </w:tc>
        <w:tc>
          <w:tcPr>
            <w:tcW w:w="128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2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80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3"/>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0000FF"/>
                <w:w w:val="99"/>
              </w:rPr>
              <w:t>54</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0000FF"/>
                <w:w w:val="99"/>
              </w:rPr>
              <w:t>60</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5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Exhibits</w:t>
            </w:r>
          </w:p>
        </w:tc>
        <w:tc>
          <w:tcPr>
            <w:tcW w:w="3740" w:type="dxa"/>
            <w:vAlign w:val="bottom"/>
            <w:tcBorders>
              <w:top w:val="single" w:sz="8" w:color="0000FF"/>
            </w:tcBorders>
            <w:gridSpan w:val="9"/>
          </w:tcPr>
          <w:p>
            <w:pPr>
              <w:spacing w:after="0"/>
              <w:rPr>
                <w:sz w:val="22"/>
                <w:szCs w:val="22"/>
                <w:color w:val="auto"/>
              </w:rPr>
            </w:pPr>
          </w:p>
        </w:tc>
        <w:tc>
          <w:tcPr>
            <w:tcW w:w="424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8560" w:type="dxa"/>
            <w:vAlign w:val="bottom"/>
            <w:gridSpan w:val="19"/>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62</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Terms and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terms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use several terms in this Form 10-Q, including but not limited to those that are finance, regulation and disease-state related as well as names of other companies, which are given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Notes</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1.50% exchangeable senior notes due 2024</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 exchangeable senior notes due 2026</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3.125% exchangeable senior notes due 2030</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Aetna</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Aetna Inc.</w:t>
            </w:r>
          </w:p>
        </w:tc>
        <w:tc>
          <w:tcPr>
            <w:tcW w:w="0" w:type="dxa"/>
            <w:vAlign w:val="bottom"/>
          </w:tcPr>
          <w:p>
            <w:pPr>
              <w:spacing w:after="0"/>
              <w:rPr>
                <w:sz w:val="1"/>
                <w:szCs w:val="1"/>
                <w:color w:val="auto"/>
              </w:rPr>
            </w:pPr>
          </w:p>
        </w:tc>
      </w:tr>
      <w:tr>
        <w:trPr>
          <w:trHeight w:val="176"/>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AFL Plan Lawsuit</w:t>
            </w:r>
          </w:p>
        </w:tc>
        <w:tc>
          <w:tcPr>
            <w:tcW w:w="90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On July 31, 2020, a class action lawsuit was filed in the United States District Court for the Southern District of New York</w:t>
            </w:r>
          </w:p>
        </w:tc>
        <w:tc>
          <w:tcPr>
            <w:tcW w:w="0" w:type="dxa"/>
            <w:vAlign w:val="bottom"/>
          </w:tcPr>
          <w:p>
            <w:pPr>
              <w:spacing w:after="0"/>
              <w:rPr>
                <w:sz w:val="1"/>
                <w:szCs w:val="1"/>
                <w:color w:val="auto"/>
              </w:rPr>
            </w:pPr>
          </w:p>
        </w:tc>
      </w:tr>
      <w:tr>
        <w:trPr>
          <w:trHeight w:val="184"/>
        </w:trPr>
        <w:tc>
          <w:tcPr>
            <w:tcW w:w="2220" w:type="dxa"/>
            <w:vAlign w:val="bottom"/>
            <w:vMerge w:val="continue"/>
            <w:shd w:val="clear" w:color="auto" w:fill="CCEEFF"/>
          </w:tcPr>
          <w:p>
            <w:pPr>
              <w:spacing w:after="0"/>
              <w:rPr>
                <w:sz w:val="16"/>
                <w:szCs w:val="16"/>
                <w:color w:val="auto"/>
              </w:rPr>
            </w:pPr>
          </w:p>
        </w:tc>
        <w:tc>
          <w:tcPr>
            <w:tcW w:w="902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by the A.F. of L.-A.G.C. Building Trades Welfare Plan on behalf of itself and all others similarly situated, against Jazz</w:t>
            </w: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Pharmaceuticals plc</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generic</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acute lymphoblastic leukemia</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Almaject</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Almaject Inc., Alvogen, Inc., and Alvogen PB Research and Development LLC</w:t>
            </w:r>
          </w:p>
        </w:tc>
        <w:tc>
          <w:tcPr>
            <w:tcW w:w="0" w:type="dxa"/>
            <w:vAlign w:val="bottom"/>
          </w:tcPr>
          <w:p>
            <w:pPr>
              <w:spacing w:after="0"/>
              <w:rPr>
                <w:sz w:val="1"/>
                <w:szCs w:val="1"/>
                <w:color w:val="auto"/>
              </w:rPr>
            </w:pPr>
          </w:p>
        </w:tc>
      </w:tr>
      <w:tr>
        <w:trPr>
          <w:trHeight w:val="176"/>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Amended Credit Agreement</w:t>
            </w:r>
          </w:p>
        </w:tc>
        <w:tc>
          <w:tcPr>
            <w:tcW w:w="90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Credit Agreement amended to include the Repricing Amendment No. 1, the Repricing Amendment No. 2 and Amendment</w:t>
            </w:r>
          </w:p>
        </w:tc>
        <w:tc>
          <w:tcPr>
            <w:tcW w:w="0" w:type="dxa"/>
            <w:vAlign w:val="bottom"/>
          </w:tcPr>
          <w:p>
            <w:pPr>
              <w:spacing w:after="0"/>
              <w:rPr>
                <w:sz w:val="1"/>
                <w:szCs w:val="1"/>
                <w:color w:val="auto"/>
              </w:rPr>
            </w:pPr>
          </w:p>
        </w:tc>
      </w:tr>
      <w:tr>
        <w:trPr>
          <w:trHeight w:val="148"/>
        </w:trPr>
        <w:tc>
          <w:tcPr>
            <w:tcW w:w="2220" w:type="dxa"/>
            <w:vAlign w:val="bottom"/>
            <w:vMerge w:val="continue"/>
            <w:shd w:val="clear" w:color="auto" w:fill="CCEEFF"/>
          </w:tcPr>
          <w:p>
            <w:pPr>
              <w:spacing w:after="0"/>
              <w:rPr>
                <w:sz w:val="12"/>
                <w:szCs w:val="12"/>
                <w:color w:val="auto"/>
              </w:rPr>
            </w:pPr>
          </w:p>
        </w:tc>
        <w:tc>
          <w:tcPr>
            <w:tcW w:w="9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3</w:t>
            </w:r>
          </w:p>
        </w:tc>
        <w:tc>
          <w:tcPr>
            <w:tcW w:w="0" w:type="dxa"/>
            <w:vAlign w:val="bottom"/>
          </w:tcPr>
          <w:p>
            <w:pPr>
              <w:spacing w:after="0"/>
              <w:rPr>
                <w:sz w:val="1"/>
                <w:szCs w:val="1"/>
                <w:color w:val="auto"/>
              </w:rPr>
            </w:pPr>
          </w:p>
        </w:tc>
      </w:tr>
      <w:tr>
        <w:trPr>
          <w:trHeight w:val="94"/>
        </w:trPr>
        <w:tc>
          <w:tcPr>
            <w:tcW w:w="2220" w:type="dxa"/>
            <w:vAlign w:val="bottom"/>
            <w:shd w:val="clear" w:color="auto" w:fill="CCEEFF"/>
          </w:tcPr>
          <w:p>
            <w:pPr>
              <w:spacing w:after="0"/>
              <w:rPr>
                <w:sz w:val="8"/>
                <w:szCs w:val="8"/>
                <w:color w:val="auto"/>
              </w:rPr>
            </w:pPr>
          </w:p>
        </w:tc>
        <w:tc>
          <w:tcPr>
            <w:tcW w:w="90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Revolving Credit</w:t>
            </w:r>
          </w:p>
        </w:tc>
        <w:tc>
          <w:tcPr>
            <w:tcW w:w="90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Revolving credit facility amended to increase the Initial Revolving Credit Facility to $885.0 million and extend the</w:t>
            </w:r>
          </w:p>
        </w:tc>
        <w:tc>
          <w:tcPr>
            <w:tcW w:w="0" w:type="dxa"/>
            <w:vAlign w:val="bottom"/>
          </w:tcPr>
          <w:p>
            <w:pPr>
              <w:spacing w:after="0"/>
              <w:rPr>
                <w:sz w:val="1"/>
                <w:szCs w:val="1"/>
                <w:color w:val="auto"/>
              </w:rPr>
            </w:pPr>
          </w:p>
        </w:tc>
      </w:tr>
      <w:tr>
        <w:trPr>
          <w:trHeight w:val="23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maturity date</w:t>
            </w: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3</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 to the Credit Agreement entered into by Jazz Lux in November 2024</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AML</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acute myeloid leukemia</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Amneal</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Amneal Pharmaceuticals LLC</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ANDA</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abbreviated new drug application</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API</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active pharmaceutical ingredient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ASD</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ASD Specialty Healthcare LLC</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Avadel</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Avadel Pharmaceuticals plc</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BCBS</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Blue Cross and Blue Shield Association</w:t>
            </w:r>
          </w:p>
        </w:tc>
        <w:tc>
          <w:tcPr>
            <w:tcW w:w="0" w:type="dxa"/>
            <w:vAlign w:val="bottom"/>
          </w:tcPr>
          <w:p>
            <w:pPr>
              <w:spacing w:after="0"/>
              <w:rPr>
                <w:sz w:val="1"/>
                <w:szCs w:val="1"/>
                <w:color w:val="auto"/>
              </w:rPr>
            </w:pPr>
          </w:p>
        </w:tc>
      </w:tr>
      <w:tr>
        <w:trPr>
          <w:trHeight w:val="176"/>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BCBS Defendants</w:t>
            </w:r>
          </w:p>
        </w:tc>
        <w:tc>
          <w:tcPr>
            <w:tcW w:w="90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Roxane Laboratories, Inc., Hikma Pharmaceuticals USA Inc., Eurohealth (USA), Inc., Hikma Pharmaceuticals plc,</w:t>
            </w:r>
          </w:p>
        </w:tc>
        <w:tc>
          <w:tcPr>
            <w:tcW w:w="0" w:type="dxa"/>
            <w:vAlign w:val="bottom"/>
          </w:tcPr>
          <w:p>
            <w:pPr>
              <w:spacing w:after="0"/>
              <w:rPr>
                <w:sz w:val="1"/>
                <w:szCs w:val="1"/>
                <w:color w:val="auto"/>
              </w:rPr>
            </w:pPr>
          </w:p>
        </w:tc>
      </w:tr>
      <w:tr>
        <w:trPr>
          <w:trHeight w:val="148"/>
        </w:trPr>
        <w:tc>
          <w:tcPr>
            <w:tcW w:w="2220" w:type="dxa"/>
            <w:vAlign w:val="bottom"/>
            <w:vMerge w:val="continue"/>
          </w:tcPr>
          <w:p>
            <w:pPr>
              <w:spacing w:after="0"/>
              <w:rPr>
                <w:sz w:val="12"/>
                <w:szCs w:val="12"/>
                <w:color w:val="auto"/>
              </w:rPr>
            </w:pP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Amneal Pharmaceuticals LLC, Par Pharmaceutical, Inc., Lupin Ltd., Lupin Pharmaceuticals Inc., and Lupin Inc.</w:t>
            </w:r>
          </w:p>
        </w:tc>
        <w:tc>
          <w:tcPr>
            <w:tcW w:w="0" w:type="dxa"/>
            <w:vAlign w:val="bottom"/>
          </w:tcPr>
          <w:p>
            <w:pPr>
              <w:spacing w:after="0"/>
              <w:rPr>
                <w:sz w:val="1"/>
                <w:szCs w:val="1"/>
                <w:color w:val="auto"/>
              </w:rPr>
            </w:pPr>
          </w:p>
        </w:tc>
      </w:tr>
      <w:tr>
        <w:trPr>
          <w:trHeight w:val="90"/>
        </w:trPr>
        <w:tc>
          <w:tcPr>
            <w:tcW w:w="2220" w:type="dxa"/>
            <w:vAlign w:val="bottom"/>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BCBS Lawsuit</w:t>
            </w:r>
          </w:p>
        </w:tc>
        <w:tc>
          <w:tcPr>
            <w:tcW w:w="902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18"/>
                <w:szCs w:val="18"/>
                <w:color w:val="auto"/>
              </w:rPr>
              <w:t>On June 17, 2020, a class action lawsuit was filed in the United States District Court for the Northern District of Illinois by</w:t>
            </w:r>
          </w:p>
        </w:tc>
        <w:tc>
          <w:tcPr>
            <w:tcW w:w="0" w:type="dxa"/>
            <w:vAlign w:val="bottom"/>
          </w:tcPr>
          <w:p>
            <w:pPr>
              <w:spacing w:after="0"/>
              <w:rPr>
                <w:sz w:val="1"/>
                <w:szCs w:val="1"/>
                <w:color w:val="auto"/>
              </w:rPr>
            </w:pPr>
          </w:p>
        </w:tc>
      </w:tr>
      <w:tr>
        <w:trPr>
          <w:trHeight w:val="149"/>
        </w:trPr>
        <w:tc>
          <w:tcPr>
            <w:tcW w:w="2220" w:type="dxa"/>
            <w:vAlign w:val="bottom"/>
            <w:vMerge w:val="continue"/>
            <w:shd w:val="clear" w:color="auto" w:fill="CCEEFF"/>
          </w:tcPr>
          <w:p>
            <w:pPr>
              <w:spacing w:after="0"/>
              <w:rPr>
                <w:sz w:val="12"/>
                <w:szCs w:val="12"/>
                <w:color w:val="auto"/>
              </w:rPr>
            </w:pPr>
          </w:p>
        </w:tc>
        <w:tc>
          <w:tcPr>
            <w:tcW w:w="9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BCBS against Company Defendants</w:t>
            </w:r>
          </w:p>
        </w:tc>
        <w:tc>
          <w:tcPr>
            <w:tcW w:w="0" w:type="dxa"/>
            <w:vAlign w:val="bottom"/>
          </w:tcPr>
          <w:p>
            <w:pPr>
              <w:spacing w:after="0"/>
              <w:rPr>
                <w:sz w:val="1"/>
                <w:szCs w:val="1"/>
                <w:color w:val="auto"/>
              </w:rPr>
            </w:pPr>
          </w:p>
        </w:tc>
      </w:tr>
      <w:tr>
        <w:trPr>
          <w:trHeight w:val="94"/>
        </w:trPr>
        <w:tc>
          <w:tcPr>
            <w:tcW w:w="2220" w:type="dxa"/>
            <w:vAlign w:val="bottom"/>
            <w:shd w:val="clear" w:color="auto" w:fill="CCEEFF"/>
          </w:tcPr>
          <w:p>
            <w:pPr>
              <w:spacing w:after="0"/>
              <w:rPr>
                <w:sz w:val="8"/>
                <w:szCs w:val="8"/>
                <w:color w:val="auto"/>
              </w:rPr>
            </w:pPr>
          </w:p>
        </w:tc>
        <w:tc>
          <w:tcPr>
            <w:tcW w:w="90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Biologics License Application</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BTC</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biliary tract cancers</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Chimerix</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Chimerix, Inc.</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Chimerix Acquisition</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our acquisition of Chimerix in April 2025</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Chimerix Merger Agreement</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 and plan of Merger dated March 4, 2025 among Jazz Pharmaceuticals plc, Pinetree and Chimerix</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Chimerix Shareholder</w:t>
            </w:r>
          </w:p>
        </w:tc>
        <w:tc>
          <w:tcPr>
            <w:tcW w:w="90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two suits filed in the Supreme Court of the State of New York, County of New York, by purported Chimerix shareholders</w:t>
            </w: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against Chimerix and its Board of Directors, but which do not name any Jazz Pharmaceuticals parties</w:t>
            </w: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Chimerix Transaction</w:t>
            </w:r>
          </w:p>
        </w:tc>
        <w:tc>
          <w:tcPr>
            <w:tcW w:w="9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the Rosenthal Lawsuit as well as the Chimerix Shareholder Litigation</w:t>
            </w:r>
          </w:p>
        </w:tc>
        <w:tc>
          <w:tcPr>
            <w:tcW w:w="0" w:type="dxa"/>
            <w:vAlign w:val="bottom"/>
          </w:tcPr>
          <w:p>
            <w:pPr>
              <w:spacing w:after="0"/>
              <w:rPr>
                <w:sz w:val="1"/>
                <w:szCs w:val="1"/>
                <w:color w:val="auto"/>
              </w:rPr>
            </w:pPr>
          </w:p>
        </w:tc>
      </w:tr>
      <w:tr>
        <w:trPr>
          <w:trHeight w:val="149"/>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20" w:type="dxa"/>
            <w:vAlign w:val="bottom"/>
            <w:vMerge w:val="continue"/>
          </w:tcPr>
          <w:p>
            <w:pPr>
              <w:spacing w:after="0"/>
              <w:rPr>
                <w:sz w:val="7"/>
                <w:szCs w:val="7"/>
                <w:color w:val="auto"/>
              </w:rPr>
            </w:pPr>
          </w:p>
        </w:tc>
        <w:tc>
          <w:tcPr>
            <w:tcW w:w="9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CHMP</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Committee for Medicinal Products for Human Use</w:t>
            </w:r>
          </w:p>
        </w:tc>
        <w:tc>
          <w:tcPr>
            <w:tcW w:w="0" w:type="dxa"/>
            <w:vAlign w:val="bottom"/>
          </w:tcPr>
          <w:p>
            <w:pPr>
              <w:spacing w:after="0"/>
              <w:rPr>
                <w:sz w:val="1"/>
                <w:szCs w:val="1"/>
                <w:color w:val="auto"/>
              </w:rPr>
            </w:pPr>
          </w:p>
        </w:tc>
      </w:tr>
    </w:tbl>
    <w:p>
      <w:pPr>
        <w:ind w:left="2340" w:right="400" w:hanging="2307"/>
        <w:spacing w:after="0" w:line="183" w:lineRule="auto"/>
        <w:rPr>
          <w:sz w:val="20"/>
          <w:szCs w:val="20"/>
          <w:color w:val="auto"/>
        </w:rPr>
      </w:pPr>
      <w:r>
        <w:rPr>
          <w:rFonts w:ascii="Times New Roman" w:cs="Times New Roman" w:eastAsia="Times New Roman" w:hAnsi="Times New Roman"/>
          <w:sz w:val="30"/>
          <w:szCs w:val="30"/>
          <w:color w:val="auto"/>
          <w:vertAlign w:val="subscript"/>
        </w:rPr>
        <w:t>City of Providence Defendants</w:t>
      </w:r>
      <w:r>
        <w:rPr>
          <w:rFonts w:ascii="Times New Roman" w:cs="Times New Roman" w:eastAsia="Times New Roman" w:hAnsi="Times New Roman"/>
          <w:sz w:val="16"/>
          <w:szCs w:val="16"/>
          <w:color w:val="auto"/>
        </w:rPr>
        <w:t xml:space="preserve"> Jazz Pharmaceuticals plc, and Roxane Laboratories, Inc., West-Ward Pharmaceuticals Corp., Hikma Labs Inc., Hikma Pharmaceuticals USA Inc., and Hikma Pharmaceuticals plc</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CMS</w:t>
            </w:r>
          </w:p>
        </w:tc>
        <w:tc>
          <w:tcPr>
            <w:tcW w:w="9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Centers for Medicare &amp; Medicaid Services</w:t>
            </w:r>
          </w:p>
        </w:tc>
      </w:tr>
      <w:tr>
        <w:trPr>
          <w:trHeight w:val="23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COG</w:t>
            </w:r>
          </w:p>
        </w:tc>
        <w:tc>
          <w:tcPr>
            <w:tcW w:w="9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Children’s Oncology Group</w:t>
            </w: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Defendants</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Jazz Pharmaceuticals plc, Jazz Pharmaceuticals, Inc., and Jazz Pharmaceuticals Ireland Limited</w:t>
            </w:r>
          </w:p>
        </w:tc>
      </w:tr>
      <w:tr>
        <w:trPr>
          <w:trHeight w:val="859"/>
        </w:trPr>
        <w:tc>
          <w:tcPr>
            <w:tcW w:w="1960" w:type="dxa"/>
            <w:vAlign w:val="bottom"/>
          </w:tcPr>
          <w:p>
            <w:pPr>
              <w:spacing w:after="0"/>
              <w:rPr>
                <w:sz w:val="24"/>
                <w:szCs w:val="24"/>
                <w:color w:val="auto"/>
              </w:rPr>
            </w:pPr>
          </w:p>
        </w:tc>
        <w:tc>
          <w:tcPr>
            <w:tcW w:w="928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1960" w:type="dxa"/>
            <w:vAlign w:val="bottom"/>
            <w:tcBorders>
              <w:bottom w:val="single" w:sz="8" w:color="9A9A9A"/>
            </w:tcBorders>
          </w:tcPr>
          <w:p>
            <w:pPr>
              <w:spacing w:after="0"/>
              <w:rPr>
                <w:sz w:val="10"/>
                <w:szCs w:val="10"/>
                <w:color w:val="auto"/>
              </w:rPr>
            </w:pPr>
          </w:p>
        </w:tc>
        <w:tc>
          <w:tcPr>
            <w:tcW w:w="9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90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Credit Agreement entered into on May 5, 2021, by and among us, Jazz Lux, and certain of our other subsidiaries, as</w:t>
            </w:r>
          </w:p>
        </w:tc>
        <w:tc>
          <w:tcPr>
            <w:tcW w:w="0" w:type="dxa"/>
            <w:vAlign w:val="bottom"/>
          </w:tcPr>
          <w:p>
            <w:pPr>
              <w:spacing w:after="0"/>
              <w:rPr>
                <w:sz w:val="1"/>
                <w:szCs w:val="1"/>
                <w:color w:val="auto"/>
              </w:rPr>
            </w:pPr>
          </w:p>
        </w:tc>
      </w:tr>
      <w:tr>
        <w:trPr>
          <w:trHeight w:val="184"/>
        </w:trPr>
        <w:tc>
          <w:tcPr>
            <w:tcW w:w="2180" w:type="dxa"/>
            <w:vAlign w:val="bottom"/>
            <w:gridSpan w:val="2"/>
            <w:vMerge w:val="continue"/>
            <w:shd w:val="clear" w:color="auto" w:fill="CCEEFF"/>
          </w:tcPr>
          <w:p>
            <w:pPr>
              <w:spacing w:after="0"/>
              <w:rPr>
                <w:sz w:val="16"/>
                <w:szCs w:val="16"/>
                <w:color w:val="auto"/>
              </w:rPr>
            </w:pPr>
          </w:p>
        </w:tc>
        <w:tc>
          <w:tcPr>
            <w:tcW w:w="90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borrowers, the lenders and issuing banks from time to time party thereto, Bank of America, N.A., as administrative agent</w:t>
            </w: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U.S. Bank Trust Company, National Association, as collateral trustee</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DDI</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drug-drug interaction</w:t>
            </w:r>
          </w:p>
        </w:tc>
        <w:tc>
          <w:tcPr>
            <w:tcW w:w="0" w:type="dxa"/>
            <w:vAlign w:val="bottom"/>
          </w:tcPr>
          <w:p>
            <w:pPr>
              <w:spacing w:after="0"/>
              <w:rPr>
                <w:sz w:val="1"/>
                <w:szCs w:val="1"/>
                <w:color w:val="auto"/>
              </w:rPr>
            </w:pPr>
          </w:p>
        </w:tc>
      </w:tr>
      <w:tr>
        <w:trPr>
          <w:trHeight w:val="175"/>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Defendants</w:t>
            </w:r>
          </w:p>
        </w:tc>
        <w:tc>
          <w:tcPr>
            <w:tcW w:w="90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Express Scripts, Inc., Express Scripts Holding Company, Express Scripts Specialty Distribution Services, Inc., Curascript,</w:t>
            </w:r>
          </w:p>
        </w:tc>
        <w:tc>
          <w:tcPr>
            <w:tcW w:w="0" w:type="dxa"/>
            <w:vAlign w:val="bottom"/>
          </w:tcPr>
          <w:p>
            <w:pPr>
              <w:spacing w:after="0"/>
              <w:rPr>
                <w:sz w:val="1"/>
                <w:szCs w:val="1"/>
                <w:color w:val="auto"/>
              </w:rPr>
            </w:pPr>
          </w:p>
        </w:tc>
      </w:tr>
      <w:tr>
        <w:trPr>
          <w:trHeight w:val="184"/>
        </w:trPr>
        <w:tc>
          <w:tcPr>
            <w:tcW w:w="2180" w:type="dxa"/>
            <w:vAlign w:val="bottom"/>
            <w:gridSpan w:val="2"/>
            <w:vMerge w:val="continue"/>
            <w:shd w:val="clear" w:color="auto" w:fill="CCEEFF"/>
          </w:tcPr>
          <w:p>
            <w:pPr>
              <w:spacing w:after="0"/>
              <w:rPr>
                <w:sz w:val="16"/>
                <w:szCs w:val="16"/>
                <w:color w:val="auto"/>
              </w:rPr>
            </w:pPr>
          </w:p>
        </w:tc>
        <w:tc>
          <w:tcPr>
            <w:tcW w:w="90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Inc. d/b/a Curascript, S.D., Priority Healthcare Distribution, Inc. d/b/a Curascript SD and Curascript Specialty Distribution</w:t>
            </w: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SD, Caring Voice Coalition, and Adira Foundation (collectively with the Company Defendants)</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Dollar Term Loan</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former seven-year $3.1 billion term loan B facility under the Credit Agreement</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Dravet syndrome</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European Commission</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excessive daytime sleepiness</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EEA</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European Economic Area</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European Medicines Agency</w:t>
            </w:r>
          </w:p>
        </w:tc>
        <w:tc>
          <w:tcPr>
            <w:tcW w:w="0" w:type="dxa"/>
            <w:vAlign w:val="bottom"/>
          </w:tcPr>
          <w:p>
            <w:pPr>
              <w:spacing w:after="0"/>
              <w:rPr>
                <w:sz w:val="1"/>
                <w:szCs w:val="1"/>
                <w:color w:val="auto"/>
              </w:rPr>
            </w:pPr>
          </w:p>
        </w:tc>
      </w:tr>
      <w:tr>
        <w:trPr>
          <w:trHeight w:val="175"/>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Epidiolex ANDA Filers</w:t>
            </w:r>
          </w:p>
        </w:tc>
        <w:tc>
          <w:tcPr>
            <w:tcW w:w="90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Teva Pharmaceuticals, Inc.; Padagis US LLC; Apotex Inc.; API Pharma Tech LLC and InvaGen Pharmaceuticals, Inc.;</w:t>
            </w:r>
          </w:p>
        </w:tc>
        <w:tc>
          <w:tcPr>
            <w:tcW w:w="0" w:type="dxa"/>
            <w:vAlign w:val="bottom"/>
          </w:tcPr>
          <w:p>
            <w:pPr>
              <w:spacing w:after="0"/>
              <w:rPr>
                <w:sz w:val="1"/>
                <w:szCs w:val="1"/>
                <w:color w:val="auto"/>
              </w:rPr>
            </w:pPr>
          </w:p>
        </w:tc>
      </w:tr>
      <w:tr>
        <w:trPr>
          <w:trHeight w:val="184"/>
        </w:trPr>
        <w:tc>
          <w:tcPr>
            <w:tcW w:w="2180" w:type="dxa"/>
            <w:vAlign w:val="bottom"/>
            <w:gridSpan w:val="2"/>
            <w:vMerge w:val="continue"/>
          </w:tcPr>
          <w:p>
            <w:pPr>
              <w:spacing w:after="0"/>
              <w:rPr>
                <w:sz w:val="16"/>
                <w:szCs w:val="16"/>
                <w:color w:val="auto"/>
              </w:rPr>
            </w:pPr>
          </w:p>
        </w:tc>
        <w:tc>
          <w:tcPr>
            <w:tcW w:w="90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Lupin Limited; Taro Pharmaceutical Industries Ltd.; Zenara Pharma Private Limited and Biophore Pharma, Inc.; MSN</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Laboratories Pvt. Ltd. and MSN Pharmaceuticals, Inc.; Alkem Laboratories Ltd.; and Ascent Pharmaceuticals, Inc.</w:t>
            </w:r>
          </w:p>
        </w:tc>
        <w:tc>
          <w:tcPr>
            <w:tcW w:w="0" w:type="dxa"/>
            <w:vAlign w:val="bottom"/>
          </w:tcPr>
          <w:p>
            <w:pPr>
              <w:spacing w:after="0"/>
              <w:rPr>
                <w:sz w:val="1"/>
                <w:szCs w:val="1"/>
                <w:color w:val="auto"/>
              </w:rPr>
            </w:pPr>
          </w:p>
        </w:tc>
      </w:tr>
      <w:tr>
        <w:trPr>
          <w:trHeight w:val="176"/>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 Patent Litigation</w:t>
            </w:r>
          </w:p>
        </w:tc>
        <w:tc>
          <w:tcPr>
            <w:tcW w:w="90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On January 3, 2023, we filed a patent infringement suit against the Epidiolex ANDA Filers in the United States District</w:t>
            </w:r>
          </w:p>
        </w:tc>
        <w:tc>
          <w:tcPr>
            <w:tcW w:w="0" w:type="dxa"/>
            <w:vAlign w:val="bottom"/>
          </w:tcPr>
          <w:p>
            <w:pPr>
              <w:spacing w:after="0"/>
              <w:rPr>
                <w:sz w:val="1"/>
                <w:szCs w:val="1"/>
                <w:color w:val="auto"/>
              </w:rPr>
            </w:pPr>
          </w:p>
        </w:tc>
      </w:tr>
      <w:tr>
        <w:trPr>
          <w:trHeight w:val="148"/>
        </w:trPr>
        <w:tc>
          <w:tcPr>
            <w:tcW w:w="2180" w:type="dxa"/>
            <w:vAlign w:val="bottom"/>
            <w:gridSpan w:val="2"/>
            <w:vMerge w:val="continue"/>
            <w:shd w:val="clear" w:color="auto" w:fill="CCEEFF"/>
          </w:tcPr>
          <w:p>
            <w:pPr>
              <w:spacing w:after="0"/>
              <w:rPr>
                <w:sz w:val="12"/>
                <w:szCs w:val="12"/>
                <w:color w:val="auto"/>
              </w:rPr>
            </w:pPr>
          </w:p>
        </w:tc>
        <w:tc>
          <w:tcPr>
            <w:tcW w:w="90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Court for the District of New Jersey.</w:t>
            </w:r>
          </w:p>
        </w:tc>
        <w:tc>
          <w:tcPr>
            <w:tcW w:w="0" w:type="dxa"/>
            <w:vAlign w:val="bottom"/>
          </w:tcPr>
          <w:p>
            <w:pPr>
              <w:spacing w:after="0"/>
              <w:rPr>
                <w:sz w:val="1"/>
                <w:szCs w:val="1"/>
                <w:color w:val="auto"/>
              </w:rPr>
            </w:pPr>
          </w:p>
        </w:tc>
      </w:tr>
      <w:tr>
        <w:trPr>
          <w:trHeight w:val="95"/>
        </w:trPr>
        <w:tc>
          <w:tcPr>
            <w:tcW w:w="12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9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Express Scripts Specialty Distribution Services, Inc.</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European Union</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Term Loan</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our now repaid seven-year €625.0 million term loan B facility under the Credit Agreement</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Exchangeable Senior Notes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our 2026 Notes and 2030 Notes</w:t>
            </w:r>
          </w:p>
        </w:tc>
        <w:tc>
          <w:tcPr>
            <w:tcW w:w="0" w:type="dxa"/>
            <w:vAlign w:val="bottom"/>
          </w:tcPr>
          <w:p>
            <w:pPr>
              <w:spacing w:after="0"/>
              <w:rPr>
                <w:sz w:val="1"/>
                <w:szCs w:val="1"/>
                <w:color w:val="auto"/>
              </w:rPr>
            </w:pPr>
          </w:p>
        </w:tc>
      </w:tr>
      <w:tr>
        <w:trPr>
          <w:trHeight w:val="175"/>
        </w:trPr>
        <w:tc>
          <w:tcPr>
            <w:tcW w:w="2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Fair value step-up</w:t>
            </w:r>
          </w:p>
        </w:tc>
        <w:tc>
          <w:tcPr>
            <w:tcW w:w="90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the acquisition accounting inventory fair value step-up expense</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9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continue"/>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Food and Drug Administration</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FTC</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Trade Commission</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GEA</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gastroesophageal adenocarcinoma</w:t>
            </w:r>
          </w:p>
        </w:tc>
        <w:tc>
          <w:tcPr>
            <w:tcW w:w="0" w:type="dxa"/>
            <w:vAlign w:val="bottom"/>
          </w:tcPr>
          <w:p>
            <w:pPr>
              <w:spacing w:after="0"/>
              <w:rPr>
                <w:sz w:val="1"/>
                <w:szCs w:val="1"/>
                <w:color w:val="auto"/>
              </w:rPr>
            </w:pPr>
          </w:p>
        </w:tc>
      </w:tr>
      <w:tr>
        <w:trPr>
          <w:trHeight w:val="175"/>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GEHA Lawsuit</w:t>
            </w:r>
          </w:p>
        </w:tc>
        <w:tc>
          <w:tcPr>
            <w:tcW w:w="90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Class action lawsuits filed on June 23, 2020 against the Company Defendants and the BCBS Defendants by Government</w:t>
            </w:r>
          </w:p>
        </w:tc>
        <w:tc>
          <w:tcPr>
            <w:tcW w:w="0" w:type="dxa"/>
            <w:vAlign w:val="bottom"/>
          </w:tcPr>
          <w:p>
            <w:pPr>
              <w:spacing w:after="0"/>
              <w:rPr>
                <w:sz w:val="1"/>
                <w:szCs w:val="1"/>
                <w:color w:val="auto"/>
              </w:rPr>
            </w:pPr>
          </w:p>
        </w:tc>
      </w:tr>
      <w:tr>
        <w:trPr>
          <w:trHeight w:val="149"/>
        </w:trPr>
        <w:tc>
          <w:tcPr>
            <w:tcW w:w="2180" w:type="dxa"/>
            <w:vAlign w:val="bottom"/>
            <w:gridSpan w:val="2"/>
            <w:vMerge w:val="continue"/>
            <w:shd w:val="clear" w:color="auto" w:fill="CCEEFF"/>
          </w:tcPr>
          <w:p>
            <w:pPr>
              <w:spacing w:after="0"/>
              <w:rPr>
                <w:sz w:val="12"/>
                <w:szCs w:val="12"/>
                <w:color w:val="auto"/>
              </w:rPr>
            </w:pPr>
          </w:p>
        </w:tc>
        <w:tc>
          <w:tcPr>
            <w:tcW w:w="90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Employees Health Association Inc. in the United States District Court for the Northern District of Illinois</w:t>
            </w:r>
          </w:p>
        </w:tc>
        <w:tc>
          <w:tcPr>
            <w:tcW w:w="0" w:type="dxa"/>
            <w:vAlign w:val="bottom"/>
          </w:tcPr>
          <w:p>
            <w:pPr>
              <w:spacing w:after="0"/>
              <w:rPr>
                <w:sz w:val="1"/>
                <w:szCs w:val="1"/>
                <w:color w:val="auto"/>
              </w:rPr>
            </w:pPr>
          </w:p>
        </w:tc>
      </w:tr>
      <w:tr>
        <w:trPr>
          <w:trHeight w:val="94"/>
        </w:trPr>
        <w:tc>
          <w:tcPr>
            <w:tcW w:w="12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9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GW</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GW Pharmaceuticals plc</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GW Acquisition</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our acquisition of GW Pharmaceuticals plc in May 2021</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HHS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Department of Health and Human Services</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Hikma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Hikma Pharmaceuticals PLC</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HSCT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post-hematopoietic stem-cell transplantation</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IFNα</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interferon alpha</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IH</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idiopathic hypersomnia</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intramuscular</w:t>
            </w:r>
          </w:p>
        </w:tc>
        <w:tc>
          <w:tcPr>
            <w:tcW w:w="0" w:type="dxa"/>
            <w:vAlign w:val="bottom"/>
          </w:tcPr>
          <w:p>
            <w:pPr>
              <w:spacing w:after="0"/>
              <w:rPr>
                <w:sz w:val="1"/>
                <w:szCs w:val="1"/>
                <w:color w:val="auto"/>
              </w:rPr>
            </w:pPr>
          </w:p>
        </w:tc>
      </w:tr>
      <w:tr>
        <w:trPr>
          <w:trHeight w:val="176"/>
        </w:trPr>
        <w:tc>
          <w:tcPr>
            <w:tcW w:w="2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Initial Revolving Credit</w:t>
            </w:r>
          </w:p>
        </w:tc>
        <w:tc>
          <w:tcPr>
            <w:tcW w:w="90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our five-year $500.0 million revolving credit facility under the Credit Agreement entered into in May 2021</w:t>
            </w:r>
          </w:p>
        </w:tc>
        <w:tc>
          <w:tcPr>
            <w:tcW w:w="0" w:type="dxa"/>
            <w:vAlign w:val="bottom"/>
          </w:tcPr>
          <w:p>
            <w:pPr>
              <w:spacing w:after="0"/>
              <w:rPr>
                <w:sz w:val="1"/>
                <w:szCs w:val="1"/>
                <w:color w:val="auto"/>
              </w:rPr>
            </w:pPr>
          </w:p>
        </w:tc>
      </w:tr>
      <w:tr>
        <w:trPr>
          <w:trHeight w:val="148"/>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9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continue"/>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Inflation Reduction Act of 2022</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Jazz Investments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Jazz Investments I Limited</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Jazz Lux</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Jazz Financing Lux S.à.r.l.</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Kirsten rat sarcoma virus</w:t>
            </w:r>
          </w:p>
        </w:tc>
        <w:tc>
          <w:tcPr>
            <w:tcW w:w="0" w:type="dxa"/>
            <w:vAlign w:val="bottom"/>
          </w:tcPr>
          <w:p>
            <w:pPr>
              <w:spacing w:after="0"/>
              <w:rPr>
                <w:sz w:val="1"/>
                <w:szCs w:val="1"/>
                <w:color w:val="auto"/>
              </w:rPr>
            </w:pP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LBL</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lymphoblastic lymphoma</w:t>
            </w:r>
          </w:p>
        </w:tc>
        <w:tc>
          <w:tcPr>
            <w:tcW w:w="0" w:type="dxa"/>
            <w:vAlign w:val="bottom"/>
          </w:tcPr>
          <w:p>
            <w:pPr>
              <w:spacing w:after="0"/>
              <w:rPr>
                <w:sz w:val="1"/>
                <w:szCs w:val="1"/>
                <w:color w:val="auto"/>
              </w:rPr>
            </w:pPr>
          </w:p>
        </w:tc>
      </w:tr>
      <w:tr>
        <w:trPr>
          <w:trHeight w:val="859"/>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6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60" w:type="dxa"/>
            <w:vAlign w:val="bottom"/>
          </w:tcPr>
          <w:p>
            <w:pPr>
              <w:spacing w:after="0"/>
              <w:rPr>
                <w:sz w:val="24"/>
                <w:szCs w:val="24"/>
                <w:color w:val="auto"/>
              </w:rPr>
            </w:pP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LGS</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Lennox-Gastaut syndrome</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Lupin</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Lupin Inc.</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McKesson Corporation</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MDS</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Myelodysplastic Syndrome</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NDA</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New Drug Application</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Repurchase Program</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our share repurchase program announced on July 31, 2024</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NHS</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U.K. National Health Service</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ODE</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Orphan Drug Exclusivity in the U.S.</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OECD</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Old Repurchase Program</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our share repurchase program authorized by our board of directors in November 2016</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 Book</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FDA’s publication “Approved Drug Products with Therapeutic Equivalence Evaluations”</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 Pharmaceutical, Inc.</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PBMs</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pharmacy benefit managers</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PDUFA</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Prescription Drug User Fee Act</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PharmaMar</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Pharma Mar, S.A.</w:t>
            </w:r>
          </w:p>
        </w:tc>
        <w:tc>
          <w:tcPr>
            <w:tcW w:w="0" w:type="dxa"/>
            <w:vAlign w:val="bottom"/>
          </w:tcPr>
          <w:p>
            <w:pPr>
              <w:spacing w:after="0"/>
              <w:rPr>
                <w:sz w:val="1"/>
                <w:szCs w:val="1"/>
                <w:color w:val="auto"/>
              </w:rPr>
            </w:pPr>
          </w:p>
        </w:tc>
      </w:tr>
      <w:tr>
        <w:trPr>
          <w:trHeight w:val="176"/>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Pillar Two</w:t>
            </w:r>
          </w:p>
        </w:tc>
        <w:tc>
          <w:tcPr>
            <w:tcW w:w="9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the OECD framework proposal to implement a global minimum tax rate of 15% for large multinational corporations on a</w:t>
            </w:r>
          </w:p>
        </w:tc>
        <w:tc>
          <w:tcPr>
            <w:tcW w:w="0" w:type="dxa"/>
            <w:vAlign w:val="bottom"/>
          </w:tcPr>
          <w:p>
            <w:pPr>
              <w:spacing w:after="0"/>
              <w:rPr>
                <w:sz w:val="1"/>
                <w:szCs w:val="1"/>
                <w:color w:val="auto"/>
              </w:rPr>
            </w:pPr>
          </w:p>
        </w:tc>
      </w:tr>
      <w:tr>
        <w:trPr>
          <w:trHeight w:val="148"/>
        </w:trPr>
        <w:tc>
          <w:tcPr>
            <w:tcW w:w="2240" w:type="dxa"/>
            <w:vAlign w:val="bottom"/>
            <w:gridSpan w:val="2"/>
            <w:vMerge w:val="continue"/>
          </w:tcPr>
          <w:p>
            <w:pPr>
              <w:spacing w:after="0"/>
              <w:rPr>
                <w:sz w:val="12"/>
                <w:szCs w:val="12"/>
                <w:color w:val="auto"/>
              </w:rPr>
            </w:pPr>
          </w:p>
        </w:tc>
        <w:tc>
          <w:tcPr>
            <w:tcW w:w="9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jurisdiction-by-jurisdiction basis</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Pinetree</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Pinetree Acquisition Sub, Inc., an indirect, wholly-owned subsidiary of Jazz Pharmaceuticals plc</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PRC</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0" w:type="dxa"/>
            <w:vAlign w:val="bottom"/>
          </w:tcPr>
          <w:p>
            <w:pPr>
              <w:spacing w:after="0"/>
              <w:rPr>
                <w:sz w:val="1"/>
                <w:szCs w:val="1"/>
                <w:color w:val="auto"/>
              </w:rPr>
            </w:pPr>
          </w:p>
        </w:tc>
      </w:tr>
      <w:tr>
        <w:trPr>
          <w:trHeight w:val="33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PRV</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Priority Review Voucher</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R/R</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relapsed/refractory</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Recommendation Statement</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Chimerix's Schedule 14D-9 Solicitation/Recommendation Statement</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Redx</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Redx Pharma plc</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REMS</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risk evaluation and mitigation strategy</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Repricing Amendment No.1</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to the Credit Agreement entered into by Jazz Lux in January 2024</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Repricing Amendment No.2</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 to the Credit Agreement entered into by Jazz Lux in July 2024</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RK Pharma</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RK Pharma, Inc., Apicore US LLC, Archis Pharma LLC, Vgyaan Pharmaceuticals LLC</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 Hoffmann-La Roche Ltd</w:t>
            </w:r>
          </w:p>
        </w:tc>
        <w:tc>
          <w:tcPr>
            <w:tcW w:w="0" w:type="dxa"/>
            <w:vAlign w:val="bottom"/>
          </w:tcPr>
          <w:p>
            <w:pPr>
              <w:spacing w:after="0"/>
              <w:rPr>
                <w:sz w:val="1"/>
                <w:szCs w:val="1"/>
                <w:color w:val="auto"/>
              </w:rPr>
            </w:pPr>
          </w:p>
        </w:tc>
      </w:tr>
      <w:tr>
        <w:trPr>
          <w:trHeight w:val="175"/>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Rosenthal Lawsuit</w:t>
            </w:r>
          </w:p>
        </w:tc>
        <w:tc>
          <w:tcPr>
            <w:tcW w:w="9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 lawsuit filed in the Supreme Court of the State of New York, County of Chemung, by David Rosenthal, purportedly on</w:t>
            </w:r>
          </w:p>
        </w:tc>
        <w:tc>
          <w:tcPr>
            <w:tcW w:w="0" w:type="dxa"/>
            <w:vAlign w:val="bottom"/>
          </w:tcPr>
          <w:p>
            <w:pPr>
              <w:spacing w:after="0"/>
              <w:rPr>
                <w:sz w:val="1"/>
                <w:szCs w:val="1"/>
                <w:color w:val="auto"/>
              </w:rPr>
            </w:pPr>
          </w:p>
        </w:tc>
      </w:tr>
      <w:tr>
        <w:trPr>
          <w:trHeight w:val="149"/>
        </w:trPr>
        <w:tc>
          <w:tcPr>
            <w:tcW w:w="2240" w:type="dxa"/>
            <w:vAlign w:val="bottom"/>
            <w:gridSpan w:val="2"/>
            <w:vMerge w:val="continue"/>
          </w:tcPr>
          <w:p>
            <w:pPr>
              <w:spacing w:after="0"/>
              <w:rPr>
                <w:sz w:val="12"/>
                <w:szCs w:val="12"/>
                <w:color w:val="auto"/>
              </w:rPr>
            </w:pPr>
          </w:p>
        </w:tc>
        <w:tc>
          <w:tcPr>
            <w:tcW w:w="9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behalf of Chimerix Shareholders</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units</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sBLA</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supplemental Biologics License Application</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SCLC</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small cell lung cancer</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232</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Section 232 of the Trade Expansion Act of 1962</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our issued $1.5 billion in aggregate principal amount of 4.375% senior secured notes, due 2029</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On August 14, 2020, a class action lawsuit was filed in the United States District Court for the Southern District of New</w:t>
            </w:r>
          </w:p>
        </w:tc>
        <w:tc>
          <w:tcPr>
            <w:tcW w:w="0" w:type="dxa"/>
            <w:vAlign w:val="bottom"/>
          </w:tcPr>
          <w:p>
            <w:pPr>
              <w:spacing w:after="0"/>
              <w:rPr>
                <w:sz w:val="1"/>
                <w:szCs w:val="1"/>
                <w:color w:val="auto"/>
              </w:rPr>
            </w:pPr>
          </w:p>
        </w:tc>
      </w:tr>
      <w:tr>
        <w:trPr>
          <w:trHeight w:val="184"/>
        </w:trPr>
        <w:tc>
          <w:tcPr>
            <w:tcW w:w="1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0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York by the Self-Insured Schools of California on behalf of itself and all others similarly situated, against the Company</w:t>
            </w: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Defendants, as well as Hikma Pharmaceuticals plc, Eurohealth (USA) Inc., Hikma Pharmaceuticals USA, Inc., West-Ward</w:t>
            </w:r>
          </w:p>
        </w:tc>
        <w:tc>
          <w:tcPr>
            <w:tcW w:w="0" w:type="dxa"/>
            <w:vAlign w:val="bottom"/>
          </w:tcPr>
          <w:p>
            <w:pPr>
              <w:spacing w:after="0"/>
              <w:rPr>
                <w:sz w:val="1"/>
                <w:szCs w:val="1"/>
                <w:color w:val="auto"/>
              </w:rPr>
            </w:pPr>
          </w:p>
        </w:tc>
      </w:tr>
      <w:tr>
        <w:trPr>
          <w:trHeight w:val="175"/>
        </w:trPr>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Self-Insured Schools Lawsuit</w:t>
            </w:r>
          </w:p>
        </w:tc>
        <w:tc>
          <w:tcPr>
            <w:tcW w:w="90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Pharmaceuticals Corp., Roxane Laboratories, Inc., Amneal Pharmaceuticals LLC, Endo International, plc, Endo</w:t>
            </w:r>
          </w:p>
        </w:tc>
        <w:tc>
          <w:tcPr>
            <w:tcW w:w="0" w:type="dxa"/>
            <w:vAlign w:val="bottom"/>
          </w:tcPr>
          <w:p>
            <w:pPr>
              <w:spacing w:after="0"/>
              <w:rPr>
                <w:sz w:val="1"/>
                <w:szCs w:val="1"/>
                <w:color w:val="auto"/>
              </w:rPr>
            </w:pPr>
          </w:p>
        </w:tc>
      </w:tr>
      <w:tr>
        <w:trPr>
          <w:trHeight w:val="184"/>
        </w:trPr>
        <w:tc>
          <w:tcPr>
            <w:tcW w:w="2240" w:type="dxa"/>
            <w:vAlign w:val="bottom"/>
            <w:gridSpan w:val="2"/>
            <w:vMerge w:val="continue"/>
            <w:shd w:val="clear" w:color="auto" w:fill="CCEEFF"/>
          </w:tcPr>
          <w:p>
            <w:pPr>
              <w:spacing w:after="0"/>
              <w:rPr>
                <w:sz w:val="16"/>
                <w:szCs w:val="16"/>
                <w:color w:val="auto"/>
              </w:rPr>
            </w:pPr>
          </w:p>
        </w:tc>
        <w:tc>
          <w:tcPr>
            <w:tcW w:w="90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Pharmaceuticals LLC, Par Pharmaceutical, Inc., Lupin Ltd., Lupin Pharmaceuticals Inc., Lupin Inc., Sun Pharmaceutical</w:t>
            </w: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Industries Ltd., Sun Pharmaceutical Holdings USA, Inc., Sun Pharmaceutical Industries, Inc., Ranbaxy Laboratories Ltd.,</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Teva Pharmaceutical Industries Ltd., Watson Laboratories, Inc., Wockhardt Ltd., Morton Grove Pharmaceuticals, Inc.,</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Wockhardt USA LLC, Mallinckrodt plc, and Mallinckrodt LLC</w:t>
            </w:r>
          </w:p>
        </w:tc>
        <w:tc>
          <w:tcPr>
            <w:tcW w:w="0" w:type="dxa"/>
            <w:vAlign w:val="bottom"/>
          </w:tcPr>
          <w:p>
            <w:pPr>
              <w:spacing w:after="0"/>
              <w:rPr>
                <w:sz w:val="1"/>
                <w:szCs w:val="1"/>
                <w:color w:val="auto"/>
              </w:rPr>
            </w:pPr>
          </w:p>
        </w:tc>
      </w:tr>
      <w:tr>
        <w:trPr>
          <w:trHeight w:val="864"/>
        </w:trPr>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6"/>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20" w:type="dxa"/>
            <w:vAlign w:val="bottom"/>
          </w:tcPr>
          <w:p>
            <w:pPr>
              <w:spacing w:after="0"/>
              <w:rPr>
                <w:sz w:val="24"/>
                <w:szCs w:val="24"/>
                <w:color w:val="auto"/>
              </w:rPr>
            </w:pP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sNDA</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supplemental New Drug Application</w:t>
            </w:r>
          </w:p>
        </w:tc>
        <w:tc>
          <w:tcPr>
            <w:tcW w:w="0" w:type="dxa"/>
            <w:vAlign w:val="bottom"/>
          </w:tcPr>
          <w:p>
            <w:pPr>
              <w:spacing w:after="0"/>
              <w:rPr>
                <w:sz w:val="1"/>
                <w:szCs w:val="1"/>
                <w:color w:val="auto"/>
              </w:rPr>
            </w:pPr>
          </w:p>
        </w:tc>
      </w:tr>
      <w:tr>
        <w:trPr>
          <w:trHeight w:val="229"/>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Sumitomo</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Sumitomo Pharma Co., Ltd</w:t>
            </w:r>
          </w:p>
        </w:tc>
        <w:tc>
          <w:tcPr>
            <w:tcW w:w="0" w:type="dxa"/>
            <w:vAlign w:val="bottom"/>
          </w:tcPr>
          <w:p>
            <w:pPr>
              <w:spacing w:after="0"/>
              <w:rPr>
                <w:sz w:val="1"/>
                <w:szCs w:val="1"/>
                <w:color w:val="auto"/>
              </w:rPr>
            </w:pPr>
          </w:p>
        </w:tc>
      </w:tr>
      <w:tr>
        <w:trPr>
          <w:trHeight w:val="23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sVOD</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severe VOD</w:t>
            </w:r>
          </w:p>
        </w:tc>
        <w:tc>
          <w:tcPr>
            <w:tcW w:w="0" w:type="dxa"/>
            <w:vAlign w:val="bottom"/>
          </w:tcPr>
          <w:p>
            <w:pPr>
              <w:spacing w:after="0"/>
              <w:rPr>
                <w:sz w:val="1"/>
                <w:szCs w:val="1"/>
                <w:color w:val="auto"/>
              </w:rPr>
            </w:pPr>
          </w:p>
        </w:tc>
      </w:tr>
      <w:tr>
        <w:trPr>
          <w:trHeight w:val="229"/>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T-DXd</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trastuzumab deruxtecan</w:t>
            </w:r>
          </w:p>
        </w:tc>
        <w:tc>
          <w:tcPr>
            <w:tcW w:w="0" w:type="dxa"/>
            <w:vAlign w:val="bottom"/>
          </w:tcPr>
          <w:p>
            <w:pPr>
              <w:spacing w:after="0"/>
              <w:rPr>
                <w:sz w:val="1"/>
                <w:szCs w:val="1"/>
                <w:color w:val="auto"/>
              </w:rPr>
            </w:pP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Tender Offer Documents</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our Tender Offer Statement together with the Recommendation Statement</w:t>
            </w: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Teva</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Teva Pharmaceuticals, Inc.</w:t>
            </w:r>
          </w:p>
        </w:tc>
        <w:tc>
          <w:tcPr>
            <w:tcW w:w="0" w:type="dxa"/>
            <w:vAlign w:val="bottom"/>
          </w:tcPr>
          <w:p>
            <w:pPr>
              <w:spacing w:after="0"/>
              <w:rPr>
                <w:sz w:val="1"/>
                <w:szCs w:val="1"/>
                <w:color w:val="auto"/>
              </w:rPr>
            </w:pPr>
          </w:p>
        </w:tc>
      </w:tr>
      <w:tr>
        <w:trPr>
          <w:trHeight w:val="175"/>
        </w:trPr>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Tranche B-1 Dollar Term</w:t>
            </w:r>
          </w:p>
        </w:tc>
        <w:tc>
          <w:tcPr>
            <w:tcW w:w="9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upon entry into the Repricing Amendment No.1, the then outstanding Dollar Term Loan was refinanced into a new tranche</w:t>
            </w:r>
          </w:p>
        </w:tc>
        <w:tc>
          <w:tcPr>
            <w:tcW w:w="0" w:type="dxa"/>
            <w:vAlign w:val="bottom"/>
          </w:tcPr>
          <w:p>
            <w:pPr>
              <w:spacing w:after="0"/>
              <w:rPr>
                <w:sz w:val="1"/>
                <w:szCs w:val="1"/>
                <w:color w:val="auto"/>
              </w:rPr>
            </w:pPr>
          </w:p>
        </w:tc>
      </w:tr>
      <w:tr>
        <w:trPr>
          <w:trHeight w:val="23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U.S. dollar term loans</w:t>
            </w:r>
          </w:p>
        </w:tc>
        <w:tc>
          <w:tcPr>
            <w:tcW w:w="0" w:type="dxa"/>
            <w:vAlign w:val="bottom"/>
          </w:tcPr>
          <w:p>
            <w:pPr>
              <w:spacing w:after="0"/>
              <w:rPr>
                <w:sz w:val="1"/>
                <w:szCs w:val="1"/>
                <w:color w:val="auto"/>
              </w:rPr>
            </w:pPr>
          </w:p>
        </w:tc>
      </w:tr>
      <w:tr>
        <w:trPr>
          <w:trHeight w:val="180"/>
        </w:trPr>
        <w:tc>
          <w:tcPr>
            <w:tcW w:w="21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Tranche B-2 Dollar Term</w:t>
            </w:r>
          </w:p>
        </w:tc>
        <w:tc>
          <w:tcPr>
            <w:tcW w:w="914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w w:val="99"/>
              </w:rPr>
              <w:t>upon entry into the Repricing Amendment No.2, the then outstanding Tranche B-1 Dollar Term Loans were refinanced into</w:t>
            </w:r>
          </w:p>
        </w:tc>
        <w:tc>
          <w:tcPr>
            <w:tcW w:w="0" w:type="dxa"/>
            <w:vAlign w:val="bottom"/>
          </w:tcPr>
          <w:p>
            <w:pPr>
              <w:spacing w:after="0"/>
              <w:rPr>
                <w:sz w:val="1"/>
                <w:szCs w:val="1"/>
                <w:color w:val="auto"/>
              </w:rPr>
            </w:pPr>
          </w:p>
        </w:tc>
      </w:tr>
      <w:tr>
        <w:trPr>
          <w:trHeight w:val="24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 new tranche of U.S. dollar term loans</w:t>
            </w:r>
          </w:p>
        </w:tc>
        <w:tc>
          <w:tcPr>
            <w:tcW w:w="0" w:type="dxa"/>
            <w:vAlign w:val="bottom"/>
          </w:tcPr>
          <w:p>
            <w:pPr>
              <w:spacing w:after="0"/>
              <w:rPr>
                <w:sz w:val="1"/>
                <w:szCs w:val="1"/>
                <w:color w:val="auto"/>
              </w:rPr>
            </w:pPr>
          </w:p>
        </w:tc>
      </w:tr>
      <w:tr>
        <w:trPr>
          <w:trHeight w:val="23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TSC</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tuberous sclerosis complex</w:t>
            </w:r>
          </w:p>
        </w:tc>
        <w:tc>
          <w:tcPr>
            <w:tcW w:w="0" w:type="dxa"/>
            <w:vAlign w:val="bottom"/>
          </w:tcPr>
          <w:p>
            <w:pPr>
              <w:spacing w:after="0"/>
              <w:rPr>
                <w:sz w:val="1"/>
                <w:szCs w:val="1"/>
                <w:color w:val="auto"/>
              </w:rPr>
            </w:pPr>
          </w:p>
        </w:tc>
      </w:tr>
      <w:tr>
        <w:trPr>
          <w:trHeight w:val="229"/>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c>
          <w:tcPr>
            <w:tcW w:w="0" w:type="dxa"/>
            <w:vAlign w:val="bottom"/>
          </w:tcPr>
          <w:p>
            <w:pPr>
              <w:spacing w:after="0"/>
              <w:rPr>
                <w:sz w:val="1"/>
                <w:szCs w:val="1"/>
                <w:color w:val="auto"/>
              </w:rPr>
            </w:pPr>
          </w:p>
        </w:tc>
      </w:tr>
      <w:tr>
        <w:trPr>
          <w:trHeight w:val="176"/>
        </w:trPr>
        <w:tc>
          <w:tcPr>
            <w:tcW w:w="2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UFCW Defendants</w:t>
            </w:r>
          </w:p>
        </w:tc>
        <w:tc>
          <w:tcPr>
            <w:tcW w:w="91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Jazz Pharmaceuticals Ireland Ltd., Jazz Pharmaceuticals, Inc., Roxane Laboratories, Inc., Hikma Pharmaceuticals plc,</w:t>
            </w:r>
          </w:p>
        </w:tc>
        <w:tc>
          <w:tcPr>
            <w:tcW w:w="0" w:type="dxa"/>
            <w:vAlign w:val="bottom"/>
          </w:tcPr>
          <w:p>
            <w:pPr>
              <w:spacing w:after="0"/>
              <w:rPr>
                <w:sz w:val="1"/>
                <w:szCs w:val="1"/>
                <w:color w:val="auto"/>
              </w:rPr>
            </w:pPr>
          </w:p>
        </w:tc>
      </w:tr>
      <w:tr>
        <w:trPr>
          <w:trHeight w:val="148"/>
        </w:trPr>
        <w:tc>
          <w:tcPr>
            <w:tcW w:w="2100" w:type="dxa"/>
            <w:vAlign w:val="bottom"/>
            <w:gridSpan w:val="2"/>
            <w:vMerge w:val="continue"/>
            <w:shd w:val="clear" w:color="auto" w:fill="CCEEFF"/>
          </w:tcPr>
          <w:p>
            <w:pPr>
              <w:spacing w:after="0"/>
              <w:rPr>
                <w:sz w:val="12"/>
                <w:szCs w:val="12"/>
                <w:color w:val="auto"/>
              </w:rPr>
            </w:pPr>
          </w:p>
        </w:tc>
        <w:tc>
          <w:tcPr>
            <w:tcW w:w="91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Eurohealth (USA), Inc. and West-Ward Pharmaceuticals Corp.</w:t>
            </w:r>
          </w:p>
        </w:tc>
        <w:tc>
          <w:tcPr>
            <w:tcW w:w="0" w:type="dxa"/>
            <w:vAlign w:val="bottom"/>
          </w:tcPr>
          <w:p>
            <w:pPr>
              <w:spacing w:after="0"/>
              <w:rPr>
                <w:sz w:val="1"/>
                <w:szCs w:val="1"/>
                <w:color w:val="auto"/>
              </w:rPr>
            </w:pPr>
          </w:p>
        </w:tc>
      </w:tr>
      <w:tr>
        <w:trPr>
          <w:trHeight w:val="94"/>
        </w:trPr>
        <w:tc>
          <w:tcPr>
            <w:tcW w:w="12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9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UFCW Lawsuit</w:t>
            </w:r>
          </w:p>
        </w:tc>
        <w:tc>
          <w:tcPr>
            <w:tcW w:w="9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On June 30, 2020, a class action lawsuit was filed in the United States District Court for the Northern District of Illinois by</w:t>
            </w:r>
          </w:p>
        </w:tc>
        <w:tc>
          <w:tcPr>
            <w:tcW w:w="0" w:type="dxa"/>
            <w:vAlign w:val="bottom"/>
          </w:tcPr>
          <w:p>
            <w:pPr>
              <w:spacing w:after="0"/>
              <w:rPr>
                <w:sz w:val="1"/>
                <w:szCs w:val="1"/>
                <w:color w:val="auto"/>
              </w:rPr>
            </w:pPr>
          </w:p>
        </w:tc>
      </w:tr>
      <w:tr>
        <w:trPr>
          <w:trHeight w:val="148"/>
        </w:trPr>
        <w:tc>
          <w:tcPr>
            <w:tcW w:w="2100" w:type="dxa"/>
            <w:vAlign w:val="bottom"/>
            <w:gridSpan w:val="2"/>
            <w:vMerge w:val="continue"/>
          </w:tcPr>
          <w:p>
            <w:pPr>
              <w:spacing w:after="0"/>
              <w:rPr>
                <w:sz w:val="12"/>
                <w:szCs w:val="12"/>
                <w:color w:val="auto"/>
              </w:rPr>
            </w:pPr>
          </w:p>
        </w:tc>
        <w:tc>
          <w:tcPr>
            <w:tcW w:w="91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UFCW Local 1500 Welfare Fund on behalf of itself and all others similarly situated, against the UFCW Defendants</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14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On March 18, 2021, United Healthcare Services, Inc. filed a lawsuit in the United States District Court for the District of</w:t>
            </w:r>
          </w:p>
        </w:tc>
        <w:tc>
          <w:tcPr>
            <w:tcW w:w="0" w:type="dxa"/>
            <w:vAlign w:val="bottom"/>
          </w:tcPr>
          <w:p>
            <w:pPr>
              <w:spacing w:after="0"/>
              <w:rPr>
                <w:sz w:val="1"/>
                <w:szCs w:val="1"/>
                <w:color w:val="auto"/>
              </w:rPr>
            </w:pPr>
          </w:p>
        </w:tc>
      </w:tr>
      <w:tr>
        <w:trPr>
          <w:trHeight w:val="184"/>
        </w:trPr>
        <w:tc>
          <w:tcPr>
            <w:tcW w:w="2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UHS Lawsuit</w:t>
            </w:r>
          </w:p>
        </w:tc>
        <w:tc>
          <w:tcPr>
            <w:tcW w:w="91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Minnesota against the Company Defendants, Hikma Pharmaceuticals plc, Roxane Laboratories, Inc., Hikma</w:t>
            </w:r>
          </w:p>
        </w:tc>
        <w:tc>
          <w:tcPr>
            <w:tcW w:w="0" w:type="dxa"/>
            <w:vAlign w:val="bottom"/>
          </w:tcPr>
          <w:p>
            <w:pPr>
              <w:spacing w:after="0"/>
              <w:rPr>
                <w:sz w:val="1"/>
                <w:szCs w:val="1"/>
                <w:color w:val="auto"/>
              </w:rPr>
            </w:pPr>
          </w:p>
        </w:tc>
      </w:tr>
      <w:tr>
        <w:trPr>
          <w:trHeight w:val="140"/>
        </w:trPr>
        <w:tc>
          <w:tcPr>
            <w:tcW w:w="2100" w:type="dxa"/>
            <w:vAlign w:val="bottom"/>
            <w:gridSpan w:val="2"/>
            <w:vMerge w:val="continue"/>
            <w:shd w:val="clear" w:color="auto" w:fill="CCEEFF"/>
          </w:tcPr>
          <w:p>
            <w:pPr>
              <w:spacing w:after="0"/>
              <w:rPr>
                <w:sz w:val="12"/>
                <w:szCs w:val="12"/>
                <w:color w:val="auto"/>
              </w:rPr>
            </w:pPr>
          </w:p>
        </w:tc>
        <w:tc>
          <w:tcPr>
            <w:tcW w:w="9140" w:type="dxa"/>
            <w:vAlign w:val="bottom"/>
            <w:vMerge w:val="restart"/>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Pharmaceuticals USA Inc., Eurohealth (USA) Inc., Amneal Pharmaceuticals LLC, Par Pharmaceutical, Inc., Lupin Ltd.,</w:t>
            </w:r>
          </w:p>
        </w:tc>
        <w:tc>
          <w:tcPr>
            <w:tcW w:w="0" w:type="dxa"/>
            <w:vAlign w:val="bottom"/>
          </w:tcPr>
          <w:p>
            <w:pPr>
              <w:spacing w:after="0"/>
              <w:rPr>
                <w:sz w:val="1"/>
                <w:szCs w:val="1"/>
                <w:color w:val="auto"/>
              </w:rPr>
            </w:pPr>
          </w:p>
        </w:tc>
      </w:tr>
      <w:tr>
        <w:trPr>
          <w:trHeight w:val="41"/>
        </w:trPr>
        <w:tc>
          <w:tcPr>
            <w:tcW w:w="1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914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Lupin Pharmaceuticals, Inc.</w:t>
            </w:r>
          </w:p>
        </w:tc>
        <w:tc>
          <w:tcPr>
            <w:tcW w:w="0" w:type="dxa"/>
            <w:vAlign w:val="bottom"/>
          </w:tcPr>
          <w:p>
            <w:pPr>
              <w:spacing w:after="0"/>
              <w:rPr>
                <w:sz w:val="1"/>
                <w:szCs w:val="1"/>
                <w:color w:val="auto"/>
              </w:rPr>
            </w:pP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USPTO</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Patent and Trademark Office</w:t>
            </w: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veno-occlusive disease</w:t>
            </w:r>
          </w:p>
        </w:tc>
        <w:tc>
          <w:tcPr>
            <w:tcW w:w="0" w:type="dxa"/>
            <w:vAlign w:val="bottom"/>
          </w:tcPr>
          <w:p>
            <w:pPr>
              <w:spacing w:after="0"/>
              <w:rPr>
                <w:sz w:val="1"/>
                <w:szCs w:val="1"/>
                <w:color w:val="auto"/>
              </w:rPr>
            </w:pP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Werewolf</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Werewolf Therapeutics, Inc.</w:t>
            </w:r>
          </w:p>
        </w:tc>
        <w:tc>
          <w:tcPr>
            <w:tcW w:w="0" w:type="dxa"/>
            <w:vAlign w:val="bottom"/>
          </w:tcPr>
          <w:p>
            <w:pPr>
              <w:spacing w:after="0"/>
              <w:rPr>
                <w:sz w:val="1"/>
                <w:szCs w:val="1"/>
                <w:color w:val="auto"/>
              </w:rPr>
            </w:pPr>
          </w:p>
        </w:tc>
      </w:tr>
      <w:tr>
        <w:trPr>
          <w:trHeight w:val="176"/>
        </w:trPr>
        <w:tc>
          <w:tcPr>
            <w:tcW w:w="2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 ANDA Filers</w:t>
            </w:r>
          </w:p>
        </w:tc>
        <w:tc>
          <w:tcPr>
            <w:tcW w:w="91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Sandoz Inc., InvaGen Pharmaceuticals, Inc., CIPLA USA, Inc. CIPLA (EU) Limited, CIPLA Limited, Zydus Lifesciences</w:t>
            </w:r>
          </w:p>
        </w:tc>
        <w:tc>
          <w:tcPr>
            <w:tcW w:w="0" w:type="dxa"/>
            <w:vAlign w:val="bottom"/>
          </w:tcPr>
          <w:p>
            <w:pPr>
              <w:spacing w:after="0"/>
              <w:rPr>
                <w:sz w:val="1"/>
                <w:szCs w:val="1"/>
                <w:color w:val="auto"/>
              </w:rPr>
            </w:pPr>
          </w:p>
        </w:tc>
      </w:tr>
      <w:tr>
        <w:trPr>
          <w:trHeight w:val="184"/>
        </w:trPr>
        <w:tc>
          <w:tcPr>
            <w:tcW w:w="2100" w:type="dxa"/>
            <w:vAlign w:val="bottom"/>
            <w:gridSpan w:val="2"/>
            <w:vMerge w:val="continue"/>
            <w:shd w:val="clear" w:color="auto" w:fill="CCEEFF"/>
          </w:tcPr>
          <w:p>
            <w:pPr>
              <w:spacing w:after="0"/>
              <w:rPr>
                <w:sz w:val="16"/>
                <w:szCs w:val="16"/>
                <w:color w:val="auto"/>
              </w:rPr>
            </w:pPr>
          </w:p>
        </w:tc>
        <w:tc>
          <w:tcPr>
            <w:tcW w:w="91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Global FZE, Zydus Pharmaceuticals (USA) Inc., Zydus Lifesciences Limited, RK Pharma, Inc., Apicore US LLC, Archis</w:t>
            </w: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Pharma LLC, Vgyaan Pharmaceuticals LLC, MSN Pharmaceuticals Inc., and MSN Laboratories PVT. LTD.</w:t>
            </w:r>
          </w:p>
        </w:tc>
        <w:tc>
          <w:tcPr>
            <w:tcW w:w="0" w:type="dxa"/>
            <w:vAlign w:val="bottom"/>
          </w:tcPr>
          <w:p>
            <w:pPr>
              <w:spacing w:after="0"/>
              <w:rPr>
                <w:sz w:val="1"/>
                <w:szCs w:val="1"/>
                <w:color w:val="auto"/>
              </w:rPr>
            </w:pPr>
          </w:p>
        </w:tc>
      </w:tr>
      <w:tr>
        <w:trPr>
          <w:trHeight w:val="23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Zymeworks</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Zymeworks Inc.</w:t>
            </w: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brand names of our products, our delivery devices and certain of our product candidates and their associated generic names are given below.</w:t>
      </w:r>
    </w:p>
    <w:p>
      <w:pPr>
        <w:sectPr>
          <w:pgSz w:w="11900" w:h="16838" w:orient="portrait"/>
          <w:cols w:equalWidth="0" w:num="1">
            <w:col w:w="11240"/>
          </w:cols>
          <w:pgMar w:left="320" w:top="108" w:right="339" w:bottom="1440" w:gutter="0" w:footer="0" w:header="0"/>
        </w:sect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CombiPlex</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Defitelio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dordaviprone</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Epidiolex</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Rylaze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Sativex</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Suvecaltamide</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Vyxeos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Xyrem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Xywav</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Zepzelca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Ziihera</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19685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CombiPlex® (delivery technology platform)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Defitelio® (defibrotide sodium), Defitelio® (defibrotide)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14605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Dordaviprone (ONC201)</w:t>
      </w:r>
    </w:p>
    <w:p>
      <w:pPr>
        <w:spacing w:after="0" w:line="23"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18"/>
          <w:szCs w:val="18"/>
          <w:color w:val="auto"/>
        </w:rPr>
        <w:t>Epidiolex® (cannabidiol) oral solution, Epidyolex® (the trade name in Europe and other countries outside the U.S. for Epidiolex)</w:t>
      </w:r>
    </w:p>
    <w:p>
      <w:pPr>
        <w:spacing w:after="0" w:line="10" w:lineRule="exact"/>
        <w:rPr>
          <w:sz w:val="20"/>
          <w:szCs w:val="20"/>
          <w:color w:val="auto"/>
        </w:rPr>
      </w:pPr>
    </w:p>
    <w:p>
      <w:pPr>
        <w:ind w:right="600"/>
        <w:spacing w:after="0" w:line="237" w:lineRule="auto"/>
        <w:rPr>
          <w:sz w:val="20"/>
          <w:szCs w:val="20"/>
          <w:color w:val="auto"/>
        </w:rPr>
      </w:pPr>
      <w:r>
        <w:rPr>
          <w:rFonts w:ascii="Times New Roman" w:cs="Times New Roman" w:eastAsia="Times New Roman" w:hAnsi="Times New Roman"/>
          <w:sz w:val="18"/>
          <w:szCs w:val="18"/>
          <w:color w:val="auto"/>
        </w:rPr>
        <w:t>Rylaze® (asparaginase erwinia chrysanthemi (recombinant)-rywn), Enrylaze® (the trade name in Europe and other countries outside the U.S. and Canada for Rylaze)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-255905</wp:posOffset>
            </wp:positionV>
            <wp:extent cx="7132320" cy="266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Sativex® (nabiximols)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17145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Suvecaltamide (JZP385)</w:t>
      </w:r>
    </w:p>
    <w:p>
      <w:pPr>
        <w:spacing w:after="0" w:line="23"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Vyxeos® (daunorubicin and cytarabine) liposome for injection, Vyxeos® liposomal 44 mg/100 mg powder for concentrate for solution for infusion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Xyrem® (sodium oxybate)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-127635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Xywav® (calcium, magnesium, potassium, and sodium oxybates)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14605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Zepzelca® (lurbinectedin)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Ziihera® (zanidatamab-hrii)</w:t>
      </w:r>
    </w:p>
    <w:p>
      <w:pPr>
        <w:spacing w:after="0" w:line="200" w:lineRule="exact"/>
        <w:rPr>
          <w:sz w:val="20"/>
          <w:szCs w:val="20"/>
          <w:color w:val="auto"/>
        </w:rPr>
      </w:pPr>
    </w:p>
    <w:p>
      <w:pPr>
        <w:sectPr>
          <w:pgSz w:w="11900" w:h="16838" w:orient="portrait"/>
          <w:cols w:equalWidth="0" w:num="2">
            <w:col w:w="1620" w:space="720"/>
            <w:col w:w="890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7"/>
          <w:szCs w:val="17"/>
          <w:color w:val="auto"/>
        </w:rPr>
        <w:t>We own or have rights to various copyrights, trademarks, and trade names used in our business in the U.S. and/or other countries, including the following: Jazz Pharmaceuticals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Xywav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(calcium, magnesium, potassium, and sodium oxybates) oral solution, Xyrem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(sodium oxybate) oral solution, Epidiolex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(cannabidiol) oral solution, Epidyolex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(the trade name in Europe and other countries outside the U.S. for Epidiolex), 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(asparaginase erwinia chrysanthemi (recombinant)-rywn), Enrylaze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(the trade name in Europe and other countries outside the U.S. and Canada for Rylaze), Zepzelca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(lurbinectedin), Defitelio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(defibrotide sodium), Defitelio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(defibrotide), Vyxeos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(daunorubicin and cytarabine) liposome for injection, Vyxeos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liposomal 44 mg/100 mg powder for concentrate for solution for infusion, CombiPlex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Sativex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(nabiximols) oral solution and Ziihera® (zanidatamab-hrii).</w:t>
      </w:r>
    </w:p>
    <w:p>
      <w:pPr>
        <w:spacing w:after="0" w:line="158"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This Quarterly Report on Form 10-Q also includes trademarks, service marks and trade names of other companies. Trademarks, service marks and trade names appearing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2,412,864</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716,765</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480,445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177,411</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261,543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4,127,817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4,629,028</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53,582</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4,755,695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1,716,323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11,534,682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12,012,257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910,947</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0" w:type="dxa"/>
            <w:vAlign w:val="bottom"/>
          </w:tcPr>
          <w:p>
            <w:pPr>
              <w:spacing w:after="0"/>
              <w:rPr>
                <w:sz w:val="1"/>
                <w:szCs w:val="1"/>
                <w:color w:val="auto"/>
              </w:rPr>
            </w:pP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1,038,573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6,077,640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676,736</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Non-voting euro deferred shares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3,913,542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(947,667)</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1,127,347</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4,174,891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4,093,756</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11,534,682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12,012,257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839,418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842,102</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59,881</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901,983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 sales (excluding amortization of acquired developed technologies)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95,487</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351,712</w:t>
            </w: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222,847</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155,730</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8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953,733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835,776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66,207</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(66,116)</w:t>
            </w:r>
          </w:p>
        </w:tc>
      </w:tr>
      <w:tr>
        <w:trPr>
          <w:trHeight w:val="229"/>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 expense and equity in loss of investees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196"/>
        </w:trPr>
        <w:tc>
          <w:tcPr>
            <w:tcW w:w="8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(92,541)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(14,618)</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848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8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 basic and diluted</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60,979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62,537</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(44,068)</w:t>
            </w:r>
          </w:p>
        </w:tc>
      </w:tr>
      <w:tr>
        <w:trPr>
          <w:trHeight w:val="225"/>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cash flow hedging activities, net of income tax (benefit) expense of $(147) and $1,720</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1"/>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r>
      <w:tr>
        <w:trPr>
          <w:trHeight w:val="176"/>
        </w:trPr>
        <w:tc>
          <w:tcPr>
            <w:tcW w:w="8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Gain on cash flow hedging activities reclassified from accumulated other comprehensive loss to interest expense,</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income tax expense of $132 and $451 respectively</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(40,247)</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1780" w:type="dxa"/>
            <w:vAlign w:val="bottom"/>
            <w:gridSpan w:val="5"/>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780" w:type="dxa"/>
            <w:vAlign w:val="bottom"/>
            <w:gridSpan w:val="5"/>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780" w:type="dxa"/>
            <w:vAlign w:val="bottom"/>
            <w:vMerge w:val="restart"/>
          </w:tcPr>
          <w:p>
            <w:pPr>
              <w:jc w:val="right"/>
              <w:ind w:right="268"/>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60,631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3,913,542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(947,667)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1,127,347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4,093,756</w:t>
            </w: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11,447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11,447</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performance-based restricted</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units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(67,163)</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67,335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67,335</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162,057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162,057</w:t>
            </w: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(92,541)</w:t>
            </w:r>
          </w:p>
        </w:tc>
        <w:tc>
          <w:tcPr>
            <w:tcW w:w="0" w:type="dxa"/>
            <w:vAlign w:val="bottom"/>
          </w:tcPr>
          <w:p>
            <w:pPr>
              <w:spacing w:after="0"/>
              <w:rPr>
                <w:sz w:val="1"/>
                <w:szCs w:val="1"/>
                <w:color w:val="auto"/>
              </w:rPr>
            </w:pPr>
          </w:p>
        </w:tc>
      </w:tr>
      <w:tr>
        <w:trPr>
          <w:trHeight w:val="228"/>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3,925,161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(785,610)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1,034,806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4,174,891</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7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760" w:type="dxa"/>
            <w:vAlign w:val="bottom"/>
            <w:vMerge w:val="restart"/>
          </w:tcPr>
          <w:p>
            <w:pPr>
              <w:jc w:val="right"/>
              <w:ind w:right="24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3,699,954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(842,147)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878,656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3,736,997</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performance-based restricted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(49,296)</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63,131</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w:t>
            </w:r>
          </w:p>
        </w:tc>
        <w:tc>
          <w:tcPr>
            <w:tcW w:w="0" w:type="dxa"/>
            <w:vAlign w:val="bottom"/>
          </w:tcPr>
          <w:p>
            <w:pPr>
              <w:spacing w:after="0"/>
              <w:rPr>
                <w:sz w:val="1"/>
                <w:szCs w:val="1"/>
                <w:color w:val="auto"/>
              </w:rPr>
            </w:pPr>
          </w:p>
        </w:tc>
      </w:tr>
      <w:tr>
        <w:trPr>
          <w:trHeight w:val="228"/>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3,714,283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(882,394)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3,696,461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22225</wp:posOffset>
            </wp:positionV>
            <wp:extent cx="18859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(92,541)</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(14,618)</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155,730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67,653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61,441</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accounting inventory fair value step-up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28,943</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Non-cash interest expense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5,988</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7,653</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for losses on accounts receivable and inventory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7,403</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tax benefit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(66,385)</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non-cash transactions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14,674</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(8,443)</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(12,844)</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54,947</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non-current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(4,090)</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(19,597)</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34,677</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taxes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14,858</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(2,980)</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429,784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267,229</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intangible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(6,904)</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maturity of investments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27"/>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(168,931)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(271,904)</w:t>
            </w:r>
          </w:p>
        </w:tc>
      </w:tr>
      <w:tr>
        <w:trPr>
          <w:trHeight w:val="20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(757,750)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employee withholding taxes related to share-based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(49,296)</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employee equity incentive and purchase plans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(813,466)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(56,552)</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(62,925)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2,412,864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1,506,310</w:t>
            </w: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1,861,946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1,443,385</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17" w:lineRule="exact"/>
        <w:rPr>
          <w:sz w:val="20"/>
          <w:szCs w:val="20"/>
          <w:color w:val="auto"/>
        </w:rPr>
      </w:pPr>
    </w:p>
    <w:p>
      <w:pPr>
        <w:ind w:left="740" w:right="80" w:hanging="327"/>
        <w:spacing w:after="0" w:line="26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Xywav® (calcium, magnesium, potassium, and sodium oxybates) oral solution</w:t>
      </w:r>
      <w:r>
        <w:rPr>
          <w:rFonts w:ascii="Times New Roman" w:cs="Times New Roman" w:eastAsia="Times New Roman" w:hAnsi="Times New Roman"/>
          <w:sz w:val="18"/>
          <w:szCs w:val="18"/>
          <w:color w:val="auto"/>
        </w:rPr>
        <w:t>, a product approved by FDA in July 2020, and launched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in November 2020 for the treatment of cataplexy or EDS in patients seven years of age and older with narcolepsy, and also approved by FDA in August 2021 for the treatment of IH in adults and launched in the U.S. in November 2021. Xywav contains 92% less sodium than Xyrem®. Xywav is also approved in Canada for the treatment of cataplexy in patients with narcolepsy.</w:t>
      </w:r>
    </w:p>
    <w:p>
      <w:pPr>
        <w:spacing w:after="0" w:line="68" w:lineRule="exact"/>
        <w:rPr>
          <w:rFonts w:ascii="Times New Roman" w:cs="Times New Roman" w:eastAsia="Times New Roman" w:hAnsi="Times New Roman"/>
          <w:sz w:val="18"/>
          <w:szCs w:val="18"/>
          <w:color w:val="auto"/>
        </w:rPr>
      </w:pPr>
    </w:p>
    <w:p>
      <w:pPr>
        <w:ind w:left="740" w:right="100" w:hanging="327"/>
        <w:spacing w:after="0" w:line="259"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Epidiolex® (cannabidiol) oral solution</w:t>
      </w:r>
      <w:r>
        <w:rPr>
          <w:rFonts w:ascii="Times New Roman" w:cs="Times New Roman" w:eastAsia="Times New Roman" w:hAnsi="Times New Roman"/>
          <w:sz w:val="18"/>
          <w:szCs w:val="18"/>
          <w:color w:val="auto"/>
        </w:rPr>
        <w:t>, a product approved by FDA and launched in the U.S. in 2018 by GW and currently indicated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seizures associated with LGS, DS,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17" w:lineRule="exact"/>
        <w:rPr>
          <w:sz w:val="20"/>
          <w:szCs w:val="20"/>
          <w:color w:val="auto"/>
        </w:rPr>
      </w:pPr>
    </w:p>
    <w:p>
      <w:pPr>
        <w:jc w:val="both"/>
        <w:ind w:left="740" w:right="260" w:hanging="327"/>
        <w:spacing w:after="0" w:line="259"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Rylaze® (asparaginase erwinia chrysanthemi (recombinant)-rywn)</w:t>
      </w:r>
      <w:r>
        <w:rPr>
          <w:rFonts w:ascii="Times New Roman" w:cs="Times New Roman" w:eastAsia="Times New Roman" w:hAnsi="Times New Roman"/>
          <w:sz w:val="18"/>
          <w:szCs w:val="18"/>
          <w:color w:val="auto"/>
        </w:rPr>
        <w:t>, a product approved by FDA in June 2021 and launched in the 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July 2021 for use as a component of a multi-agent chemotherapeutic regimen for the treatment of ALL or LBL in adults and pediatric patients aged one month or older who have developed hypersensitivity to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-derived asparaginase. In September 2023, the European Commission granted marketing authorization under the trade name Enrylaze. This therapy is also approved in markets including Great Britain, Canada and Switzerland.</w:t>
      </w:r>
    </w:p>
    <w:p>
      <w:pPr>
        <w:spacing w:after="0" w:line="71" w:lineRule="exact"/>
        <w:rPr>
          <w:rFonts w:ascii="Times New Roman" w:cs="Times New Roman" w:eastAsia="Times New Roman" w:hAnsi="Times New Roman"/>
          <w:sz w:val="18"/>
          <w:szCs w:val="18"/>
          <w:color w:val="auto"/>
        </w:rPr>
      </w:pPr>
    </w:p>
    <w:p>
      <w:pPr>
        <w:ind w:left="740" w:hanging="327"/>
        <w:spacing w:after="0" w:line="262"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Zepzelca® (lurbinectedin)</w:t>
      </w:r>
      <w:r>
        <w:rPr>
          <w:rFonts w:ascii="Times New Roman" w:cs="Times New Roman" w:eastAsia="Times New Roman" w:hAnsi="Times New Roman"/>
          <w:sz w:val="18"/>
          <w:szCs w:val="18"/>
          <w:color w:val="auto"/>
        </w:rPr>
        <w:t>, a product approved by FDA in June 2020 under FDA's accelerated approval pathway and launched in the 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2020 for the treatment of adult patients with metastatic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68" w:lineRule="exact"/>
        <w:rPr>
          <w:rFonts w:ascii="Times New Roman" w:cs="Times New Roman" w:eastAsia="Times New Roman" w:hAnsi="Times New Roman"/>
          <w:sz w:val="18"/>
          <w:szCs w:val="18"/>
          <w:color w:val="auto"/>
        </w:rPr>
      </w:pPr>
    </w:p>
    <w:p>
      <w:pPr>
        <w:ind w:left="740" w:right="100" w:hanging="327"/>
        <w:spacing w:after="0" w:line="268"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Ziihera® (zanidatamab-hrii)</w:t>
      </w:r>
      <w:r>
        <w:rPr>
          <w:rFonts w:ascii="Times New Roman" w:cs="Times New Roman" w:eastAsia="Times New Roman" w:hAnsi="Times New Roman"/>
          <w:sz w:val="18"/>
          <w:szCs w:val="18"/>
          <w:color w:val="auto"/>
        </w:rPr>
        <w:t>, a product approved by FDA in November 2024 under FDA’s accelerated approval pathway and launched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in December 2024 for the treatment of adults with previously treated, unresectable or metastatic HER2-positive (IHC 3+) BTC, as detected by an FDA-approved test.</w:t>
      </w:r>
    </w:p>
    <w:p>
      <w:pPr>
        <w:spacing w:after="0" w:line="67"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firstLine="445"/>
        <w:spacing w:after="0" w:line="227" w:lineRule="exact"/>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GAAP can be condensed or omitted. The information included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should be read in conjunction with our annual audited consolidated financial statements and accompanying notes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w:t>
      </w:r>
    </w:p>
    <w:p>
      <w:pPr>
        <w:spacing w:after="0" w:line="65"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In the opinion of management, these condensed consolidated financial statements have been prepared on the same basis as the annual audited consolidated financial statements and include all adjustments, consisting only of normal recurring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considered necessary for the fair presentation of our financial position and operating results. The results for the three months ended</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March 31, 2025, are not necessarily indicative of the results to be expected for the year ending December 31, 2025, for any other interim period or for any future period.</w:t>
      </w:r>
    </w:p>
    <w:p>
      <w:pPr>
        <w:spacing w:after="0" w:line="33" w:lineRule="exact"/>
        <w:rPr>
          <w:sz w:val="20"/>
          <w:szCs w:val="20"/>
          <w:color w:val="auto"/>
        </w:rPr>
      </w:pPr>
    </w:p>
    <w:p>
      <w:pPr>
        <w:ind w:right="120" w:firstLine="445"/>
        <w:spacing w:after="0" w:line="245" w:lineRule="exact"/>
        <w:rPr>
          <w:sz w:val="20"/>
          <w:szCs w:val="20"/>
          <w:color w:val="auto"/>
        </w:rPr>
      </w:pPr>
      <w:r>
        <w:rPr>
          <w:rFonts w:ascii="Times New Roman" w:cs="Times New Roman" w:eastAsia="Times New Roman" w:hAnsi="Times New Roman"/>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w:t>
      </w:r>
    </w:p>
    <w:p>
      <w:pPr>
        <w:spacing w:after="0" w:line="9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Jazz Pharmaceuticals plc and our subsidiaries, and intercompany transactions and balances have been eliminated.</w:t>
      </w:r>
    </w:p>
    <w:p>
      <w:pPr>
        <w:spacing w:after="0" w:line="54"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Our operating segment is reported in a manner consistent with the internal reporting provided to the CODM. Our CODM has been identified as our chief executive officer. We have determined that we operate in one business segment, which is the identification, development and commercialization of meaningful pharmaceutical products that address unmet medical needs. The CODM assesses performance and decides how to allocate resources for the segment based on net income (loss) and measure of segment assets which is reported on the Consolidated Statements of Loss and Consolidated Balance Sheet.</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enhanced tax disclosures providing greater disaggregation of information in the Company's effective tax rate reconciliation and disaggregates income taxes paid by jurisdiction. The amendments are effective on a prospective basis, with the option to apply it retrospectively, for fiscal years beginning after December 15, 2024. The adoption of ASU 2023-09 will expand our income tax disclosures in our Annual Report on Form 10-K, but will have no impact on reported income tax (benefit) expense or related tax assets or liabilities.</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expect that our business will continue to meaningfully depend on oxybate revenues; however, there is no guarantee that oxybate revenues will remain at current levels. In this regard, our ability to maintain oxybate revenues and realize the anticipated benefits from our investment in Xywav are subject to a number of risks and uncertainties including, without limitation, those related to the commercialization of Xywav for the treatment of IH in adults and adoption in that indication; competition from the introduction of two AG versions of high-sodium oxybate and a branded fixed-dose, high-sodium oxybate, Avadel’s Lumryz, for treatment of cataplexy and/or EDS in narcolepsy in the U.S. market, as well as potential future competition from additional AG versions of high-sodium oxybate and from generic versions of high-sodium oxybate and from other competitors;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Xywav and/or Xyrem, including from pending antitrust and intellectual property litigation; and continued acceptance of Xywav by physicians and patients. A significant decline in oxybate revenues could cause us to reduce our operating expenses or seek to raise additional funds and would have a material adverse effect on our business, financial condition, results of operations and growth prospects, including on our ability to acquire, in-license or develop new products to grow our business.</w:t>
      </w:r>
    </w:p>
    <w:p>
      <w:pPr>
        <w:spacing w:after="0" w:line="82" w:lineRule="exact"/>
        <w:rPr>
          <w:sz w:val="20"/>
          <w:szCs w:val="20"/>
          <w:color w:val="auto"/>
        </w:rPr>
      </w:pPr>
    </w:p>
    <w:p>
      <w:pPr>
        <w:ind w:right="160" w:firstLine="445"/>
        <w:spacing w:after="0" w:line="254" w:lineRule="auto"/>
        <w:rPr>
          <w:sz w:val="20"/>
          <w:szCs w:val="20"/>
          <w:color w:val="auto"/>
        </w:rPr>
      </w:pPr>
      <w:r>
        <w:rPr>
          <w:rFonts w:ascii="Times New Roman" w:cs="Times New Roman" w:eastAsia="Times New Roman" w:hAnsi="Times New Roman"/>
          <w:sz w:val="18"/>
          <w:szCs w:val="18"/>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w:t>
      </w:r>
    </w:p>
    <w:p>
      <w:pPr>
        <w:spacing w:after="0" w:line="84"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In addition to risks related specifically to Xywav and Epidiolex/Epidyolex, we are subject to other challenges and risks related to successfully commercializing a portfolio of oncology products and other neuroscience products, and other risks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including dordaviprone; effectively commercializing our approved products such as Rylaze, Zepzelca and Ziihera; obtaining and maintaining adequate coverage and reimbursement for our products; contracting and rebates to pharmacy benefit managers and similar organizations that reduce our net revenue; increasing scrutiny of pharmaceutical product pricing and resulting 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our ability to realize the anticipated benefits of acquired or in-licensed products or product candidates, such as Ziihera and dordaviprone, at the expected levels, with the expected costs and within the expected timeframe; pharmaceutical product development and the inherent uncertainty of clinical success; the challenges of protecting and enhancing our intellectual property rights; complying with applicable regulatory requirements; the impact of new or increased tariffs and escalating trade tensions; and possible restrictions on our ability and flexibility to pursue certain future opportunities as a result of our substantial outstanding debt obligations.</w:t>
      </w: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21"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manage our foreign currency transaction risk and interest rate risk within specified guidelines through the use of derivatives. All of our derivative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are utilized for risk management purposes, and we do not use derivatives for speculative trading purposes. As of March 31,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 had foreign exchange forward contracts with notional amounts totaling $240.1 million and $461.2 million, respectively.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December 31, 2024, the outstanding foreign exchange forward contracts had a net asset fair value of $6.8 million and a net liability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$7.9 million, respectively. As of March 31, 2025 and December 31, 2024, we had interest rate swap contracts with notional amounts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As of March 31, 2025 and December 31, 2024, these outstanding interest rate swap contracts had a net liability fair value of $0.1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net asset fair value of $1.0 million, respectively. The counterparties to these contracts are large multinational commercial banks, and we believe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of nonperformance is not significant.</w:t>
      </w:r>
    </w:p>
    <w:p>
      <w:pPr>
        <w:spacing w:after="0" w:line="9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March 31, 2025 and December 31, 2024, allowances on receivables were not material. As of March 31, 2025, five customers accounted for 83% of gross accounts receivable, including ESSDS, which accounted for 44% of gross accounts receivable, ASD, which accounted for 16% of gross accounts receivable and McKesson, which accounted for 11% of gross accounts receivable. As of December 31, 2024, five customers accounted for 80% of gross accounts receivable, including ESSDS, which accounted for 39% of gross accounts receivable, ASD, which accounted for 15% of gross accounts receivable and McKesson, which accounted for 13% of gross accounts receivable.</w:t>
      </w:r>
    </w:p>
    <w:p>
      <w:pPr>
        <w:spacing w:after="0" w:line="86" w:lineRule="exact"/>
        <w:rPr>
          <w:sz w:val="20"/>
          <w:szCs w:val="20"/>
          <w:color w:val="auto"/>
        </w:rPr>
      </w:pPr>
    </w:p>
    <w:p>
      <w:pPr>
        <w:jc w:val="both"/>
        <w:ind w:right="200" w:firstLine="445"/>
        <w:spacing w:after="0" w:line="266" w:lineRule="auto"/>
        <w:rPr>
          <w:sz w:val="20"/>
          <w:szCs w:val="20"/>
          <w:color w:val="auto"/>
        </w:rPr>
      </w:pPr>
      <w:r>
        <w:rPr>
          <w:rFonts w:ascii="Times New Roman" w:cs="Times New Roman" w:eastAsia="Times New Roman" w:hAnsi="Times New Roman"/>
          <w:sz w:val="18"/>
          <w:szCs w:val="18"/>
          <w:color w:val="auto"/>
        </w:rPr>
        <w:t>We depend on single source suppliers for most of our products, product candidates and their APIs. With respect to our oxybate products, the API is manufactured for us by a single source supplier and the finished products are manufactured both by us in our facility in Athlone, Ireland and by our U.S.-based supplier, which is certified to produce Xyrem and Xywav.</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00" w:firstLine="445"/>
        <w:spacing w:after="0" w:line="28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220-04) - Disaggregation of Income Statement Expenses”, which requires additional disclosure in the notes to the financial statements of the nature of certain expenses included in the income statement. The amendments are effective on a prospective basis, with the option to apply it retrospectively, for fiscal years beginning after December 15, 2026. We are currently evaluating the impact of adopting this new accounting guidance.</w:t>
      </w:r>
    </w:p>
    <w:p>
      <w:pPr>
        <w:spacing w:after="0" w:line="5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2024-04, “Induced Conversions of Convertible Debt Instruments”, which clarifies the requirements for determining whether certain settlements of convertible debt instruments should be accounted for as an induced conversion or extinguishment of convertible debt. The amendments are effective on a prospective basis, with the option to apply it retrospectively, for fiscal years beginning after December 15, 2025. We are currently evaluating the impact of adopting this new accounting guidance.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Cash and Available-for-Sale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2,571,946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2,571,946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1,861,946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2,992,864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2,992,864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2,412,864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loss. Our investment balances represent time deposits with original maturities of greater than three months and less than one year. Interest income from available-for-sale securities was $27.6 million and $23.3 million in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by major security type, our available-for-sale securities and derivative contracts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that were measured at fair value on a recurring basis and were categorized using the fair value hierarchy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2"/>
                <w:szCs w:val="12"/>
                <w:color w:val="auto"/>
              </w:rPr>
            </w:pPr>
          </w:p>
        </w:tc>
        <w:tc>
          <w:tcPr>
            <w:tcW w:w="10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00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10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0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4"/>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2,047,211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pacing w:after="0" w:line="75"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different levels of the fair value hierarchy in 2025 or 2024.</w:t>
      </w:r>
    </w:p>
    <w:p>
      <w:pPr>
        <w:spacing w:after="0" w:line="117"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carrying amount of investments measured using the measurement alternative for equity investments without a readily determinable fair value was $4.3 million. The carrying amount, which is recorded within other non-current assets, is based on the latest observable transaction price.</w:t>
      </w:r>
    </w:p>
    <w:p>
      <w:pPr>
        <w:spacing w:after="0" w:line="68"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estimated fair values of the 2026 Notes, the 2030 Notes and the Secured Notes were $1.0 billion, $1.1 billion and $1.4 billion, respectively. The estimated fair value of the Tranche B-2 Dollar Term Loans as of March 31, 2025 and December 31, 2024 was $1.9 billion and $2.7 billion, respectively. The fair values of each of these debt facilities was estimated using quoted market prices obtained from brokers (Level 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Instruments and Hedging Activities</w:t>
      </w:r>
    </w:p>
    <w:p>
      <w:pPr>
        <w:spacing w:after="0" w:line="121" w:lineRule="exact"/>
        <w:rPr>
          <w:sz w:val="20"/>
          <w:szCs w:val="20"/>
          <w:color w:val="auto"/>
        </w:rPr>
      </w:pPr>
    </w:p>
    <w:p>
      <w:pPr>
        <w:ind w:firstLine="445"/>
        <w:spacing w:after="0" w:line="281" w:lineRule="auto"/>
        <w:rPr>
          <w:sz w:val="20"/>
          <w:szCs w:val="20"/>
          <w:color w:val="auto"/>
        </w:rPr>
      </w:pPr>
      <w:r>
        <w:rPr>
          <w:rFonts w:ascii="Times New Roman" w:cs="Times New Roman" w:eastAsia="Times New Roman" w:hAnsi="Times New Roman"/>
          <w:sz w:val="17"/>
          <w:szCs w:val="17"/>
          <w:color w:val="auto"/>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56"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March 31, 2025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December 31, 2024, the notional amount of foreign exchange contracts where hedge accounting is not applied was $240.1 million and $461.2 million, respectively.</w:t>
      </w:r>
    </w:p>
    <w:p>
      <w:pPr>
        <w:spacing w:after="0" w:line="54"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foreign exchange loss in our condensed consolidated statements of loss included the following gains (losses) associated with foreign exchange contracts not designated as hedging instruments (in thousands):</w:t>
      </w:r>
    </w:p>
    <w:p>
      <w:pPr>
        <w:spacing w:after="0" w:line="8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Forward Contracts: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recognized in foreign exchange loss</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r>
    </w:tbl>
    <w:p>
      <w:pPr>
        <w:spacing w:after="0" w:line="184"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To achieve a desired mix of floating and fixed interest rates on our variable rate debt, we entered into interest rate swap agreements in April 2023, which are effective until April 2026. These agreements hedge contractual term loan interest rates. As of March 31, 2025, the interest rate swap agreements had a notional amount of $500.0 million. As a result of these agreements, the interest rate on a portion of our term loan borrowings is fixed at 3.9086%, plus the borrowing spread, until April 30, 2026.</w:t>
      </w:r>
    </w:p>
    <w:p>
      <w:pPr>
        <w:spacing w:after="0" w:line="72"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The impact on accumulated other comprehensive loss and earnings (loss) from derivative instruments that qualified as cash flow hedges was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recognized in accumulated other comprehensive loss, net of tax</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reclassified from accumulated other comprehensive loss to interest expense, net of tax</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r>
    </w:tbl>
    <w:p>
      <w:pPr>
        <w:spacing w:after="0" w:line="166"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cash flow effects of our derivative contracts for the three months ended March 31, 2025 and 2024 are included within net cash provided by operating activities in the condensed consolidated statements of cash flows.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fair value of outstanding derivatives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7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asset instruments</w:t>
            </w:r>
          </w:p>
        </w:tc>
        <w:tc>
          <w:tcPr>
            <w:tcW w:w="3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liability instruments</w:t>
            </w:r>
          </w:p>
        </w:tc>
        <w:tc>
          <w:tcPr>
            <w:tcW w:w="37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740" w:type="dxa"/>
            <w:vAlign w:val="bottom"/>
            <w:vMerge w:val="restart"/>
          </w:tcPr>
          <w:p>
            <w:pPr>
              <w:ind w:left="120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43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 summarizes the potential effect on our condensed consolidated balance sheets of offsetting our interest rate and foreign exchange forward contracts subject to such provisions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9"/>
          </w:tcPr>
          <w:p>
            <w:pPr>
              <w:jc w:val="center"/>
              <w:ind w:right="55"/>
              <w:spacing w:after="0" w:line="158"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2"/>
                <w:szCs w:val="12"/>
                <w:color w:val="auto"/>
              </w:rPr>
            </w:pPr>
          </w:p>
        </w:tc>
        <w:tc>
          <w:tcPr>
            <w:tcW w:w="11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9"/>
          </w:tcPr>
          <w:p>
            <w:pPr>
              <w:jc w:val="center"/>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1"/>
                <w:szCs w:val="11"/>
                <w:color w:val="auto"/>
              </w:rPr>
            </w:pPr>
          </w:p>
        </w:tc>
        <w:tc>
          <w:tcPr>
            <w:tcW w:w="11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23"/>
                <w:szCs w:val="23"/>
                <w:color w:val="auto"/>
              </w:rPr>
            </w:pPr>
          </w:p>
        </w:tc>
        <w:tc>
          <w:tcPr>
            <w:tcW w:w="128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492,776</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60" w:firstLine="445"/>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inventories included $166.7 million and $191.2 million, respectively, related to the purchase accounting inventory fair value step-up on inventory acquired as part of our GW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90"/>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4"/>
        </w:trPr>
        <w:tc>
          <w:tcPr>
            <w:tcW w:w="9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gross carrying amount of goodwill was as follows (in thousands):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956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9"/>
        </w:trPr>
        <w:tc>
          <w:tcPr>
            <w:tcW w:w="9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1,716,323</w:t>
            </w:r>
          </w:p>
        </w:tc>
      </w:tr>
      <w:tr>
        <w:trPr>
          <w:trHeight w:val="230"/>
        </w:trPr>
        <w:tc>
          <w:tcPr>
            <w:tcW w:w="9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43,722</w:t>
            </w:r>
          </w:p>
        </w:tc>
      </w:tr>
      <w:tr>
        <w:trPr>
          <w:trHeight w:val="248"/>
        </w:trPr>
        <w:tc>
          <w:tcPr>
            <w:tcW w:w="9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1,760,045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gross carrying amounts and net book values of our intangible assets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2"/>
        </w:trPr>
        <w:tc>
          <w:tcPr>
            <w:tcW w:w="22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Acquired developed</w:t>
            </w: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7,888,175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4,718,158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7,699,423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4,755,695</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7,902,631</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(3,184,473)</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4,718,158</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7,713,412</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(2,957,717)</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4,755,695</w:t>
            </w:r>
          </w:p>
        </w:tc>
        <w:tc>
          <w:tcPr>
            <w:tcW w:w="0" w:type="dxa"/>
            <w:vAlign w:val="bottom"/>
          </w:tcPr>
          <w:p>
            <w:pPr>
              <w:spacing w:after="0"/>
              <w:rPr>
                <w:sz w:val="1"/>
                <w:szCs w:val="1"/>
                <w:color w:val="auto"/>
              </w:rPr>
            </w:pPr>
          </w:p>
        </w:tc>
      </w:tr>
      <w:tr>
        <w:trPr>
          <w:trHeight w:val="22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increase in the gross carrying amount of intangible assets as of March 31, 2025, compared to December 31, 2024, relates to the positive impact of foreign currency translation adjustments primarily due to the strengthening of sterling against the U.S. dollar.</w:t>
      </w:r>
    </w:p>
    <w:p>
      <w:pPr>
        <w:spacing w:after="0" w:line="5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68"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Based on finite-lived intangible assets recorded as of March 31, 2025, and assuming the underlying assets will not be impaired and that we will not change the expected lives of the assets, future amortization expenses were estimated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92"/>
              <w:spacing w:after="0" w:line="12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60" w:type="dxa"/>
            <w:vAlign w:val="bottom"/>
            <w:tcBorders>
              <w:top w:val="single" w:sz="8" w:color="auto"/>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475,293</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633,724</w:t>
            </w:r>
          </w:p>
        </w:tc>
        <w:tc>
          <w:tcPr>
            <w:tcW w:w="0" w:type="dxa"/>
            <w:vAlign w:val="bottom"/>
          </w:tcPr>
          <w:p>
            <w:pPr>
              <w:spacing w:after="0"/>
              <w:rPr>
                <w:sz w:val="1"/>
                <w:szCs w:val="1"/>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633,724</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632,392</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630,658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1,712,367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4,718,158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Certain Balance Sheet Items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8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 and machinery</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(171,564)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(161,957)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178,869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8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and other sales deductions</w:t>
            </w: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litigation settlement expenses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 accruals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reserve</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Inventory-related accruals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development expenses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accruals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construction-in-progress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collaboration expenses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milestones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 liabilities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carrying amount of our indebtedness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0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996,253</w:t>
            </w:r>
          </w:p>
        </w:tc>
      </w:tr>
      <w:tr>
        <w:trPr>
          <w:trHeight w:val="270"/>
        </w:trPr>
        <w:tc>
          <w:tcPr>
            <w:tcW w:w="4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(19,135)</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980,865</w:t>
            </w:r>
          </w:p>
        </w:tc>
      </w:tr>
      <w:tr>
        <w:trPr>
          <w:trHeight w:val="270"/>
        </w:trPr>
        <w:tc>
          <w:tcPr>
            <w:tcW w:w="780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1,483,841</w:t>
            </w:r>
          </w:p>
        </w:tc>
      </w:tr>
      <w:tr>
        <w:trPr>
          <w:trHeight w:val="270"/>
        </w:trPr>
        <w:tc>
          <w:tcPr>
            <w:tcW w:w="780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Term Loan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1,904,622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2,647,681</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5,367,481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6,108,640</w:t>
            </w:r>
          </w:p>
        </w:tc>
      </w:tr>
      <w:tr>
        <w:trPr>
          <w:trHeight w:val="23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5,336,481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6,077,640</w:t>
            </w:r>
          </w:p>
        </w:tc>
      </w:tr>
      <w:tr>
        <w:trPr>
          <w:trHeight w:val="21"/>
        </w:trPr>
        <w:tc>
          <w:tcPr>
            <w:tcW w:w="4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 January 2025, we made a voluntary repayment on the Tranche B-2 Dollar Term Loan totaling $750.0 million.</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w:t>
      </w:r>
    </w:p>
    <w:p>
      <w:pPr>
        <w:spacing w:after="0" w:line="121"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Exchangeable Senior Notes were issued by Jazz Investments,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8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September 2024, Jazz Investments completed a private placement of $1.0 billion principal amount of the 2030 Notes. The 2030 Notes are accounted for as a single liability measured at its amortized cost. The total liability is reflected net of issuance costs of $19.2 million which will be amortized over the term of the 2030 Notes. The effective interest rate of the 2030 Notes is 3.47%. During the three months ended March 31, 2025, we recognized interest expense of $8.5 million, of which $7.8 million related to the contractual coupon rate and $0.7 million related to the amortization of debt issuance costs.</w:t>
      </w:r>
    </w:p>
    <w:p>
      <w:pPr>
        <w:spacing w:after="0" w:line="75"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total liability of the 2026 Notes is reflected net of issuance costs of $15.3 million which will be amortized over the term of the 2026 Notes. The effective interest rate of the 2026 Notes is 2.26%. During the three months ended March 31, 2025 and 2024, we recognized interest expense of</w:t>
      </w:r>
    </w:p>
    <w:p>
      <w:pPr>
        <w:spacing w:after="0"/>
        <w:rPr>
          <w:sz w:val="20"/>
          <w:szCs w:val="20"/>
          <w:color w:val="auto"/>
        </w:rPr>
      </w:pPr>
      <w:r>
        <w:rPr>
          <w:rFonts w:ascii="Times New Roman" w:cs="Times New Roman" w:eastAsia="Times New Roman" w:hAnsi="Times New Roman"/>
          <w:sz w:val="18"/>
          <w:szCs w:val="18"/>
          <w:color w:val="auto"/>
        </w:rPr>
        <w:t>$5.5 million, of which $5.0 million related to the contractual coupon rate and $0.5 million related to the amortization of debt issuance costs, respectively.</w:t>
      </w:r>
    </w:p>
    <w:p>
      <w:pPr>
        <w:spacing w:after="0" w:line="9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August 15, 2024, the maturity date for the 2024 Notes, we repaid the $575.0 million aggregate principal amount, plus accrued and unpaid interest thereon. The effective interest rate of the 2024 Notes was 1.79%. During the three months ended March 31, 2024 we recognized interest expense of</w:t>
      </w:r>
    </w:p>
    <w:p>
      <w:pPr>
        <w:spacing w:after="0"/>
        <w:rPr>
          <w:sz w:val="20"/>
          <w:szCs w:val="20"/>
          <w:color w:val="auto"/>
        </w:rPr>
      </w:pPr>
      <w:r>
        <w:rPr>
          <w:rFonts w:ascii="Times New Roman" w:cs="Times New Roman" w:eastAsia="Times New Roman" w:hAnsi="Times New Roman"/>
          <w:sz w:val="18"/>
          <w:szCs w:val="18"/>
          <w:color w:val="auto"/>
        </w:rPr>
        <w:t>$2.5 million, of which $2.1 million related to the contractual coupon rate and $0.4 million related to the amortization of debt issuance costs, respectively.</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Scheduled maturities with respect to our long-term debt principal balances outstanding as of March 31, 2025 were as follows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3"/>
                <w:szCs w:val="13"/>
                <w:color w:val="auto"/>
              </w:rPr>
            </w:pP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Debt Maturities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40" w:type="dxa"/>
            <w:vAlign w:val="bottom"/>
            <w:tcBorders>
              <w:top w:val="single" w:sz="8" w:color="auto"/>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29"/>
        </w:trPr>
        <w:tc>
          <w:tcPr>
            <w:tcW w:w="95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5,433,750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March 31, 2025 and December 31, 2024.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involved in legal proceedings, including the following matters: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Xyrem Antitrust Litigation</w:t>
      </w:r>
    </w:p>
    <w:p>
      <w:pPr>
        <w:spacing w:after="0" w:line="119"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From June 2020 to May 2022, a number of lawsuits were filed on behalf of purported direct and indirect Xyrem purchasers, alleging that the patent litigation settlement agreements we entered with generic drug manufacturers who had filed ANDAs violate state and federal antitrust and consumer protection laws, as follows:</w:t>
      </w:r>
    </w:p>
    <w:p>
      <w:pPr>
        <w:spacing w:after="0" w:line="68"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On June 17, 2020, a class action lawsuit was filed in the United States District Court for the Northern District of Illinois by BCBS against the Company Defendants. The BCBS Lawsuit also the BCBS Defendants.</w:t>
      </w:r>
    </w:p>
    <w:p>
      <w:pPr>
        <w:spacing w:after="0" w:line="54"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w:t>
      </w:r>
    </w:p>
    <w:p>
      <w:pPr>
        <w:spacing w:after="0" w:line="68" w:lineRule="exact"/>
        <w:rPr>
          <w:sz w:val="20"/>
          <w:szCs w:val="20"/>
          <w:color w:val="auto"/>
        </w:rPr>
      </w:pPr>
    </w:p>
    <w:p>
      <w:pPr>
        <w:ind w:right="880" w:firstLine="445"/>
        <w:spacing w:after="0" w:line="282" w:lineRule="auto"/>
        <w:rPr>
          <w:sz w:val="20"/>
          <w:szCs w:val="20"/>
          <w:color w:val="auto"/>
        </w:rPr>
      </w:pPr>
      <w:r>
        <w:rPr>
          <w:rFonts w:ascii="Times New Roman" w:cs="Times New Roman" w:eastAsia="Times New Roman" w:hAnsi="Times New Roman"/>
          <w:sz w:val="18"/>
          <w:szCs w:val="18"/>
          <w:color w:val="auto"/>
        </w:rPr>
        <w:t>On June 18, 2020, a class action lawsuit was filed in the United States District Court for the Northern District of California by the City of Providence, Rhode Island, on behalf of itself and all others similarly situated, against the City of Providence Defendants.</w:t>
      </w:r>
    </w:p>
    <w:p>
      <w:pPr>
        <w:spacing w:after="0" w:line="54"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On June 30, 2020, a class action lawsuit was filed in the United States District Court for the Northern District of Illinois by UFCW Local 1500 Welfare Fund on behalf of itself and all others similarly situated, against UFCW Defendants.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The AFL Plan Lawsuit also names Roxane Laboratories Inc., West-Ward Pharmaceuticals Corp., Hikma Labs Inc., Hikma Pharmaceuticals plc, Amneal Pharmaceuticals LLC, Par Pharmaceutical, Inc., Lupin Ltd., Lupin Pharmaceuticals, Inc., and Lupin Inc.</w:t>
      </w:r>
    </w:p>
    <w:p>
      <w:pPr>
        <w:spacing w:after="0" w:line="72" w:lineRule="exact"/>
        <w:rPr>
          <w:sz w:val="20"/>
          <w:szCs w:val="20"/>
          <w:color w:val="auto"/>
        </w:rPr>
      </w:pPr>
    </w:p>
    <w:p>
      <w:pPr>
        <w:ind w:firstLine="445"/>
        <w:spacing w:after="0" w:line="274" w:lineRule="auto"/>
        <w:rPr>
          <w:sz w:val="20"/>
          <w:szCs w:val="20"/>
          <w:color w:val="auto"/>
        </w:rPr>
      </w:pPr>
      <w:r>
        <w:rPr>
          <w:rFonts w:ascii="Times New Roman" w:cs="Times New Roman" w:eastAsia="Times New Roman" w:hAnsi="Times New Roman"/>
          <w:sz w:val="17"/>
          <w:szCs w:val="17"/>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w:t>
      </w:r>
    </w:p>
    <w:p>
      <w:pPr>
        <w:spacing w:after="0" w:line="65"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5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54" w:lineRule="exact"/>
        <w:rPr>
          <w:sz w:val="20"/>
          <w:szCs w:val="20"/>
          <w:color w:val="auto"/>
        </w:rPr>
      </w:pPr>
    </w:p>
    <w:p>
      <w:pPr>
        <w:ind w:right="420" w:firstLine="445"/>
        <w:spacing w:after="0" w:line="258" w:lineRule="auto"/>
        <w:rPr>
          <w:sz w:val="20"/>
          <w:szCs w:val="20"/>
          <w:color w:val="auto"/>
        </w:rPr>
      </w:pPr>
      <w:r>
        <w:rPr>
          <w:rFonts w:ascii="Times New Roman" w:cs="Times New Roman" w:eastAsia="Times New Roman" w:hAnsi="Times New Roman"/>
          <w:sz w:val="18"/>
          <w:szCs w:val="18"/>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75" w:lineRule="exact"/>
        <w:rPr>
          <w:sz w:val="20"/>
          <w:szCs w:val="20"/>
          <w:color w:val="auto"/>
        </w:rPr>
      </w:pP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jc w:val="both"/>
        <w:ind w:right="420" w:firstLine="445"/>
        <w:spacing w:after="0" w:line="266" w:lineRule="auto"/>
        <w:rPr>
          <w:sz w:val="20"/>
          <w:szCs w:val="20"/>
          <w:color w:val="auto"/>
        </w:rPr>
      </w:pPr>
      <w:r>
        <w:rPr>
          <w:rFonts w:ascii="Times New Roman" w:cs="Times New Roman" w:eastAsia="Times New Roman" w:hAnsi="Times New Roman"/>
          <w:sz w:val="18"/>
          <w:szCs w:val="18"/>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ind w:right="20" w:firstLine="445"/>
        <w:spacing w:after="0" w:line="273" w:lineRule="auto"/>
        <w:rPr>
          <w:sz w:val="20"/>
          <w:szCs w:val="20"/>
          <w:color w:val="auto"/>
        </w:rPr>
      </w:pPr>
      <w:r>
        <w:rPr>
          <w:rFonts w:ascii="Times New Roman" w:cs="Times New Roman" w:eastAsia="Times New Roman" w:hAnsi="Times New Roman"/>
          <w:sz w:val="17"/>
          <w:szCs w:val="17"/>
          <w:color w:val="auto"/>
        </w:rPr>
        <w:t>On April 19, 2023, the Court held a hearing on class certification in the consolidated multi-district litigation referenced above. On May 12, 2023, the Court granted the plaintiffs’ motion and preliminarily certified classes of Xyrem purchasers seeking monetary and injunctive relief. The Court excluded Xywav purchasers from the classes. On April 26, 2024, we, Hikma, and the plaintiffs filed motions for summary judgment. The Court held oral argument on these motions on July 19, 2024. On August 26, 2024, the Court issued a decision granting in part and denying in part the parties’ motions for summary judgment. Certain administrative service organization plaintiffs filed a motion for reconsideration of a portion of the Court’s summary judgment ruling. On December 16, 2024, the Court denied the motion for reconsideration. On January 15, 2025, Aetna, Inc., which is not a party to the consolidated multi-district litigation, filed a notice of appeal of the order denying reconsideration. On March 26, 2025, we and Hikma filed a motion to dismiss Aetna’s appeal.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On June 13, 2024, we filed a motion to decertify the class. On June 28, 2024, the plaintiffs filed a motion to amend the definition of the certified class. The Court held oral argument on these motions on August 22, 2024. On October 18, 2024, the Court issued a decision denying our motion to decertify the class and granting the plaintiffs’ motion to amend the class definition. On November 1, 2024, we filed a petition with the United States Court of Appeals for the Ninth Circuit seeking leave to appeal the Court’s decision amending the class definition. On January 29, 2025, the Ninth Circuit denied our petition for permission to appeal.</w:t>
      </w:r>
    </w:p>
    <w:p>
      <w:pPr>
        <w:spacing w:after="0" w:line="75" w:lineRule="exact"/>
        <w:rPr>
          <w:sz w:val="20"/>
          <w:szCs w:val="20"/>
          <w:color w:val="auto"/>
        </w:rPr>
      </w:pPr>
    </w:p>
    <w:p>
      <w:pPr>
        <w:jc w:val="both"/>
        <w:ind w:right="240" w:firstLine="445"/>
        <w:spacing w:after="0" w:line="266" w:lineRule="auto"/>
        <w:rPr>
          <w:sz w:val="20"/>
          <w:szCs w:val="20"/>
          <w:color w:val="auto"/>
        </w:rPr>
      </w:pPr>
      <w:r>
        <w:rPr>
          <w:rFonts w:ascii="Times New Roman" w:cs="Times New Roman" w:eastAsia="Times New Roman" w:hAnsi="Times New Roman"/>
          <w:sz w:val="18"/>
          <w:szCs w:val="18"/>
          <w:color w:val="auto"/>
        </w:rPr>
        <w:t>On April 7, 2025, Jazz Pharmaceuticals Ireland Limited, our wholly-owned subsidiary, entered into a class settlement agreement with the class of indirect Xyrem purchasers to settle all claims of participating class members against the Company with respect to our actions leading up to, and entering into, patent litigation settlement agreements with the ANDA filers.</w:t>
      </w:r>
    </w:p>
    <w:p>
      <w:pPr>
        <w:spacing w:after="0" w:line="68"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Pursuant to the class settlement agreement, which was entered into with counsel representing the class representatives, we agreed to pay a total of $145 million in a lump sum. The class settlement agreement remains subject to court approval. The class settlement agreement, in which we deny all alleged wrongdoing, also includes specified releases by class members of Jazz and its past, present and future affiliates, directors, officers, employees and other related parties, for all conduct concerning any of the matters alleged, or that could have been alleged, in the lawsuit. Plaintiffs who affirmatively opt out of the class will not be bound by the release and will not receive any settlement proceeds. Additionally, the class settlement agreement grants us the right to rescind the settlement agreement in the event an agreed upon percentage based on Xyrem purchases or payments made by potential class members that opt out. This settlement, if finalized on the agreed-upon terms, will resolve the majority of claims at issue in the multidistrict litigation. If the class settlement agreement is not approved by the Court, or we terminate the class settlement agreement, we intend to defend against these claims vigorously. We also remain confident in our defenses to the other claims brought by plaintiffs described above, including that the patent settlement agreements at issue were and are pro-competitive, and intend to continue to vigorously defend against these claims.</w:t>
      </w:r>
    </w:p>
    <w:p>
      <w:pPr>
        <w:spacing w:after="0" w:line="86"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Court scheduled a preliminary approval hearing regarding the class settlement agreement for May 15, 2025. No trial date has been set for the remaining cases against Jazz.</w:t>
      </w:r>
    </w:p>
    <w:p>
      <w:pPr>
        <w:spacing w:after="0" w:line="54"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January 13, 2023, Amneal Pharmaceuticals LLC, Lupin Ltd., Lupin Pharmaceuticals, Inc., and Lupin Inc, notified the Court that they had reached a settlement-in-principle with the class action plaintiffs. On April 19, 2023, the Court held a hearing on a motion for preliminary approval of this proposed settlement. On May 12, 2023, the Court granted the motion for preliminary approval of the proposed settlement. On January 11, 2024, the Court held a hearing on the motion for final approval of the proposed settlement. The Court deferred ruling and scheduled a further hearing for final approval of the proposed settlement on April 17, 2024. During February and March 2024, the parties notified the Court of settlements between certain non-class action plaintiffs and each of Amneal and Lupin, and the Court dismissed those plaintiffs’ claims against the applicable parties. On April 17, 2024, the Court issued an order granting the motion for final approval of the settlement between the class action plaintiffs, Amneal, and Lupin.</w:t>
      </w:r>
    </w:p>
    <w:p>
      <w:pPr>
        <w:spacing w:after="0" w:line="8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December 11, 2023, Blue Cross and Blue Shield of Florida, Inc. and Health Options, Inc. filed a lawsuit in the United States District Court for the Middle District of Florida against the Company Defendants, Hikma Pharmaceuticals plc, Hikma Pharmaceuticals USA Inc., Hikma Labs, Inc., and Eurohealth (USA), Inc., raising similar allegations. On January 23, 2024, the Blue Cross Florida case was transferred to the United States District Court for the Northern District of California and consolidated with the above referenced multidistrict litigation for pretrial purposes.</w:t>
      </w:r>
    </w:p>
    <w:p>
      <w:pPr>
        <w:spacing w:after="0" w:line="7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On May 9, 2022,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On December 27, 2022, the Court granted in part and denied in part our motion to dismiss Aetna’s complaint. As a result of that ruling, the generic defendants have been dismissed from the case, and certain of Aetna’s claims against Jazz have been dismissed. On January 27, 2023, Aetna filed an amended complaint against Jazz. On March 22, 2023, we filed motions to dismiss and to strike portions of the amended complaint. On June 26, 2023, the Court granted our motions, and granted Aetna leave to further amend its complaint. On November 17, 2023, Aetna filed its second amended complaint. On February 2, 2024, we filed our answer to the second amended complaint and Hikma filed a motion to quash service. The Court held a hearing on Hikma’s motion on December 4, 2024 and has set a further hearing for June 4, 2025. The Court has not set a further schedule in this case.</w:t>
      </w:r>
    </w:p>
    <w:p>
      <w:pPr>
        <w:spacing w:after="0" w:line="80"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54" w:lineRule="exact"/>
        <w:rPr>
          <w:sz w:val="20"/>
          <w:szCs w:val="20"/>
          <w:color w:val="auto"/>
        </w:rPr>
      </w:pPr>
    </w:p>
    <w:p>
      <w:pPr>
        <w:ind w:right="380" w:firstLine="445"/>
        <w:spacing w:after="0" w:line="261" w:lineRule="auto"/>
        <w:rPr>
          <w:sz w:val="20"/>
          <w:szCs w:val="20"/>
          <w:color w:val="auto"/>
        </w:rPr>
      </w:pPr>
      <w:r>
        <w:rPr>
          <w:rFonts w:ascii="Times New Roman" w:cs="Times New Roman" w:eastAsia="Times New Roman" w:hAnsi="Times New Roman"/>
          <w:sz w:val="18"/>
          <w:szCs w:val="18"/>
          <w:color w:val="auto"/>
        </w:rPr>
        <w:t>As of March 31, 2025, we recorded an accrual of $172.0 million within accrued liabilities in our Condensed Consolidated Balance Sheets, for charges related to presently expected resolution of some portion of the Xyrem antitrust litigation, including the class settlement. The related expense is included within selling, general and administrative expenses in our Condensed Consolidated Statements of Loss for the three months ended March 31, 2025.</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Avadel Litigation</w:t>
      </w:r>
    </w:p>
    <w:p>
      <w:pPr>
        <w:spacing w:after="0" w:line="11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On May 13, 2021, we filed a patent infringement suit against Avadel, and several of its corporate affiliates in the United States District Court for the District of Delaware. The suit alleges that Avadel’s Lumryz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will not infringe our patents. Avadel filed a motion for partial judgment on the pleadings on its counterclaim that one of our patents should be delisted from the Orange Book. On November 18, 2022, the Court issued an order that we delist the patent from the Orange Book. On November 22, 2022, we filed a notice of appeal to the United States Court of Appeals for the Federal Circuit. The Federal Circuit temporarily stayed the District Court’s delisting order.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 On March 3, 2023, we and Avadel stipulated to the dismissal without prejudice of the claims and counterclaims related to infringement and validity of the delisted patent in both this suit and a later-filed suit described below related to the same patent.</w:t>
      </w:r>
    </w:p>
    <w:p>
      <w:pPr>
        <w:spacing w:after="0" w:line="84"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On August 4, 2021, we filed an additional patent infringement suit against Avadel in the United States District Court for the District of Delaware. The second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5"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On November 10, 2021, we filed an additional patent infringement suit against Avadel in the United States District Court for the District of Delaware. The third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On April 14, 2022, Avadel sued us in the United States District Court for the District of Delaware. Avadel’s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 On July 8, 2022, we filed a motion for judgment on the pleadings, which the Court denied on July 18, 2023. The denial is not a ruling that Jazz misappropriated Avadel‘s trade secrets or breached any contract. The case will go forward in discovery and the Court instructed the parties to submit a proposed scheduling order.</w:t>
      </w:r>
    </w:p>
    <w:p>
      <w:pPr>
        <w:spacing w:after="0" w:line="79"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7"/>
          <w:szCs w:val="17"/>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would not infringe, and that by listing the patent in the Orange Book, we engaged in unlawful monopolization in violation of the Sherman Act. On December 9, 2022, we filed a motion to dismiss Avadel’s counterclaims. On June 29, 2023, we filed a motion seeking leave to supplement our motion to dismiss, as well as a motion to stay discovery pending resolution of the motion to dismiss. As noted above, on March 3, 2023, we and Avadel stipulated to the dismissal without prejudice of the claims and counterclaims related to infringement and validity of the delisted patent.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November 1, 2023, the Court held a claim construction hearing relating to disputed terms in the asserted patents. On December 15, 2023, the Court issued a written opinion and order resolving the parties’ remaining claim construction disputes. On November 20, 2023, we and Avadel each filed motions for summary judgment. On February 14, 2024, the Court issued a written opinion and order denying both parties’ motions for summary judgment.</w:t>
      </w:r>
    </w:p>
    <w:p>
      <w:pPr>
        <w:spacing w:after="0" w:line="68"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Trial regarding our patent infringement claims against Avadel began on February 26, 2024, and concluded on March 4, 2024, with the jury finding both of our asserted patents valid, and awarding us damages for infringement for Avadel’s past sales of Lumryz. On April 12, 2024, we filed a motion for a permanent injunction and ongoing royalties. On August 27, 2024, the Court granted our motion for an injunction in part, and requested additional briefing about ongoing royalties. The issued injunction prevents Avadel from seeking FDA approval or marketing Lumryz for the treatment of idiopathic hypersomnia or other indications not already a part of Lumryz’s product labeling as of March 4, 2024, and enjoins Avadel from infringing in any way Claim 24 of our ’782 patent by making, using or selling Lumryz through and including the February 2036 expiration date of the ’782 patent, subject to certain exclusions including, among other things (i) for the treatment of narcolepsy, (ii) for the treatment of patients who have been prescribed Lumryz as of the effective date of the injunction conditioned on the payment of an amount to be determined and (iii) in clinical trials and studies ongoing as of the effective date of the injunction. The Court also granted our motion for an ongoing royalty for any future sale of Lumryz to patients with narcolepsy at a rate to be determined based upon further briefing by the parties on the appropriate ongoing rate above 3.5%. Avadel appealed this injunction to the United States Court of Appeals for the Federal Circuit. The Federal Circuit held oral argument on this appeal on February 7, 2025, and on May 6, 2025, published its opinion in which it reversed-in-part, vacated-in-part, and remanded to the District Court for reconsideration in light of the Federal Circuit’s opinion.</w:t>
      </w:r>
    </w:p>
    <w:p>
      <w:pPr>
        <w:spacing w:after="0" w:line="82"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Court scheduled a trial regarding Avadel’s counterclaims for unlawful monopolization for November 3, 2025 and a trial regarding Avadel’s trade secret misappropriation claims for December 15, 2025. On March 13, 2024 and March 19, 2024, we filed motions to stay Avadel’s unlawful monopolization counterclaim and trade secret claims, respectively, pending resolution of post-trial motions and potential appeals in the patent infringement suit. On May 24, 2024, the Court denied the motion to stay the unlawful monopolization counterclaim and the previously-filed motion to dismiss the same. On June 7, 2024, we filed a motion for reargument or, in the alternative, to certify the decision for interlocutory appeal. That motion remains pending and no hearing date has been set. The Court stayed Avadel’s trade secret misappropriation claims pending appeal of the injunction in the related patent matter. We filed a further motion to stay the unlawful monopolization counterclaims, which remains pending.</w:t>
      </w:r>
    </w:p>
    <w:p>
      <w:pPr>
        <w:spacing w:after="0" w:line="81"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 The Court held a hearing on the parties’ respective motions for summary judgment on October 7, 2022. On November 3, 2022, the Court granted our and FDA’s motions for summary judgment and denied Avadel’s motion.</w:t>
      </w:r>
    </w:p>
    <w:p>
      <w:pPr>
        <w:spacing w:after="0" w:line="84"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From December 2024 through April 2025, Avadel filed a series of patent infringement suits against us in the United States District Court for the District of Delaware. The suits allege that Jazz’s sales of Xywav infringe on certain newly-issued Avadel patents, and Avadel seeks an award of monetary damages. We have not yet responded to these lawsuits.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Xywav Patent Litigation</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7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w:t>
      </w:r>
    </w:p>
    <w:p>
      <w:pPr>
        <w:spacing w:after="0" w:line="6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November 2022, we received notice from Lupin that it had filed a paragraph IV certification regarding a newly-issued patent listed in the Orange Book for Xywav. On January 19, 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 15, 2023, the Court consolidated the new lawsuit with the two suits we previously filed against Lupin. No trial date has been set in the consolidated case against Lupin.</w:t>
      </w:r>
    </w:p>
    <w:p>
      <w:pPr>
        <w:spacing w:after="0" w:line="7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February 2023, we received notice from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 23, 2023, Teva filed an answer to the complaint and counterclaims asserting that the patents are invalid or not enforceable, and that its product, if approved, will not infringe our patents.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15, 2023, based on a stipulation between all parties, the Court consolidated the Lupin lawsuits and the Teva lawsuit for all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trial date has been set in the consolidated case.</w:t>
      </w:r>
    </w:p>
    <w:p>
      <w:pPr>
        <w:spacing w:after="0" w:line="9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July 2024, we received notices from Lupin and Teva that they had each filed a paragraph IV certification regarding a newly-issued patent listed in the Orange Book for Xywav. On August 27, 2024, we filed an additional lawsuit in the United States District Court for the District of New Jersey against each of Lupin and Teva, alleging that, by filing its ANDA, each party infringed the newly-issued patent related to a method of treatment using Xywav. The suits seek orders that the effective date of FDA approval of each defendant’s application shall be a date no earlier than the expiration of the newly-issued patent.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Epidiolex Patent Litigation</w:t>
      </w:r>
    </w:p>
    <w:p>
      <w:pPr>
        <w:spacing w:after="0" w:line="11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November and December 2022, we received notices from the Epidiolex ANDA Filers, that they have each filed with FDA an ANDA for a generic version of Epidiolex (cannabidiol) oral solution. As of the date of this filing, we are not aware of other ANDA filers. The notices from the Epidiolex ANDA Filers each included a “paragraph IV certification” with respect to certain of our patents listed in FDA’s Orange Book for Epidiolex on the date of the receipt of the notice. The listed patents relate generally to the composition and method of use of Epidiolex, and methods of treatment using Epidiolex. A paragraph IV certification is a certification by a generic applicant that alleges that patents covering the branded product are invalid, unenforceable, and/or will not be infringed by the manufacture, use or sale of the generic product.</w:t>
      </w:r>
    </w:p>
    <w:p>
      <w:pPr>
        <w:spacing w:after="0" w:line="7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On January 3, 2023, we filed a patent infringement suit against the Epidiolex ANDA Filers in the United States District Court for the District of New Jersey. The complaint alleges that by filing their ANDAs, the Epidiolex ANDA Filers have infringed certain of our Orange Book listed patents, and seeks an order that the effective date of FDA approval of the ANDAs shall be a date no earlier than the expiration of the last to expire of the asserted patents. As a result of this lawsuit, we expect that a stay of approval of up to 30 months will be imposed by FDA on the Epidiolex ANDA Filers’ ANDAs.</w:t>
      </w:r>
    </w:p>
    <w:p>
      <w:pPr>
        <w:spacing w:after="0" w:line="72"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From March 2023 through May 2023, we received the Epidiolex ANDA Filers’ answers to the complaint. The answers include defenses and counterclaims asserting that the Epidiolex ANDA Filers’ products, if launched, would not infringe our patents, that our patents are invalid and, in one instance, counterclaims related to allegations of inequitable conduct and improper listing of patents in the Orange Book. On May 25, 2023, we filed a motion to dismiss certain of the counterclaims. On January 11, 2024, the Court issued an order granting in part and denying in part our motion to dismiss. On September 20, 2024, the Court held a claim construction hearing relating to disputed terms in the asserted patents. The Court has not yet issued a decision on the claim construction disputes.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Court in the Epidiolex Patent Litigation scheduled trial for September 2025.</w:t>
      </w:r>
    </w:p>
    <w:p>
      <w:pPr>
        <w:spacing w:after="0" w:line="117"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June and July 2023, we received notice from certain of the Epidiolex ANDA Filers that they had each filed a paragraph IV certification regarding a newly-issued patent listed in the Orange Book for Epidiolex. On July 21, 2023, we filed an additional lawsuit against all of the Epidiolex ANDA Filers in the United States District Court for the District of New Jersey alleging that, by filing its ANDA, each Epidiolex ANDA Filer infringed the newly-issued patent related to a method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treatment using Epidiolex. The suit seeks an order that the effective date of FDA approval of each Epidiolex ANDA Filer’s application shall be a date no earlier than the expiration of the newly-issued patent.</w:t>
      </w:r>
    </w:p>
    <w:p>
      <w:pPr>
        <w:spacing w:after="0" w:line="54"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In September and October 2023, we received notice from certain of the Epidiolex ANDA Filers that they had each filed a paragraph IV certification regarding one or more newly-issued patents listed in the Orange Book for Epidiolex. On December 15, 2023, we filed an additional lawsuit against seven of the original Epidiolex ANDA Filers with whom we have not previously settled. We filed this lawsuit in the United States District Court for the District of New Jersey alleging that, by filing its ANDA, each Epidiolex ANDA Filer infringed the newly-issued patents related to methods of treatment using Epidiolex. The suit seeks an order that the effective date of FDA approval of each Epidiolex ANDA Filer’s application shall be a date no earlier than the expiration of the newly-issued patents.</w:t>
      </w:r>
    </w:p>
    <w:p>
      <w:pPr>
        <w:spacing w:after="0" w:line="7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In March and April 2024, we received notice from certain of the Epidiolex ANDA Filers that they had each filed a paragraph IV certification regarding one or more newly-issued patents listed in the Orange Book for Epidiolex. On July 3, 2024, we filed an additional lawsuit against six of the original Epidiolex ANDA Filers with whom we had not previously settled. We filed this lawsuit in the United States District Court for the District of New Jersey alleging that, by filing its ANDA, each Epidiolex ANDA Filer infringed the newly-issued patents related to methods of treatment using Epidiolex. The suit seeks an order that the effective date of FDA approval of each Epidiolex ANDA Filer’s application shall be a date no earlier than the expiration of the newly-issued patents.</w:t>
      </w:r>
    </w:p>
    <w:p>
      <w:pPr>
        <w:spacing w:after="0" w:line="7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From October 2023 through January 2025, we entered into settlement agreements with each of the Epidiolex ANDA Filers that resolved our patent litigation with them related to Epidiolex. Under the settlement agreements, we granted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Zepzelca Patent Litigation</w:t>
      </w:r>
    </w:p>
    <w:p>
      <w:pPr>
        <w:spacing w:after="0" w:line="11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July and August 2024, we received notices from the Zepzelca ANDA Filers that they have each filed with FDA an ANDA for a generic version of Zepzelca (lurbinectedin). As of the date of this filing, we are not aware of other ANDA filers. The notices from the Zepzelca ANDA Filers each included a paragraph IV certification with respect to a patent listed in the Orange Book for Zepzelca on the date of the receipt of the notice. The listed patent relates to the drug substance, drug product and approved use of Zepzelca. Jazz is the exclusive licensee to this Zepzelca patent pursuant to an agreement with PharmaMar. A paragraph IV certification is a certification by a generic applicant that alleges that the patent covering the branded product is invalid, unenforceable, and/or will not be infringed by the manufacture, use or sale of the generic product.</w:t>
      </w:r>
    </w:p>
    <w:p>
      <w:pPr>
        <w:spacing w:after="0" w:line="7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On September 11, 2024, we and PharmaMar filed a patent infringement suit against the Zepzelca ANDA Filers in the United States District Court for the District of New Jersey. The complaint alleges that by filing their ANDAs, the Zepzelca ANDA Filers have infringed the Orange Book listed patent for Zepzelca, and seeks an order that the effective date of FDA approval of the ANDAs shall be a date no earlier than the expiration of the asserted patent.</w:t>
      </w:r>
    </w:p>
    <w:p>
      <w:pPr>
        <w:spacing w:after="0" w:line="68"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In December 2024, we received the Zepzelca ANDA Filers’ answers to the complaint. The answers include defenses and counterclaims asserting that the Zepzelca ANDA Filers’ products, if launched, would not infringe our patents and that our patents are invalid. No trial date has been set in this matter.</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26, 2025, we and Sandoz stipulated to the dismissal of our lawsuit against Sandoz without prejudice.</w:t>
      </w:r>
    </w:p>
    <w:p>
      <w:pPr>
        <w:spacing w:after="0" w:line="11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September 12, 2024, we and PharmaMar filed a patent infringement suit against RK Pharma, in the United States District Court for the District of Delaware. The complaint alleges that by filing its ANDA, RK Pharma has infringed the Orange Book listed patent for Zepzelca, and seeks an order that the effective date of FDA approval of RK Pharma’s ANDA shall be no earlier than the expiration of the asserted patent. On November 13, 2024, we voluntarily dismissed this action against RK Pharma in the United States District Court for the District of Delaware. RK Pharma remains a defendant in the litigation referenced above in the United States District Court for the District of New Jersey.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Defitelio Patent Litigation</w:t>
      </w:r>
    </w:p>
    <w:p>
      <w:pPr>
        <w:spacing w:after="0" w:line="11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In March 2025, we received a notice from Almaject that it had filed with FDA an ANDA for a generic version of Defitelio (defibrotide sodium). The notice from Almaject included a paragraph IV certification respect to certain of our patents listed in FDA’s Orange Book for Defitelio on the date of the notice. The listed patents relate generally to the Defitelio drug product and its approved use. On April 16, 2025, we filed a patent infringement lawsuit against Almaject in the United States District Court for the District of New Jersey. The complaint alleges that by filing its ANDA, Almaject has infringed certain of our Orange Book listed patents, and seeks an order that the effective date of FDA approval for the Almaject ANDA shall be on a date no earlier than the expiration of the last to expire of the asserted patents. As a result of this lawsuit, we expect that a stay of approval of up to 30 months will be imposed by FDA on Almaject’s ANDA.</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FDA Litigation</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On June 22, 2023, we filed a complaint in the United States District Court for the District of Columbia seeking a declaration that FDA’s approval on May 1, 2023, of the NDA for Avadel's Lumryz was unlawful. In the complaint, we alleged that FDA acted outside its authority under the Orphan Drug Act, when, despite ODE protecting Jazz’s low-sodium oxybate product Xywav, FDA approved the Lumryz NDA and granted Lumryz ODE based on FDA’s finding that Lumryz makes a major contribution to patient care and is therefore clinically superior to Xywav and Xyrem. Jazz further alleged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asked the Court to vacate and set aside FDA’s approval of the Lumryz NDA and sought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spacing w:after="0" w:line="8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On September 15, 2023, we filed a motion for summary judgment. On October 20, 2023, Avadel and FDA filed cross motions for summary judgment. Oral argument on these motions was held on May 10, 2024 and on October 30, 2024, the District Court issued an order denying Jazz’s motion for summary judgment and granting Avadel’s and FDA’s cross-motions for summary judgment. Jazz respectfully disagrees with the Court’s decision and is appealing the matter to the United States Court of Appeals for the District of Columbia Circuit. We filed our opening appeal brief on January 31, 2025. The appeal is fully briefed and the D.C. Circuit held oral argument on the appeal on May 5, 2025, but has not yet issued a decision.</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Qui tam matter</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July 2022, we received a subpoena from the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On July 18, 2024, the United States District Court for the District of Massachusetts unsealed a qui tam whistleblower lawsuit underlying the USAO’s subpoena, captioned 1:21-cv-10891-PBS and originally filed under seal on May 27, 2021. The public docket in this matter indicates that on May 24 and June 7, 2024, respectively, the United States and a number of states named in the whistleblower complaint declined to intervene in this matter. As such, private whistleblower litigation will proceed in the United States District Court for the District of Massachusetts. The Court set a deadline of September 1, 2024, for the plaintiff to file an amended complaint, and December 2, 2024, for us to file a motion to dismiss the amended complaint. The plaintiff filed the amended complaint on September 1, 2024. We filed our motion to dismiss on December 2, 2024. The Court held oral argument on the motion to dismiss on April 2, 2025.</w:t>
      </w:r>
    </w:p>
    <w:p>
      <w:pPr>
        <w:spacing w:after="0" w:line="80"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Chimerix Acquisition Litigation</w:t>
      </w:r>
    </w:p>
    <w:p>
      <w:pPr>
        <w:spacing w:after="0" w:line="11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On March 21, 2025, Chimerix filed a Recommendation Statement with the SEC in relation to the proposed acquisition of Chimerix by Jazz. Also on March 21, 2025, Jazz disseminated a Tender Offer Statement to Chimerix shareholders in relation to the proposed transaction.</w:t>
      </w:r>
    </w:p>
    <w:p>
      <w:pPr>
        <w:spacing w:after="0" w:line="54"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Following filing of the filing and dissemination of the Tender Offer Documents, Jazz Pharmaceuticals plc, its subsidiary Pinetree Acquisition Sub, Inc., Chimerix Inc., the Chimerix Board of Directors, Centerview Partners LLC, were named as a defendants in the Rosenthal Lawsuit in the Supreme Court of the State of New York, County of Chemung. In addition to the Rosenthal Lawsuit, the Chimerix Shareholder Litigation was filed in the Supreme Court of the State of New York, County of New York. Collectively, in the Chimerix Transaction Litigation, the plaintiffs alleged that the Tender Offer Documents omitted material information and contained misrepresentations, in violation of various New York and North Carolina laws. The plaintiffs in the Chimerix Transaction Litigation sought various remedies, including injunctive relief to prevent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Chimerix Acquisition unless certain allegedly material information was disclosed, or in the alternative, rescission or damages.</w:t>
      </w:r>
    </w:p>
    <w:p>
      <w:pPr>
        <w:spacing w:after="0" w:line="11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On April 7, 2025, Chimerix filed an amended Recommendation Statement and Jazz filed an amended Tender Offer Document, each containing supplemental disclosures related to the Chimerix Acquisition. Pursuant to a memorandum of understanding between the parties, the Rosenthal Lawsuit was dismissed on April 7, 2025.</w:t>
      </w:r>
    </w:p>
    <w:p>
      <w:pPr>
        <w:spacing w:after="0" w:line="68"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Jazz does not believe any of its or Chimerix’s supplemental disclosures were material or required by law and further believes that the claims in the Chimerix Transaction Litigation are meritless. Jazz will continue to defend itself in the remaining Chimerix Transaction Litigation.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During the three months ended March 31, 2025 and 2024, no shares were repurchased. As of March 31, 2025, the remaining amount authorized for repurchases under the New Repurchase Program was $350.0 million, exclusive of any brokerage commissions.</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as of March 31, 2025 and December 31, 2024 were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35"/>
        </w:trPr>
        <w:tc>
          <w:tcPr>
            <w:tcW w:w="7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Gain From</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1"/>
                <w:szCs w:val="11"/>
                <w:color w:val="auto"/>
              </w:rPr>
            </w:pPr>
          </w:p>
        </w:tc>
        <w:tc>
          <w:tcPr>
            <w:tcW w:w="1200" w:type="dxa"/>
            <w:vAlign w:val="bottom"/>
          </w:tcPr>
          <w:p>
            <w:pPr>
              <w:jc w:val="center"/>
              <w:ind w:right="79"/>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7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Hedging Activities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(947,667)</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162,896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162,057</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(785,610)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other comprehensive income primarily reflects foreign currency translation adjustments, primarily due to the strengthening of the sterling and the euro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Ordinary Share</w:t>
      </w:r>
    </w:p>
    <w:p>
      <w:pPr>
        <w:spacing w:after="0" w:line="121"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Basic net loss per ordinary share is based on the weighted-average number of ordinary shares outstanding. Diluted net loss per ordinary share is based on the weighted-average number of ordinary shares outstanding and potentially dilutive ordinary shares outstanding.</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loss per ordinary share were computed as follows (in thousands, except per share amounts):</w:t>
      </w:r>
    </w:p>
    <w:p>
      <w:pPr>
        <w:spacing w:after="0" w:line="15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w:t>
            </w:r>
          </w:p>
        </w:tc>
      </w:tr>
      <w:tr>
        <w:trPr>
          <w:trHeight w:val="257"/>
        </w:trPr>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basic and 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62,537</w:t>
            </w:r>
          </w:p>
        </w:tc>
      </w:tr>
      <w:tr>
        <w:trPr>
          <w:trHeight w:val="257"/>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4"/>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bl>
    <w:p>
      <w:pPr>
        <w:spacing w:after="0" w:line="179" w:lineRule="exact"/>
        <w:rPr>
          <w:sz w:val="20"/>
          <w:szCs w:val="20"/>
          <w:color w:val="auto"/>
        </w:rPr>
      </w:pPr>
    </w:p>
    <w:p>
      <w:pPr>
        <w:jc w:val="both"/>
        <w:ind w:right="120" w:firstLine="445"/>
        <w:spacing w:after="0" w:line="312" w:lineRule="auto"/>
        <w:rPr>
          <w:sz w:val="20"/>
          <w:szCs w:val="20"/>
          <w:color w:val="auto"/>
        </w:rPr>
      </w:pPr>
      <w:r>
        <w:rPr>
          <w:rFonts w:ascii="Times New Roman" w:cs="Times New Roman" w:eastAsia="Times New Roman" w:hAnsi="Times New Roman"/>
          <w:sz w:val="17"/>
          <w:szCs w:val="17"/>
          <w:color w:val="auto"/>
        </w:rPr>
        <w:t>Potentially dilutive ordinary shares from our employee equity incentive and purchase plans are determined by applying the treasury stock method to the assumed vesting of outstanding RSUs and PRSUs, the assumed exercise of share options and the assumed issuance of ordinary shares under our ESPP.</w:t>
      </w:r>
    </w:p>
    <w:p>
      <w:pPr>
        <w:spacing w:after="0" w:line="3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July 2024, we irrevocably elected to fix the settlement method for exchanges of the 2026 Notes to a combination of cash and ordinary shares of Jazz Pharmaceuticals plc with a specified cash amount per $1,000 principal amount of 2026 Notes exchanged equal to or in excess of $1,000. As a result of the election, an exchanging holder will receive (i) up to $1,000 in cash per $1,000 principal amount of 2026 Notes exchanged and (ii) cash, ordinary shares, or any combination thereof, at our election, in respect of the remainder, if any, of its exchange obligation in excess of $1,000 per $1,000 principal amount of 2026 Notes exchanged. The potential issue of ordinary shares upon exchange of the 2026 Notes was anti-dilutive and had no impact on diluted net loss per ordinary share for the three months ended March 31, 2024.</w:t>
      </w:r>
    </w:p>
    <w:p>
      <w:pPr>
        <w:spacing w:after="0" w:line="79"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For the 2030 Notes, we are required to settle the principal amount in cash and have the option to settle the conversion feature for the amount above the conversion price, or the conversion spread, in cash, ordinary shares or a combination of cash and ordinary shares. The conversion spread will have a dilutive impact on diluted net income per ordinary share when the average market price of our ordinary shares for a given period exceeds the conversion price, of approximately $153.05 per ordinary share, of the 2030 Notes. The average market price of our ordinary shares for the three months ended March 31, 2025 did not exceed the conversion price of the 2030 Notes.</w:t>
      </w:r>
    </w:p>
    <w:p>
      <w:pPr>
        <w:spacing w:after="0" w:line="75"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weighted-average ordinary shares that were excluded from the calculation of diluted net loss per ordinary share for the periods presented because including them would have an anti-dilutive effect (in thousands):</w:t>
      </w:r>
    </w:p>
    <w:p>
      <w:pPr>
        <w:spacing w:after="0" w:line="80"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equity incentive and purchase plans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34"/>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(in thousands):</w:t>
      </w:r>
    </w:p>
    <w:p>
      <w:pPr>
        <w:spacing w:after="0" w:line="15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580,983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Ziihera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842,102</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revenues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49,947</w:t>
            </w:r>
          </w:p>
        </w:tc>
      </w:tr>
      <w:tr>
        <w:trPr>
          <w:trHeight w:val="234"/>
        </w:trPr>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897,841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901,983</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attributed to geographic sources (in thousands):</w:t>
      </w:r>
    </w:p>
    <w:p>
      <w:pPr>
        <w:spacing w:after="0" w:line="1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808,214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901,983</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the percentage of total revenues from customers that represented more than 10% of our total revenues:</w:t>
      </w:r>
    </w:p>
    <w:p>
      <w:pPr>
        <w:spacing w:after="0" w:line="151"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2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Financing and payment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payment terms vary by the type and location of our customer but payment is generally required in a term ranging from 30 to 65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related to RSUs, PRSUs, grants under our ESPP and share options was as follows (in thousands):</w:t>
      </w:r>
    </w:p>
    <w:p>
      <w:pPr>
        <w:spacing w:after="0" w:line="15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41,674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share-based compensation expense, pre-tax</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67,653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from share-based compensation expense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 net of tax</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58,119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58,042</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40" w:firstLine="445"/>
        <w:spacing w:after="0" w:line="281" w:lineRule="auto"/>
        <w:rPr>
          <w:sz w:val="20"/>
          <w:szCs w:val="20"/>
          <w:color w:val="auto"/>
        </w:rPr>
      </w:pPr>
      <w:r>
        <w:rPr>
          <w:rFonts w:ascii="Times New Roman" w:cs="Times New Roman" w:eastAsia="Times New Roman" w:hAnsi="Times New Roman"/>
          <w:sz w:val="17"/>
          <w:szCs w:val="17"/>
          <w:color w:val="auto"/>
        </w:rPr>
        <w:t>Our income tax benefit was $17.8 million for the three months ended March 31, 2025, compared to an income tax expense of $11.7 million for the same period in 2024, relating to tax arising on income or losses in Ireland, the U.K., the U.S. and certain other foreign jurisdictions, Pillar Two top-up taxes and tax deficiencies from share based compensation, offset by deductions on subsidiary equity, foreign derived intangible income benefits and tax credits. The income tax benefit in the three months ended March 31, 2025, was primarily due to the tax impact of certain Xyrem antitrust litigation settlements.</w:t>
      </w:r>
    </w:p>
    <w:p>
      <w:pPr>
        <w:spacing w:after="0" w:line="56"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spacing w:after="0" w:line="7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2020.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2020 and earlier may still be adjusted upon examination by the taxing authorities. One of our subsidiaries is currently under examination by the Luxembourg taxing authorities for the years ended December 31, 2017, 2018 and 2019. In October 2022 and in January 2023, we received tax assessment notices from the Luxembourg taxing authorities for all years under examination relating to certain transfer pricing and other adjustments. The notices propose additional Luxembourg income tax of approximately $24.2 million, translated at the foreign exchange rate as March 31, 2025. We disagree with the proposed assessments and are contesting them vigorously.</w:t>
      </w:r>
    </w:p>
    <w:p>
      <w:pPr>
        <w:spacing w:after="0" w:line="84"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Government of Ireland, the jurisdiction in which Jazz Pharmaceuticals Plc is incorporated, transposed the Global Minimum Tax Pillar Two rules into domestic legislation as part of the Finance (No. 2) Act 2023 (the "Finance Act"). The Finance Act closely follows the EU Minimum Tax Directive and certain OECD Guidance released to date. The Company is within the scope of these rules, which took effect from January 1, 2024. Under the legislation, we are liable to pay a top-up tax for the difference between the Pillar Two effective tax rate per jurisdiction and the 15% minimum rate. The rules on how to calculate the Pillar Two effective tax rate are detailed and highly complex and specific adjustments envisaged in the Pillar Two legislation can give rise to different effective tax rates compared to those calculated for accounting purposes. We account for Pillar Two top-up taxes as a current tax when they are incurred. The income tax benefit for the three months ended March 31, 2025 includes an amount for forecasted Pillar Two top-up taxes, as required under the applicable rules. The proportion of our profit before tax which is subject to the top-up tax and our exposure to Pillar Two top-up taxes in future years will depend on factors such as future revenues, costs and foreign currency exchange rates. We will continue to monitor changes in law and guidance in relation to Pillar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On March 4, 2025, we entered into the Chimerix Merger Agreement. Pursuant to the Chimerix Merger Agreement, on March 21, 2025, Pinetree commenced a tender offer to purchase all of the outstanding shares of the common stock, par value $0.001 per share, of Chimerix, or the Chimerix Common Stock, at a price of $8.55 per share, payable in cash at closing, without interest and subject to reduction for any applicable withholding taxes, such price, the Offer Price.</w:t>
      </w:r>
    </w:p>
    <w:p>
      <w:pPr>
        <w:spacing w:after="0" w:line="7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Chimerix is a biopharmaceutical company whose lead clinical asset is dordaviprone, a novel first-in-class small molecule treatment in development for H3 K27M-mutant diffuse glioma, a rare, high-grade brain tumor that most commonly affects children and young adults.</w:t>
      </w:r>
    </w:p>
    <w:p>
      <w:pPr>
        <w:spacing w:after="0" w:line="54"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On April 21, 2025, we completed the tender offer and acquired all of the outstanding shares of Chimerix Common Stock at the Offer Price, representing a total consideration of approximately $935 million, funded with our cash and cash equivalents. As a result of this, Chimerix became an indirect wholly owned subsidiary of the Company. We expect to account for the Chimerix Acquisition as an asset acquisition.</w:t>
      </w: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445"/>
        <w:spacing w:after="0" w:line="218" w:lineRule="exact"/>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 Item 1A of our Annual Report on Form 10-K for the year ended December 31, 2024, as supplemented by the risks and uncertainties described in "Risk Factors" Item 1A. Risk Factors in Part II of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(unless another date is indicated), and we undertake no obligation to update or revise these statements in light of future developments.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5"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seek to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strategy to deliver sustainable growth and enhanced value continues to be focused on:</w:t>
      </w:r>
    </w:p>
    <w:p>
      <w:pPr>
        <w:spacing w:after="0" w:line="117" w:lineRule="exact"/>
        <w:rPr>
          <w:sz w:val="20"/>
          <w:szCs w:val="20"/>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advancing our pipeline to achieve a valuable portfolio of durable, highly differentiated products;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 flexible, efficient and productive development engine for targeted therapeutic areas to identify and progress early-, mid- and late-stage assets;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acquiring novel product candidates and approved therapies to complement our existing pipeline and commercial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an efficient, scalable operating model and differentiated capabilities to enable growth;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further value through indication expansion and entry into global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In 2025, consistent with our strategy, we are continuing to focus on research and development activities within our neuroscience and oncology therapeutic areas.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Approval Date</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0" w:type="dxa"/>
            <w:vAlign w:val="bottom"/>
          </w:tcPr>
          <w:p>
            <w:pPr>
              <w:spacing w:after="0"/>
              <w:rPr>
                <w:sz w:val="1"/>
                <w:szCs w:val="1"/>
                <w:color w:val="auto"/>
              </w:rPr>
            </w:pPr>
          </w:p>
        </w:tc>
      </w:tr>
      <w:tr>
        <w:trPr>
          <w:trHeight w:val="21"/>
        </w:trPr>
        <w:tc>
          <w:tcPr>
            <w:tcW w:w="640" w:type="dxa"/>
            <w:vAlign w:val="bottom"/>
            <w:tcBorders>
              <w:top w:val="single" w:sz="8" w:color="auto"/>
              <w:bottom w:val="single" w:sz="8" w:color="B6B6B6"/>
            </w:tcBorders>
          </w:tcPr>
          <w:p>
            <w:pPr>
              <w:spacing w:after="0" w:line="20" w:lineRule="exact"/>
              <w:rPr>
                <w:sz w:val="1"/>
                <w:szCs w:val="1"/>
                <w:color w:val="auto"/>
              </w:rPr>
            </w:pPr>
          </w:p>
        </w:tc>
        <w:tc>
          <w:tcPr>
            <w:tcW w:w="2000" w:type="dxa"/>
            <w:vAlign w:val="bottom"/>
            <w:tcBorders>
              <w:bottom w:val="single" w:sz="8" w:color="B6B6B6"/>
            </w:tcBorders>
          </w:tcPr>
          <w:p>
            <w:pPr>
              <w:spacing w:after="0" w:line="20" w:lineRule="exact"/>
              <w:rPr>
                <w:sz w:val="1"/>
                <w:szCs w:val="1"/>
                <w:color w:val="auto"/>
              </w:rPr>
            </w:pPr>
          </w:p>
        </w:tc>
        <w:tc>
          <w:tcPr>
            <w:tcW w:w="860" w:type="dxa"/>
            <w:vAlign w:val="bottom"/>
            <w:tcBorders>
              <w:top w:val="single" w:sz="8" w:color="auto"/>
              <w:bottom w:val="single" w:sz="8" w:color="B6B6B6"/>
            </w:tcBorders>
          </w:tcPr>
          <w:p>
            <w:pPr>
              <w:spacing w:after="0" w:line="20" w:lineRule="exact"/>
              <w:rPr>
                <w:sz w:val="1"/>
                <w:szCs w:val="1"/>
                <w:color w:val="auto"/>
              </w:rPr>
            </w:pPr>
          </w:p>
        </w:tc>
        <w:tc>
          <w:tcPr>
            <w:tcW w:w="2820" w:type="dxa"/>
            <w:vAlign w:val="bottom"/>
            <w:tcBorders>
              <w:bottom w:val="single" w:sz="8" w:color="B6B6B6"/>
            </w:tcBorders>
          </w:tcPr>
          <w:p>
            <w:pPr>
              <w:spacing w:after="0" w:line="20" w:lineRule="exact"/>
              <w:rPr>
                <w:sz w:val="1"/>
                <w:szCs w:val="1"/>
                <w:color w:val="auto"/>
              </w:rPr>
            </w:pPr>
          </w:p>
        </w:tc>
        <w:tc>
          <w:tcPr>
            <w:tcW w:w="1640" w:type="dxa"/>
            <w:vAlign w:val="bottom"/>
            <w:tcBorders>
              <w:top w:val="single" w:sz="8" w:color="auto"/>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640" w:type="dxa"/>
            <w:vAlign w:val="bottom"/>
            <w:tcBorders>
              <w:top w:val="single" w:sz="8" w:color="auto"/>
              <w:bottom w:val="single" w:sz="8" w:color="B6B6B6"/>
            </w:tcBorders>
          </w:tcPr>
          <w:p>
            <w:pPr>
              <w:spacing w:after="0" w:line="20" w:lineRule="exact"/>
              <w:rPr>
                <w:sz w:val="1"/>
                <w:szCs w:val="1"/>
                <w:color w:val="auto"/>
              </w:rPr>
            </w:pPr>
          </w:p>
        </w:tc>
        <w:tc>
          <w:tcPr>
            <w:tcW w:w="21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860" w:type="dxa"/>
            <w:vAlign w:val="bottom"/>
            <w:tcBorders>
              <w:bottom w:val="single" w:sz="8" w:color="B6B6B6"/>
            </w:tcBorders>
            <w:shd w:val="clear" w:color="auto" w:fill="CCEEFF"/>
          </w:tcPr>
          <w:p>
            <w:pPr>
              <w:spacing w:after="0"/>
              <w:rPr>
                <w:sz w:val="19"/>
                <w:szCs w:val="19"/>
                <w:color w:val="auto"/>
              </w:rPr>
            </w:pPr>
          </w:p>
        </w:tc>
        <w:tc>
          <w:tcPr>
            <w:tcW w:w="2820" w:type="dxa"/>
            <w:vAlign w:val="bottom"/>
            <w:tcBorders>
              <w:bottom w:val="single" w:sz="8" w:color="B6B6B6"/>
              <w:right w:val="single" w:sz="8" w:color="CCEEFF"/>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500" w:type="dxa"/>
            <w:vAlign w:val="bottom"/>
            <w:tcBorders>
              <w:bottom w:val="single" w:sz="8" w:color="B6B6B6"/>
              <w:right w:val="single" w:sz="8" w:color="CCEEFF"/>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cataplexy or EDS in patients seven</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2020</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years of age and older with narcolepsy.</w:t>
            </w:r>
          </w:p>
        </w:tc>
        <w:tc>
          <w:tcPr>
            <w:tcW w:w="1640" w:type="dxa"/>
            <w:vAlign w:val="bottom"/>
          </w:tcPr>
          <w:p>
            <w:pPr>
              <w:spacing w:after="0"/>
              <w:rPr>
                <w:sz w:val="20"/>
                <w:szCs w:val="20"/>
                <w:color w:val="auto"/>
              </w:rPr>
            </w:pPr>
          </w:p>
        </w:tc>
        <w:tc>
          <w:tcPr>
            <w:tcW w:w="50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Xywav® (calcium, magnesium,</w:t>
            </w:r>
          </w:p>
        </w:tc>
        <w:tc>
          <w:tcPr>
            <w:tcW w:w="860" w:type="dxa"/>
            <w:vAlign w:val="bottom"/>
            <w:tcBorders>
              <w:bottom w:val="single" w:sz="8" w:color="B6B6B6"/>
            </w:tcBorders>
          </w:tcPr>
          <w:p>
            <w:pPr>
              <w:spacing w:after="0"/>
              <w:rPr>
                <w:sz w:val="13"/>
                <w:szCs w:val="13"/>
                <w:color w:val="auto"/>
              </w:rPr>
            </w:pPr>
          </w:p>
        </w:tc>
        <w:tc>
          <w:tcPr>
            <w:tcW w:w="2820" w:type="dxa"/>
            <w:vAlign w:val="bottom"/>
            <w:tcBorders>
              <w:bottom w:val="single" w:sz="8" w:color="B6B6B6"/>
              <w:right w:val="single" w:sz="8" w:color="B6B6B6"/>
            </w:tcBorders>
          </w:tcPr>
          <w:p>
            <w:pPr>
              <w:spacing w:after="0"/>
              <w:rPr>
                <w:sz w:val="13"/>
                <w:szCs w:val="13"/>
                <w:color w:val="auto"/>
              </w:rPr>
            </w:pPr>
          </w:p>
        </w:tc>
        <w:tc>
          <w:tcPr>
            <w:tcW w:w="1640" w:type="dxa"/>
            <w:vAlign w:val="bottom"/>
            <w:tcBorders>
              <w:bottom w:val="single" w:sz="8" w:color="B6B6B6"/>
            </w:tcBorders>
          </w:tcPr>
          <w:p>
            <w:pPr>
              <w:spacing w:after="0"/>
              <w:rPr>
                <w:sz w:val="13"/>
                <w:szCs w:val="13"/>
                <w:color w:val="auto"/>
              </w:rPr>
            </w:pPr>
          </w:p>
        </w:tc>
        <w:tc>
          <w:tcPr>
            <w:tcW w:w="500" w:type="dxa"/>
            <w:vAlign w:val="bottom"/>
            <w:tcBorders>
              <w:bottom w:val="single" w:sz="8" w:color="B6B6B6"/>
              <w:right w:val="single" w:sz="8" w:color="B6B6B6"/>
            </w:tcBorders>
          </w:tcPr>
          <w:p>
            <w:pPr>
              <w:spacing w:after="0"/>
              <w:rPr>
                <w:sz w:val="13"/>
                <w:szCs w:val="13"/>
                <w:color w:val="auto"/>
              </w:rPr>
            </w:pPr>
          </w:p>
        </w:tc>
        <w:tc>
          <w:tcPr>
            <w:tcW w:w="640" w:type="dxa"/>
            <w:vAlign w:val="bottom"/>
            <w:tcBorders>
              <w:bottom w:val="single" w:sz="8" w:color="B6B6B6"/>
            </w:tcBorders>
          </w:tcPr>
          <w:p>
            <w:pPr>
              <w:spacing w:after="0"/>
              <w:rPr>
                <w:sz w:val="13"/>
                <w:szCs w:val="13"/>
                <w:color w:val="auto"/>
              </w:rPr>
            </w:pPr>
          </w:p>
        </w:tc>
        <w:tc>
          <w:tcPr>
            <w:tcW w:w="2160" w:type="dxa"/>
            <w:vAlign w:val="bottom"/>
            <w:tcBorders>
              <w:bottom w:val="single" w:sz="8" w:color="B6B6B6"/>
              <w:right w:val="single" w:sz="8" w:color="B6B6B6"/>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640" w:type="dxa"/>
            <w:vAlign w:val="bottom"/>
            <w:tcBorders>
              <w:left w:val="single" w:sz="8" w:color="B6B6B6"/>
              <w:right w:val="single" w:sz="8" w:color="B6B6B6"/>
            </w:tcBorders>
            <w:gridSpan w:val="2"/>
            <w:vMerge w:val="continue"/>
          </w:tcPr>
          <w:p>
            <w:pPr>
              <w:spacing w:after="0"/>
              <w:rPr>
                <w:sz w:val="2"/>
                <w:szCs w:val="2"/>
                <w:color w:val="auto"/>
              </w:rPr>
            </w:pPr>
          </w:p>
        </w:tc>
        <w:tc>
          <w:tcPr>
            <w:tcW w:w="368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Treatment of IH in adults.</w:t>
            </w:r>
          </w:p>
        </w:tc>
        <w:tc>
          <w:tcPr>
            <w:tcW w:w="214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280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line="20" w:lineRule="exact"/>
              <w:rPr>
                <w:sz w:val="1"/>
                <w:szCs w:val="1"/>
                <w:color w:val="auto"/>
              </w:rPr>
            </w:pPr>
          </w:p>
        </w:tc>
      </w:tr>
      <w:tr>
        <w:trPr>
          <w:trHeight w:val="234"/>
        </w:trPr>
        <w:tc>
          <w:tcPr>
            <w:tcW w:w="2640" w:type="dxa"/>
            <w:vAlign w:val="bottom"/>
            <w:tcBorders>
              <w:left w:val="single" w:sz="8" w:color="B6B6B6"/>
              <w:right w:val="single" w:sz="8" w:color="B6B6B6"/>
            </w:tcBorders>
            <w:gridSpan w:val="2"/>
          </w:tcPr>
          <w:p>
            <w:pPr>
              <w:ind w:left="40"/>
              <w:spacing w:after="0"/>
              <w:rPr>
                <w:sz w:val="20"/>
                <w:szCs w:val="20"/>
                <w:color w:val="auto"/>
              </w:rPr>
            </w:pPr>
            <w:r>
              <w:rPr>
                <w:rFonts w:ascii="Times New Roman" w:cs="Times New Roman" w:eastAsia="Times New Roman" w:hAnsi="Times New Roman"/>
                <w:sz w:val="18"/>
                <w:szCs w:val="18"/>
                <w:color w:val="auto"/>
              </w:rPr>
              <w:t>potassium, and sodium oxybates)</w:t>
            </w:r>
          </w:p>
        </w:tc>
        <w:tc>
          <w:tcPr>
            <w:tcW w:w="3680" w:type="dxa"/>
            <w:vAlign w:val="bottom"/>
            <w:tcBorders>
              <w:right w:val="single" w:sz="8" w:color="B6B6B6"/>
            </w:tcBorders>
            <w:gridSpan w:val="2"/>
            <w:vMerge w:val="continue"/>
          </w:tcPr>
          <w:p>
            <w:pPr>
              <w:spacing w:after="0"/>
              <w:rPr>
                <w:sz w:val="20"/>
                <w:szCs w:val="20"/>
                <w:color w:val="auto"/>
              </w:rPr>
            </w:pPr>
          </w:p>
        </w:tc>
        <w:tc>
          <w:tcPr>
            <w:tcW w:w="2140" w:type="dxa"/>
            <w:vAlign w:val="bottom"/>
            <w:tcBorders>
              <w:right w:val="single" w:sz="8" w:color="B6B6B6"/>
            </w:tcBorders>
            <w:gridSpan w:val="2"/>
            <w:vMerge w:val="continue"/>
          </w:tcPr>
          <w:p>
            <w:pPr>
              <w:spacing w:after="0"/>
              <w:rPr>
                <w:sz w:val="20"/>
                <w:szCs w:val="20"/>
                <w:color w:val="auto"/>
              </w:rPr>
            </w:pPr>
          </w:p>
        </w:tc>
        <w:tc>
          <w:tcPr>
            <w:tcW w:w="2800" w:type="dxa"/>
            <w:vAlign w:val="bottom"/>
            <w:tcBorders>
              <w:right w:val="single" w:sz="8" w:color="B6B6B6"/>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40" w:type="dxa"/>
            <w:vAlign w:val="bottom"/>
            <w:tcBorders>
              <w:left w:val="single" w:sz="8" w:color="B6B6B6"/>
            </w:tcBorders>
          </w:tcPr>
          <w:p>
            <w:pPr>
              <w:spacing w:after="0" w:line="20" w:lineRule="exact"/>
              <w:rPr>
                <w:sz w:val="1"/>
                <w:szCs w:val="1"/>
                <w:color w:val="auto"/>
              </w:rPr>
            </w:pPr>
          </w:p>
        </w:tc>
        <w:tc>
          <w:tcPr>
            <w:tcW w:w="2000" w:type="dxa"/>
            <w:vAlign w:val="bottom"/>
            <w:tcBorders>
              <w:right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2820" w:type="dxa"/>
            <w:vAlign w:val="bottom"/>
            <w:tcBorders>
              <w:bottom w:val="single" w:sz="8" w:color="B6B6B6"/>
              <w:right w:val="single" w:sz="8" w:color="B6B6B6"/>
            </w:tcBorders>
          </w:tcPr>
          <w:p>
            <w:pPr>
              <w:spacing w:after="0" w:line="20" w:lineRule="exact"/>
              <w:rPr>
                <w:sz w:val="1"/>
                <w:szCs w:val="1"/>
                <w:color w:val="auto"/>
              </w:rPr>
            </w:pPr>
          </w:p>
        </w:tc>
        <w:tc>
          <w:tcPr>
            <w:tcW w:w="164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right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2160" w:type="dxa"/>
            <w:vAlign w:val="bottom"/>
            <w:tcBorders>
              <w:bottom w:val="single" w:sz="8" w:color="B6B6B6"/>
              <w:right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cataplexy in patients with</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May 2023</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narcolepsy.</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seizures associated with LGS, DS,</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June 2018</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48"/>
        </w:trPr>
        <w:tc>
          <w:tcPr>
            <w:tcW w:w="264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680" w:type="dxa"/>
            <w:vAlign w:val="bottom"/>
            <w:tcBorders>
              <w:right w:val="single" w:sz="8" w:color="B6B6B6"/>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 TSC in patients 1 year of age and older.</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40" w:type="dxa"/>
            <w:vAlign w:val="bottom"/>
            <w:tcBorders>
              <w:left w:val="single" w:sz="8" w:color="B6B6B6"/>
              <w:bottom w:val="single" w:sz="8" w:color="B6B6B6"/>
            </w:tcBorders>
            <w:shd w:val="clear" w:color="auto" w:fill="CCEEFF"/>
          </w:tcPr>
          <w:p>
            <w:pPr>
              <w:spacing w:after="0"/>
              <w:rPr>
                <w:sz w:val="7"/>
                <w:szCs w:val="7"/>
                <w:color w:val="auto"/>
              </w:rPr>
            </w:pPr>
          </w:p>
        </w:tc>
        <w:tc>
          <w:tcPr>
            <w:tcW w:w="2000" w:type="dxa"/>
            <w:vAlign w:val="bottom"/>
            <w:tcBorders>
              <w:bottom w:val="single" w:sz="8" w:color="B6B6B6"/>
              <w:right w:val="single" w:sz="8" w:color="B6B6B6"/>
            </w:tcBorders>
            <w:shd w:val="clear" w:color="auto" w:fill="CCEEFF"/>
          </w:tcPr>
          <w:p>
            <w:pPr>
              <w:spacing w:after="0"/>
              <w:rPr>
                <w:sz w:val="7"/>
                <w:szCs w:val="7"/>
                <w:color w:val="auto"/>
              </w:rPr>
            </w:pPr>
          </w:p>
        </w:tc>
        <w:tc>
          <w:tcPr>
            <w:tcW w:w="3680" w:type="dxa"/>
            <w:vAlign w:val="bottom"/>
            <w:tcBorders>
              <w:bottom w:val="single" w:sz="8" w:color="B6B6B6"/>
              <w:right w:val="single" w:sz="8" w:color="B6B6B6"/>
            </w:tcBorders>
            <w:gridSpan w:val="2"/>
            <w:vMerge w:val="continue"/>
            <w:shd w:val="clear" w:color="auto" w:fill="CCEEFF"/>
          </w:tcPr>
          <w:p>
            <w:pPr>
              <w:spacing w:after="0"/>
              <w:rPr>
                <w:sz w:val="7"/>
                <w:szCs w:val="7"/>
                <w:color w:val="auto"/>
              </w:rPr>
            </w:pPr>
          </w:p>
        </w:tc>
        <w:tc>
          <w:tcPr>
            <w:tcW w:w="1640" w:type="dxa"/>
            <w:vAlign w:val="bottom"/>
            <w:tcBorders>
              <w:bottom w:val="single" w:sz="8" w:color="B6B6B6"/>
            </w:tcBorders>
            <w:shd w:val="clear" w:color="auto" w:fill="CCEEFF"/>
          </w:tcPr>
          <w:p>
            <w:pPr>
              <w:spacing w:after="0"/>
              <w:rPr>
                <w:sz w:val="7"/>
                <w:szCs w:val="7"/>
                <w:color w:val="auto"/>
              </w:rPr>
            </w:pPr>
          </w:p>
        </w:tc>
        <w:tc>
          <w:tcPr>
            <w:tcW w:w="500" w:type="dxa"/>
            <w:vAlign w:val="bottom"/>
            <w:tcBorders>
              <w:bottom w:val="single" w:sz="8" w:color="B6B6B6"/>
              <w:right w:val="single" w:sz="8" w:color="B6B6B6"/>
            </w:tcBorders>
            <w:shd w:val="clear" w:color="auto" w:fill="CCEEFF"/>
          </w:tcPr>
          <w:p>
            <w:pPr>
              <w:spacing w:after="0"/>
              <w:rPr>
                <w:sz w:val="7"/>
                <w:szCs w:val="7"/>
                <w:color w:val="auto"/>
              </w:rPr>
            </w:pPr>
          </w:p>
        </w:tc>
        <w:tc>
          <w:tcPr>
            <w:tcW w:w="640" w:type="dxa"/>
            <w:vAlign w:val="bottom"/>
            <w:tcBorders>
              <w:bottom w:val="single" w:sz="8" w:color="B6B6B6"/>
            </w:tcBorders>
            <w:shd w:val="clear" w:color="auto" w:fill="CCEEFF"/>
          </w:tcPr>
          <w:p>
            <w:pPr>
              <w:spacing w:after="0"/>
              <w:rPr>
                <w:sz w:val="7"/>
                <w:szCs w:val="7"/>
                <w:color w:val="auto"/>
              </w:rPr>
            </w:pPr>
          </w:p>
        </w:tc>
        <w:tc>
          <w:tcPr>
            <w:tcW w:w="2160" w:type="dxa"/>
            <w:vAlign w:val="bottom"/>
            <w:tcBorders>
              <w:bottom w:val="single" w:sz="8" w:color="B6B6B6"/>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2019</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EU, Great Britain, EEA, Israel,</w:t>
            </w: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LGS or DS, in conjunction with clobazam, for</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2800" w:type="dxa"/>
            <w:vAlign w:val="bottom"/>
            <w:tcBorders>
              <w:right w:val="single" w:sz="8" w:color="B6B6B6"/>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Switzerland, Australia, other markets</w:t>
            </w:r>
          </w:p>
        </w:tc>
        <w:tc>
          <w:tcPr>
            <w:tcW w:w="0" w:type="dxa"/>
            <w:vAlign w:val="bottom"/>
          </w:tcPr>
          <w:p>
            <w:pPr>
              <w:spacing w:after="0"/>
              <w:rPr>
                <w:sz w:val="1"/>
                <w:szCs w:val="1"/>
                <w:color w:val="auto"/>
              </w:rPr>
            </w:pPr>
          </w:p>
        </w:tc>
      </w:tr>
      <w:tr>
        <w:trPr>
          <w:trHeight w:val="306"/>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Epidyolex® (cannabidiol)</w:t>
            </w:r>
          </w:p>
        </w:tc>
        <w:tc>
          <w:tcPr>
            <w:tcW w:w="36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spacing w:after="0"/>
              <w:rPr>
                <w:sz w:val="24"/>
                <w:szCs w:val="24"/>
                <w:color w:val="auto"/>
              </w:rPr>
            </w:pPr>
          </w:p>
        </w:tc>
        <w:tc>
          <w:tcPr>
            <w:tcW w:w="500" w:type="dxa"/>
            <w:vAlign w:val="bottom"/>
            <w:tcBorders>
              <w:right w:val="single" w:sz="8" w:color="B6B6B6"/>
            </w:tcBorders>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160" w:type="dxa"/>
            <w:vAlign w:val="bottom"/>
            <w:tcBorders>
              <w:right w:val="single" w:sz="8" w:color="B6B6B6"/>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640" w:type="dxa"/>
            <w:vAlign w:val="bottom"/>
            <w:tcBorders>
              <w:left w:val="single" w:sz="8" w:color="B6B6B6"/>
              <w:bottom w:val="single" w:sz="8" w:color="CCEEFF"/>
              <w:right w:val="single" w:sz="8" w:color="B6B6B6"/>
            </w:tcBorders>
            <w:gridSpan w:val="2"/>
            <w:vMerge w:val="continue"/>
            <w:shd w:val="clear" w:color="auto" w:fill="CCEEFF"/>
          </w:tcPr>
          <w:p>
            <w:pPr>
              <w:spacing w:after="0"/>
              <w:rPr>
                <w:sz w:val="10"/>
                <w:szCs w:val="10"/>
                <w:color w:val="auto"/>
              </w:rPr>
            </w:pPr>
          </w:p>
        </w:tc>
        <w:tc>
          <w:tcPr>
            <w:tcW w:w="860" w:type="dxa"/>
            <w:vAlign w:val="bottom"/>
            <w:tcBorders>
              <w:bottom w:val="single" w:sz="8" w:color="B6B6B6"/>
            </w:tcBorders>
            <w:shd w:val="clear" w:color="auto" w:fill="CCEEFF"/>
          </w:tcPr>
          <w:p>
            <w:pPr>
              <w:spacing w:after="0"/>
              <w:rPr>
                <w:sz w:val="10"/>
                <w:szCs w:val="10"/>
                <w:color w:val="auto"/>
              </w:rPr>
            </w:pPr>
          </w:p>
        </w:tc>
        <w:tc>
          <w:tcPr>
            <w:tcW w:w="2820" w:type="dxa"/>
            <w:vAlign w:val="bottom"/>
            <w:tcBorders>
              <w:bottom w:val="single" w:sz="8" w:color="B6B6B6"/>
              <w:right w:val="single" w:sz="8" w:color="B6B6B6"/>
            </w:tcBorders>
            <w:shd w:val="clear" w:color="auto" w:fill="CCEEFF"/>
          </w:tcPr>
          <w:p>
            <w:pPr>
              <w:spacing w:after="0"/>
              <w:rPr>
                <w:sz w:val="10"/>
                <w:szCs w:val="10"/>
                <w:color w:val="auto"/>
              </w:rPr>
            </w:pPr>
          </w:p>
        </w:tc>
        <w:tc>
          <w:tcPr>
            <w:tcW w:w="1640" w:type="dxa"/>
            <w:vAlign w:val="bottom"/>
            <w:tcBorders>
              <w:bottom w:val="single" w:sz="8" w:color="B6B6B6"/>
            </w:tcBorders>
            <w:shd w:val="clear" w:color="auto" w:fill="CCEEFF"/>
          </w:tcPr>
          <w:p>
            <w:pPr>
              <w:spacing w:after="0"/>
              <w:rPr>
                <w:sz w:val="10"/>
                <w:szCs w:val="10"/>
                <w:color w:val="auto"/>
              </w:rPr>
            </w:pPr>
          </w:p>
        </w:tc>
        <w:tc>
          <w:tcPr>
            <w:tcW w:w="500" w:type="dxa"/>
            <w:vAlign w:val="bottom"/>
            <w:tcBorders>
              <w:bottom w:val="single" w:sz="8" w:color="B6B6B6"/>
              <w:right w:val="single" w:sz="8" w:color="B6B6B6"/>
            </w:tcBorders>
            <w:shd w:val="clear" w:color="auto" w:fill="CCEEFF"/>
          </w:tcPr>
          <w:p>
            <w:pPr>
              <w:spacing w:after="0"/>
              <w:rPr>
                <w:sz w:val="10"/>
                <w:szCs w:val="10"/>
                <w:color w:val="auto"/>
              </w:rPr>
            </w:pPr>
          </w:p>
        </w:tc>
        <w:tc>
          <w:tcPr>
            <w:tcW w:w="640" w:type="dxa"/>
            <w:vAlign w:val="bottom"/>
            <w:tcBorders>
              <w:bottom w:val="single" w:sz="8" w:color="B6B6B6"/>
            </w:tcBorders>
            <w:shd w:val="clear" w:color="auto" w:fill="CCEEFF"/>
          </w:tcPr>
          <w:p>
            <w:pPr>
              <w:spacing w:after="0"/>
              <w:rPr>
                <w:sz w:val="10"/>
                <w:szCs w:val="10"/>
                <w:color w:val="auto"/>
              </w:rPr>
            </w:pPr>
          </w:p>
        </w:tc>
        <w:tc>
          <w:tcPr>
            <w:tcW w:w="2160" w:type="dxa"/>
            <w:vAlign w:val="bottom"/>
            <w:tcBorders>
              <w:bottom w:val="single" w:sz="8" w:color="B6B6B6"/>
              <w:right w:val="single" w:sz="8" w:color="B6B6B6"/>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April 2021</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EU, Great Britain, Israel and</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2000" w:type="dxa"/>
            <w:vAlign w:val="bottom"/>
            <w:tcBorders>
              <w:right w:val="single" w:sz="8" w:color="B6B6B6"/>
            </w:tcBorders>
            <w:shd w:val="clear" w:color="auto" w:fill="CCEEFF"/>
          </w:tcPr>
          <w:p>
            <w:pPr>
              <w:spacing w:after="0"/>
              <w:rPr>
                <w:sz w:val="20"/>
                <w:szCs w:val="20"/>
                <w:color w:val="auto"/>
              </w:rPr>
            </w:pPr>
          </w:p>
        </w:tc>
        <w:tc>
          <w:tcPr>
            <w:tcW w:w="36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TSC for patients 2 years of age and older.</w:t>
            </w:r>
          </w:p>
        </w:tc>
        <w:tc>
          <w:tcPr>
            <w:tcW w:w="1640" w:type="dxa"/>
            <w:vAlign w:val="bottom"/>
            <w:shd w:val="clear" w:color="auto" w:fill="CCEEFF"/>
          </w:tcPr>
          <w:p>
            <w:pPr>
              <w:spacing w:after="0"/>
              <w:rPr>
                <w:sz w:val="20"/>
                <w:szCs w:val="20"/>
                <w:color w:val="auto"/>
              </w:rPr>
            </w:pPr>
          </w:p>
        </w:tc>
        <w:tc>
          <w:tcPr>
            <w:tcW w:w="500" w:type="dxa"/>
            <w:vAlign w:val="bottom"/>
            <w:tcBorders>
              <w:right w:val="single" w:sz="8" w:color="B6B6B6"/>
            </w:tcBorders>
            <w:shd w:val="clear" w:color="auto" w:fill="CCEEFF"/>
          </w:tcPr>
          <w:p>
            <w:pPr>
              <w:spacing w:after="0"/>
              <w:rPr>
                <w:sz w:val="20"/>
                <w:szCs w:val="20"/>
                <w:color w:val="auto"/>
              </w:rPr>
            </w:pPr>
          </w:p>
        </w:tc>
        <w:tc>
          <w:tcPr>
            <w:tcW w:w="280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171"/>
        </w:trPr>
        <w:tc>
          <w:tcPr>
            <w:tcW w:w="640" w:type="dxa"/>
            <w:vAlign w:val="bottom"/>
            <w:tcBorders>
              <w:left w:val="single" w:sz="8" w:color="B6B6B6"/>
              <w:bottom w:val="single" w:sz="8" w:color="B6B6B6"/>
            </w:tcBorders>
            <w:shd w:val="clear" w:color="auto" w:fill="CCEEFF"/>
          </w:tcPr>
          <w:p>
            <w:pPr>
              <w:spacing w:after="0"/>
              <w:rPr>
                <w:sz w:val="14"/>
                <w:szCs w:val="14"/>
                <w:color w:val="auto"/>
              </w:rPr>
            </w:pPr>
          </w:p>
        </w:tc>
        <w:tc>
          <w:tcPr>
            <w:tcW w:w="2000" w:type="dxa"/>
            <w:vAlign w:val="bottom"/>
            <w:tcBorders>
              <w:bottom w:val="single" w:sz="8" w:color="B6B6B6"/>
              <w:right w:val="single" w:sz="8" w:color="B6B6B6"/>
            </w:tcBorders>
            <w:shd w:val="clear" w:color="auto" w:fill="CCEEFF"/>
          </w:tcPr>
          <w:p>
            <w:pPr>
              <w:spacing w:after="0"/>
              <w:rPr>
                <w:sz w:val="14"/>
                <w:szCs w:val="14"/>
                <w:color w:val="auto"/>
              </w:rPr>
            </w:pPr>
          </w:p>
        </w:tc>
        <w:tc>
          <w:tcPr>
            <w:tcW w:w="860" w:type="dxa"/>
            <w:vAlign w:val="bottom"/>
            <w:tcBorders>
              <w:bottom w:val="single" w:sz="8" w:color="B6B6B6"/>
            </w:tcBorders>
            <w:shd w:val="clear" w:color="auto" w:fill="CCEEFF"/>
          </w:tcPr>
          <w:p>
            <w:pPr>
              <w:spacing w:after="0"/>
              <w:rPr>
                <w:sz w:val="14"/>
                <w:szCs w:val="14"/>
                <w:color w:val="auto"/>
              </w:rPr>
            </w:pPr>
          </w:p>
        </w:tc>
        <w:tc>
          <w:tcPr>
            <w:tcW w:w="2820" w:type="dxa"/>
            <w:vAlign w:val="bottom"/>
            <w:tcBorders>
              <w:bottom w:val="single" w:sz="8" w:color="B6B6B6"/>
              <w:right w:val="single" w:sz="8" w:color="B6B6B6"/>
            </w:tcBorders>
            <w:shd w:val="clear" w:color="auto" w:fill="CCEEFF"/>
          </w:tcPr>
          <w:p>
            <w:pPr>
              <w:spacing w:after="0"/>
              <w:rPr>
                <w:sz w:val="14"/>
                <w:szCs w:val="14"/>
                <w:color w:val="auto"/>
              </w:rPr>
            </w:pPr>
          </w:p>
        </w:tc>
        <w:tc>
          <w:tcPr>
            <w:tcW w:w="1640" w:type="dxa"/>
            <w:vAlign w:val="bottom"/>
            <w:tcBorders>
              <w:bottom w:val="single" w:sz="8" w:color="B6B6B6"/>
            </w:tcBorders>
            <w:shd w:val="clear" w:color="auto" w:fill="CCEEFF"/>
          </w:tcPr>
          <w:p>
            <w:pPr>
              <w:spacing w:after="0"/>
              <w:rPr>
                <w:sz w:val="14"/>
                <w:szCs w:val="14"/>
                <w:color w:val="auto"/>
              </w:rPr>
            </w:pPr>
          </w:p>
        </w:tc>
        <w:tc>
          <w:tcPr>
            <w:tcW w:w="500" w:type="dxa"/>
            <w:vAlign w:val="bottom"/>
            <w:tcBorders>
              <w:bottom w:val="single" w:sz="8" w:color="B6B6B6"/>
              <w:right w:val="single" w:sz="8" w:color="B6B6B6"/>
            </w:tcBorders>
            <w:shd w:val="clear" w:color="auto" w:fill="CCEEFF"/>
          </w:tcPr>
          <w:p>
            <w:pPr>
              <w:spacing w:after="0"/>
              <w:rPr>
                <w:sz w:val="14"/>
                <w:szCs w:val="14"/>
                <w:color w:val="auto"/>
              </w:rPr>
            </w:pPr>
          </w:p>
        </w:tc>
        <w:tc>
          <w:tcPr>
            <w:tcW w:w="640" w:type="dxa"/>
            <w:vAlign w:val="bottom"/>
            <w:tcBorders>
              <w:bottom w:val="single" w:sz="8" w:color="B6B6B6"/>
            </w:tcBorders>
            <w:shd w:val="clear" w:color="auto" w:fill="CCEEFF"/>
          </w:tcPr>
          <w:p>
            <w:pPr>
              <w:spacing w:after="0"/>
              <w:rPr>
                <w:sz w:val="14"/>
                <w:szCs w:val="14"/>
                <w:color w:val="auto"/>
              </w:rPr>
            </w:pPr>
          </w:p>
        </w:tc>
        <w:tc>
          <w:tcPr>
            <w:tcW w:w="2160" w:type="dxa"/>
            <w:vAlign w:val="bottom"/>
            <w:tcBorders>
              <w:bottom w:val="single" w:sz="8" w:color="B6B6B6"/>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2023</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continue"/>
            <w:shd w:val="clear" w:color="auto" w:fill="CCEEFF"/>
          </w:tcPr>
          <w:p>
            <w:pPr>
              <w:spacing w:after="0"/>
              <w:rPr>
                <w:sz w:val="16"/>
                <w:szCs w:val="16"/>
                <w:color w:val="auto"/>
              </w:rPr>
            </w:pP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LGS, DS or TSC for patients 2 years of age and</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older.</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B6B6B6"/>
              <w:bottom w:val="single" w:sz="8" w:color="B6B6B6"/>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860" w:type="dxa"/>
            <w:vAlign w:val="bottom"/>
            <w:tcBorders>
              <w:bottom w:val="single" w:sz="8" w:color="B6B6B6"/>
            </w:tcBorders>
          </w:tcPr>
          <w:p>
            <w:pPr>
              <w:spacing w:after="0"/>
              <w:rPr>
                <w:sz w:val="19"/>
                <w:szCs w:val="19"/>
                <w:color w:val="auto"/>
              </w:rPr>
            </w:pPr>
          </w:p>
        </w:tc>
        <w:tc>
          <w:tcPr>
            <w:tcW w:w="2820" w:type="dxa"/>
            <w:vAlign w:val="bottom"/>
            <w:tcBorders>
              <w:bottom w:val="single" w:sz="8" w:color="B6B6B6"/>
            </w:tcBorders>
          </w:tcPr>
          <w:p>
            <w:pPr>
              <w:spacing w:after="0"/>
              <w:rPr>
                <w:sz w:val="19"/>
                <w:szCs w:val="19"/>
                <w:color w:val="auto"/>
              </w:rPr>
            </w:pPr>
          </w:p>
        </w:tc>
        <w:tc>
          <w:tcPr>
            <w:tcW w:w="1640" w:type="dxa"/>
            <w:vAlign w:val="bottom"/>
            <w:tcBorders>
              <w:bottom w:val="single" w:sz="8" w:color="B6B6B6"/>
            </w:tcBorders>
          </w:tcPr>
          <w:p>
            <w:pPr>
              <w:spacing w:after="0"/>
              <w:rPr>
                <w:sz w:val="19"/>
                <w:szCs w:val="19"/>
                <w:color w:val="auto"/>
              </w:rPr>
            </w:pPr>
          </w:p>
        </w:tc>
        <w:tc>
          <w:tcPr>
            <w:tcW w:w="500" w:type="dxa"/>
            <w:vAlign w:val="bottom"/>
            <w:tcBorders>
              <w:bottom w:val="single" w:sz="8" w:color="B6B6B6"/>
            </w:tcBorders>
          </w:tcPr>
          <w:p>
            <w:pPr>
              <w:spacing w:after="0"/>
              <w:rPr>
                <w:sz w:val="19"/>
                <w:szCs w:val="19"/>
                <w:color w:val="auto"/>
              </w:rPr>
            </w:pPr>
          </w:p>
        </w:tc>
        <w:tc>
          <w:tcPr>
            <w:tcW w:w="640" w:type="dxa"/>
            <w:vAlign w:val="bottom"/>
            <w:tcBorders>
              <w:bottom w:val="single" w:sz="8" w:color="B6B6B6"/>
            </w:tcBorders>
          </w:tcPr>
          <w:p>
            <w:pPr>
              <w:spacing w:after="0"/>
              <w:rPr>
                <w:sz w:val="19"/>
                <w:szCs w:val="19"/>
                <w:color w:val="auto"/>
              </w:rPr>
            </w:pPr>
          </w:p>
        </w:tc>
        <w:tc>
          <w:tcPr>
            <w:tcW w:w="2160" w:type="dxa"/>
            <w:vAlign w:val="bottom"/>
            <w:tcBorders>
              <w:bottom w:val="single" w:sz="8" w:color="B6B6B6"/>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Rylaze® (asparaginase erwinia</w:t>
            </w: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2021</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gridSpan w:val="2"/>
            <w:vMerge w:val="continue"/>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40" w:type="dxa"/>
            <w:vAlign w:val="bottom"/>
            <w:tcBorders>
              <w:left w:val="single" w:sz="8" w:color="B6B6B6"/>
              <w:right w:val="single" w:sz="8" w:color="B6B6B6"/>
            </w:tcBorders>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chrysanthemi (recombinant)-</w:t>
            </w:r>
          </w:p>
        </w:tc>
        <w:tc>
          <w:tcPr>
            <w:tcW w:w="368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adult and pediatric patients 1 month or older who</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rywn)</w:t>
            </w:r>
          </w:p>
        </w:tc>
        <w:tc>
          <w:tcPr>
            <w:tcW w:w="368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have developed hypersensitivity to E. coli-derived</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asparaginase.</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2022</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Rylaze® (crisantaspase</w:t>
            </w: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gridSpan w:val="2"/>
            <w:vMerge w:val="continue"/>
            <w:shd w:val="clear" w:color="auto" w:fill="CCEEFF"/>
          </w:tcPr>
          <w:p>
            <w:pPr>
              <w:spacing w:after="0"/>
              <w:rPr>
                <w:sz w:val="7"/>
                <w:szCs w:val="7"/>
                <w:color w:val="auto"/>
              </w:rPr>
            </w:pPr>
          </w:p>
        </w:tc>
        <w:tc>
          <w:tcPr>
            <w:tcW w:w="3680" w:type="dxa"/>
            <w:vAlign w:val="bottom"/>
            <w:tcBorders>
              <w:right w:val="single" w:sz="8" w:color="B6B6B6"/>
            </w:tcBorders>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adults and pediatric patients 1 year or older who</w:t>
            </w:r>
          </w:p>
        </w:tc>
        <w:tc>
          <w:tcPr>
            <w:tcW w:w="1640" w:type="dxa"/>
            <w:vAlign w:val="bottom"/>
            <w:shd w:val="clear" w:color="auto" w:fill="CCEEFF"/>
          </w:tcPr>
          <w:p>
            <w:pPr>
              <w:spacing w:after="0"/>
              <w:rPr>
                <w:sz w:val="7"/>
                <w:szCs w:val="7"/>
                <w:color w:val="auto"/>
              </w:rPr>
            </w:pPr>
          </w:p>
        </w:tc>
        <w:tc>
          <w:tcPr>
            <w:tcW w:w="50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6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recombinant)</w:t>
            </w:r>
          </w:p>
        </w:tc>
        <w:tc>
          <w:tcPr>
            <w:tcW w:w="3680" w:type="dxa"/>
            <w:vAlign w:val="bottom"/>
            <w:tcBorders>
              <w:right w:val="single" w:sz="8" w:color="B6B6B6"/>
            </w:tcBorders>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500" w:type="dxa"/>
            <w:vAlign w:val="bottom"/>
            <w:tcBorders>
              <w:right w:val="single" w:sz="8" w:color="B6B6B6"/>
            </w:tcBorders>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160" w:type="dxa"/>
            <w:vAlign w:val="bottom"/>
            <w:tcBorders>
              <w:right w:val="single" w:sz="8" w:color="B6B6B6"/>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680" w:type="dxa"/>
            <w:vAlign w:val="bottom"/>
            <w:tcBorders>
              <w:right w:val="single" w:sz="8" w:color="B6B6B6"/>
            </w:tcBorders>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have developed hypersensitivity to</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B6B6B6"/>
            </w:tcBorders>
            <w:shd w:val="clear" w:color="auto" w:fill="CCEEFF"/>
          </w:tcPr>
          <w:p>
            <w:pPr>
              <w:spacing w:after="0"/>
              <w:rPr>
                <w:sz w:val="3"/>
                <w:szCs w:val="3"/>
                <w:color w:val="auto"/>
              </w:rPr>
            </w:pPr>
          </w:p>
        </w:tc>
        <w:tc>
          <w:tcPr>
            <w:tcW w:w="2000" w:type="dxa"/>
            <w:vAlign w:val="bottom"/>
            <w:tcBorders>
              <w:right w:val="single" w:sz="8" w:color="B6B6B6"/>
            </w:tcBorders>
            <w:shd w:val="clear" w:color="auto" w:fill="CCEEFF"/>
          </w:tcPr>
          <w:p>
            <w:pPr>
              <w:spacing w:after="0"/>
              <w:rPr>
                <w:sz w:val="3"/>
                <w:szCs w:val="3"/>
                <w:color w:val="auto"/>
              </w:rPr>
            </w:pPr>
          </w:p>
        </w:tc>
        <w:tc>
          <w:tcPr>
            <w:tcW w:w="3680" w:type="dxa"/>
            <w:vAlign w:val="bottom"/>
            <w:tcBorders>
              <w:right w:val="single" w:sz="8" w:color="B6B6B6"/>
            </w:tcBorders>
            <w:gridSpan w:val="2"/>
            <w:vMerge w:val="continue"/>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500" w:type="dxa"/>
            <w:vAlign w:val="bottom"/>
            <w:tcBorders>
              <w:right w:val="single" w:sz="8" w:color="B6B6B6"/>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60" w:type="dxa"/>
            <w:vAlign w:val="bottom"/>
            <w:tcBorders>
              <w:right w:val="single" w:sz="8" w:color="B6B6B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640" w:type="dxa"/>
            <w:vAlign w:val="bottom"/>
            <w:tcBorders>
              <w:left w:val="single" w:sz="8" w:color="B6B6B6"/>
              <w:bottom w:val="single" w:sz="8" w:color="929292"/>
            </w:tcBorders>
            <w:shd w:val="clear" w:color="auto" w:fill="CCEEFF"/>
          </w:tcPr>
          <w:p>
            <w:pPr>
              <w:spacing w:after="0"/>
              <w:rPr>
                <w:sz w:val="20"/>
                <w:szCs w:val="20"/>
                <w:color w:val="auto"/>
              </w:rPr>
            </w:pPr>
          </w:p>
        </w:tc>
        <w:tc>
          <w:tcPr>
            <w:tcW w:w="2000" w:type="dxa"/>
            <w:vAlign w:val="bottom"/>
            <w:tcBorders>
              <w:bottom w:val="single" w:sz="8" w:color="929292"/>
              <w:right w:val="single" w:sz="8" w:color="B6B6B6"/>
            </w:tcBorders>
            <w:shd w:val="clear" w:color="auto" w:fill="CCEEFF"/>
          </w:tcPr>
          <w:p>
            <w:pPr>
              <w:spacing w:after="0"/>
              <w:rPr>
                <w:sz w:val="20"/>
                <w:szCs w:val="20"/>
                <w:color w:val="auto"/>
              </w:rPr>
            </w:pPr>
          </w:p>
        </w:tc>
        <w:tc>
          <w:tcPr>
            <w:tcW w:w="3680" w:type="dxa"/>
            <w:vAlign w:val="bottom"/>
            <w:tcBorders>
              <w:bottom w:val="single" w:sz="8" w:color="929292"/>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coli-derived asparaginase.</w:t>
            </w:r>
          </w:p>
        </w:tc>
        <w:tc>
          <w:tcPr>
            <w:tcW w:w="1640" w:type="dxa"/>
            <w:vAlign w:val="bottom"/>
            <w:tcBorders>
              <w:bottom w:val="single" w:sz="8" w:color="929292"/>
            </w:tcBorders>
            <w:shd w:val="clear" w:color="auto" w:fill="CCEEFF"/>
          </w:tcPr>
          <w:p>
            <w:pPr>
              <w:spacing w:after="0"/>
              <w:rPr>
                <w:sz w:val="20"/>
                <w:szCs w:val="20"/>
                <w:color w:val="auto"/>
              </w:rPr>
            </w:pPr>
          </w:p>
        </w:tc>
        <w:tc>
          <w:tcPr>
            <w:tcW w:w="500" w:type="dxa"/>
            <w:vAlign w:val="bottom"/>
            <w:tcBorders>
              <w:bottom w:val="single" w:sz="8" w:color="929292"/>
              <w:right w:val="single" w:sz="8" w:color="B6B6B6"/>
            </w:tcBorders>
            <w:shd w:val="clear" w:color="auto" w:fill="CCEEFF"/>
          </w:tcPr>
          <w:p>
            <w:pPr>
              <w:spacing w:after="0"/>
              <w:rPr>
                <w:sz w:val="20"/>
                <w:szCs w:val="20"/>
                <w:color w:val="auto"/>
              </w:rPr>
            </w:pPr>
          </w:p>
        </w:tc>
        <w:tc>
          <w:tcPr>
            <w:tcW w:w="640" w:type="dxa"/>
            <w:vAlign w:val="bottom"/>
            <w:tcBorders>
              <w:bottom w:val="single" w:sz="8" w:color="929292"/>
            </w:tcBorders>
            <w:shd w:val="clear" w:color="auto" w:fill="CCEEFF"/>
          </w:tcPr>
          <w:p>
            <w:pPr>
              <w:spacing w:after="0"/>
              <w:rPr>
                <w:sz w:val="20"/>
                <w:szCs w:val="20"/>
                <w:color w:val="auto"/>
              </w:rPr>
            </w:pPr>
          </w:p>
        </w:tc>
        <w:tc>
          <w:tcPr>
            <w:tcW w:w="2160" w:type="dxa"/>
            <w:vAlign w:val="bottom"/>
            <w:tcBorders>
              <w:bottom w:val="single" w:sz="8" w:color="929292"/>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2023</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EU, Great Britain, Switzerland, other</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Enrylaze® (recombinant</w:t>
            </w: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2800" w:type="dxa"/>
            <w:vAlign w:val="bottom"/>
            <w:tcBorders>
              <w:right w:val="single" w:sz="8" w:color="B6B6B6"/>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markets</w:t>
            </w: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gridSpan w:val="2"/>
            <w:vMerge w:val="continue"/>
            <w:shd w:val="clear" w:color="auto" w:fill="CCEEFF"/>
          </w:tcPr>
          <w:p>
            <w:pPr>
              <w:spacing w:after="0"/>
              <w:rPr>
                <w:sz w:val="7"/>
                <w:szCs w:val="7"/>
                <w:color w:val="auto"/>
              </w:rPr>
            </w:pPr>
          </w:p>
        </w:tc>
        <w:tc>
          <w:tcPr>
            <w:tcW w:w="3680" w:type="dxa"/>
            <w:vAlign w:val="bottom"/>
            <w:tcBorders>
              <w:right w:val="single" w:sz="8" w:color="B6B6B6"/>
            </w:tcBorders>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adult and pediatric patients (1 month and older)</w:t>
            </w:r>
          </w:p>
        </w:tc>
        <w:tc>
          <w:tcPr>
            <w:tcW w:w="1640" w:type="dxa"/>
            <w:vAlign w:val="bottom"/>
            <w:shd w:val="clear" w:color="auto" w:fill="CCEEFF"/>
          </w:tcPr>
          <w:p>
            <w:pPr>
              <w:spacing w:after="0"/>
              <w:rPr>
                <w:sz w:val="7"/>
                <w:szCs w:val="7"/>
                <w:color w:val="auto"/>
              </w:rPr>
            </w:pPr>
          </w:p>
        </w:tc>
        <w:tc>
          <w:tcPr>
            <w:tcW w:w="50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6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crisantaspase)</w:t>
            </w:r>
          </w:p>
        </w:tc>
        <w:tc>
          <w:tcPr>
            <w:tcW w:w="3680" w:type="dxa"/>
            <w:vAlign w:val="bottom"/>
            <w:tcBorders>
              <w:right w:val="single" w:sz="8" w:color="B6B6B6"/>
            </w:tcBorders>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500" w:type="dxa"/>
            <w:vAlign w:val="bottom"/>
            <w:tcBorders>
              <w:right w:val="single" w:sz="8" w:color="B6B6B6"/>
            </w:tcBorders>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160" w:type="dxa"/>
            <w:vAlign w:val="bottom"/>
            <w:tcBorders>
              <w:right w:val="single" w:sz="8" w:color="B6B6B6"/>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680" w:type="dxa"/>
            <w:vAlign w:val="bottom"/>
            <w:tcBorders>
              <w:right w:val="single" w:sz="8" w:color="B6B6B6"/>
            </w:tcBorders>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who have developed hypersensitivity or silent</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B6B6B6"/>
            </w:tcBorders>
            <w:shd w:val="clear" w:color="auto" w:fill="CCEEFF"/>
          </w:tcPr>
          <w:p>
            <w:pPr>
              <w:spacing w:after="0"/>
              <w:rPr>
                <w:sz w:val="3"/>
                <w:szCs w:val="3"/>
                <w:color w:val="auto"/>
              </w:rPr>
            </w:pPr>
          </w:p>
        </w:tc>
        <w:tc>
          <w:tcPr>
            <w:tcW w:w="2000" w:type="dxa"/>
            <w:vAlign w:val="bottom"/>
            <w:tcBorders>
              <w:right w:val="single" w:sz="8" w:color="B6B6B6"/>
            </w:tcBorders>
            <w:shd w:val="clear" w:color="auto" w:fill="CCEEFF"/>
          </w:tcPr>
          <w:p>
            <w:pPr>
              <w:spacing w:after="0"/>
              <w:rPr>
                <w:sz w:val="3"/>
                <w:szCs w:val="3"/>
                <w:color w:val="auto"/>
              </w:rPr>
            </w:pPr>
          </w:p>
        </w:tc>
        <w:tc>
          <w:tcPr>
            <w:tcW w:w="3680" w:type="dxa"/>
            <w:vAlign w:val="bottom"/>
            <w:tcBorders>
              <w:right w:val="single" w:sz="8" w:color="B6B6B6"/>
            </w:tcBorders>
            <w:gridSpan w:val="2"/>
            <w:vMerge w:val="continue"/>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500" w:type="dxa"/>
            <w:vAlign w:val="bottom"/>
            <w:tcBorders>
              <w:right w:val="single" w:sz="8" w:color="B6B6B6"/>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60" w:type="dxa"/>
            <w:vAlign w:val="bottom"/>
            <w:tcBorders>
              <w:right w:val="single" w:sz="8" w:color="B6B6B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inactivation to E. coli-derived asparaginase.</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w w:val="99"/>
              </w:rPr>
              <w:t>Treatment of adult patients with metastatic SCLC,</w:t>
            </w:r>
          </w:p>
        </w:tc>
        <w:tc>
          <w:tcPr>
            <w:tcW w:w="214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June 2020</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6"/>
                <w:szCs w:val="16"/>
                <w:color w:val="auto"/>
              </w:rPr>
              <w:t>U.S. (licensed from PharmaMar)</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with disease progression on or after platinum-</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Zepzelca® (lurbinectedin)</w:t>
            </w: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based chemotherapy.</w:t>
            </w:r>
          </w:p>
        </w:tc>
        <w:tc>
          <w:tcPr>
            <w:tcW w:w="1640" w:type="dxa"/>
            <w:vAlign w:val="bottom"/>
          </w:tcPr>
          <w:p>
            <w:pPr>
              <w:spacing w:after="0"/>
              <w:rPr>
                <w:sz w:val="20"/>
                <w:szCs w:val="20"/>
                <w:color w:val="auto"/>
              </w:rPr>
            </w:pPr>
          </w:p>
        </w:tc>
        <w:tc>
          <w:tcPr>
            <w:tcW w:w="50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tcBorders>
              <w:left w:val="single" w:sz="8" w:color="B6B6B6"/>
              <w:right w:val="single" w:sz="8" w:color="B6B6B6"/>
            </w:tcBorders>
            <w:gridSpan w:val="2"/>
            <w:vMerge w:val="continue"/>
          </w:tcPr>
          <w:p>
            <w:pPr>
              <w:spacing w:after="0"/>
              <w:rPr>
                <w:sz w:val="16"/>
                <w:szCs w:val="16"/>
                <w:color w:val="auto"/>
              </w:rPr>
            </w:pPr>
          </w:p>
        </w:tc>
        <w:tc>
          <w:tcPr>
            <w:tcW w:w="860" w:type="dxa"/>
            <w:vAlign w:val="bottom"/>
            <w:tcBorders>
              <w:bottom w:val="single" w:sz="8" w:color="B6B6B6"/>
            </w:tcBorders>
          </w:tcPr>
          <w:p>
            <w:pPr>
              <w:spacing w:after="0"/>
              <w:rPr>
                <w:sz w:val="16"/>
                <w:szCs w:val="16"/>
                <w:color w:val="auto"/>
              </w:rPr>
            </w:pPr>
          </w:p>
        </w:tc>
        <w:tc>
          <w:tcPr>
            <w:tcW w:w="2820" w:type="dxa"/>
            <w:vAlign w:val="bottom"/>
            <w:tcBorders>
              <w:bottom w:val="single" w:sz="8" w:color="B6B6B6"/>
              <w:right w:val="single" w:sz="8" w:color="B6B6B6"/>
            </w:tcBorders>
          </w:tcPr>
          <w:p>
            <w:pPr>
              <w:spacing w:after="0"/>
              <w:rPr>
                <w:sz w:val="16"/>
                <w:szCs w:val="16"/>
                <w:color w:val="auto"/>
              </w:rPr>
            </w:pPr>
          </w:p>
        </w:tc>
        <w:tc>
          <w:tcPr>
            <w:tcW w:w="1640" w:type="dxa"/>
            <w:vAlign w:val="bottom"/>
            <w:tcBorders>
              <w:bottom w:val="single" w:sz="8" w:color="B6B6B6"/>
            </w:tcBorders>
          </w:tcPr>
          <w:p>
            <w:pPr>
              <w:spacing w:after="0"/>
              <w:rPr>
                <w:sz w:val="16"/>
                <w:szCs w:val="16"/>
                <w:color w:val="auto"/>
              </w:rPr>
            </w:pPr>
          </w:p>
        </w:tc>
        <w:tc>
          <w:tcPr>
            <w:tcW w:w="500" w:type="dxa"/>
            <w:vAlign w:val="bottom"/>
            <w:tcBorders>
              <w:bottom w:val="single" w:sz="8" w:color="B6B6B6"/>
              <w:right w:val="single" w:sz="8" w:color="B6B6B6"/>
            </w:tcBorders>
          </w:tcPr>
          <w:p>
            <w:pPr>
              <w:spacing w:after="0"/>
              <w:rPr>
                <w:sz w:val="16"/>
                <w:szCs w:val="16"/>
                <w:color w:val="auto"/>
              </w:rPr>
            </w:pPr>
          </w:p>
        </w:tc>
        <w:tc>
          <w:tcPr>
            <w:tcW w:w="640" w:type="dxa"/>
            <w:vAlign w:val="bottom"/>
            <w:tcBorders>
              <w:bottom w:val="single" w:sz="8" w:color="B6B6B6"/>
            </w:tcBorders>
          </w:tcPr>
          <w:p>
            <w:pPr>
              <w:spacing w:after="0"/>
              <w:rPr>
                <w:sz w:val="16"/>
                <w:szCs w:val="16"/>
                <w:color w:val="auto"/>
              </w:rPr>
            </w:pPr>
          </w:p>
        </w:tc>
        <w:tc>
          <w:tcPr>
            <w:tcW w:w="2160" w:type="dxa"/>
            <w:vAlign w:val="bottom"/>
            <w:tcBorders>
              <w:bottom w:val="single" w:sz="8" w:color="B6B6B6"/>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Stage III or metastatic</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2021</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5"/>
                <w:szCs w:val="15"/>
                <w:color w:val="auto"/>
              </w:rPr>
              <w:t>Canada (licensed from PharmaMar)</w:t>
            </w:r>
            <w:r>
              <w:rPr>
                <w:rFonts w:ascii="Times New Roman" w:cs="Times New Roman" w:eastAsia="Times New Roman" w:hAnsi="Times New Roman"/>
                <w:sz w:val="19"/>
                <w:szCs w:val="19"/>
                <w:color w:val="auto"/>
                <w:vertAlign w:val="superscript"/>
              </w:rPr>
              <w:t>3</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SCLC who have progressed on or after platinum-</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40" w:type="dxa"/>
            <w:vAlign w:val="bottom"/>
            <w:tcBorders>
              <w:left w:val="single" w:sz="8" w:color="B6B6B6"/>
            </w:tcBorders>
          </w:tcPr>
          <w:p>
            <w:pPr>
              <w:spacing w:after="0"/>
              <w:rPr>
                <w:sz w:val="22"/>
                <w:szCs w:val="22"/>
                <w:color w:val="auto"/>
              </w:rPr>
            </w:pPr>
          </w:p>
        </w:tc>
        <w:tc>
          <w:tcPr>
            <w:tcW w:w="2000" w:type="dxa"/>
            <w:vAlign w:val="bottom"/>
            <w:tcBorders>
              <w:right w:val="single" w:sz="8" w:color="B6B6B6"/>
            </w:tcBorders>
          </w:tcPr>
          <w:p>
            <w:pPr>
              <w:spacing w:after="0"/>
              <w:rPr>
                <w:sz w:val="22"/>
                <w:szCs w:val="22"/>
                <w:color w:val="auto"/>
              </w:rPr>
            </w:pP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containing therapy.</w:t>
            </w:r>
          </w:p>
        </w:tc>
        <w:tc>
          <w:tcPr>
            <w:tcW w:w="1640" w:type="dxa"/>
            <w:vAlign w:val="bottom"/>
          </w:tcPr>
          <w:p>
            <w:pPr>
              <w:spacing w:after="0"/>
              <w:rPr>
                <w:sz w:val="22"/>
                <w:szCs w:val="22"/>
                <w:color w:val="auto"/>
              </w:rPr>
            </w:pPr>
          </w:p>
        </w:tc>
        <w:tc>
          <w:tcPr>
            <w:tcW w:w="500" w:type="dxa"/>
            <w:vAlign w:val="bottom"/>
            <w:tcBorders>
              <w:right w:val="single" w:sz="8" w:color="B6B6B6"/>
            </w:tcBorders>
          </w:tcPr>
          <w:p>
            <w:pPr>
              <w:spacing w:after="0"/>
              <w:rPr>
                <w:sz w:val="22"/>
                <w:szCs w:val="22"/>
                <w:color w:val="auto"/>
              </w:rPr>
            </w:pPr>
          </w:p>
        </w:tc>
        <w:tc>
          <w:tcPr>
            <w:tcW w:w="640" w:type="dxa"/>
            <w:vAlign w:val="bottom"/>
          </w:tcPr>
          <w:p>
            <w:pPr>
              <w:spacing w:after="0"/>
              <w:rPr>
                <w:sz w:val="22"/>
                <w:szCs w:val="22"/>
                <w:color w:val="auto"/>
              </w:rPr>
            </w:pPr>
          </w:p>
        </w:tc>
        <w:tc>
          <w:tcPr>
            <w:tcW w:w="2160" w:type="dxa"/>
            <w:vAlign w:val="bottom"/>
            <w:tcBorders>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640" w:type="dxa"/>
            <w:vAlign w:val="bottom"/>
            <w:tcBorders>
              <w:top w:val="single" w:sz="8" w:color="929292"/>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Ziihera® (zanidatamab-hrii)</w:t>
            </w:r>
          </w:p>
        </w:tc>
        <w:tc>
          <w:tcPr>
            <w:tcW w:w="3680" w:type="dxa"/>
            <w:vAlign w:val="bottom"/>
            <w:tcBorders>
              <w:top w:val="single" w:sz="8" w:color="929292"/>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previously treated,</w:t>
            </w:r>
          </w:p>
        </w:tc>
        <w:tc>
          <w:tcPr>
            <w:tcW w:w="2140" w:type="dxa"/>
            <w:vAlign w:val="bottom"/>
            <w:tcBorders>
              <w:top w:val="single" w:sz="8" w:color="929292"/>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2024</w:t>
            </w:r>
          </w:p>
        </w:tc>
        <w:tc>
          <w:tcPr>
            <w:tcW w:w="2800" w:type="dxa"/>
            <w:vAlign w:val="bottom"/>
            <w:tcBorders>
              <w:top w:val="single" w:sz="8" w:color="929292"/>
              <w:right w:val="single" w:sz="8" w:color="B6B6B6"/>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U.S. (licensed from Zymeworks)</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continue"/>
            <w:shd w:val="clear" w:color="auto" w:fill="CCEEFF"/>
          </w:tcPr>
          <w:p>
            <w:pPr>
              <w:spacing w:after="0"/>
              <w:rPr>
                <w:sz w:val="16"/>
                <w:szCs w:val="16"/>
                <w:color w:val="auto"/>
              </w:rPr>
            </w:pP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unresectable or metastatic HER2-positive (IHC</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2800" w:type="dxa"/>
            <w:vAlign w:val="bottom"/>
            <w:tcBorders>
              <w:right w:val="single" w:sz="8" w:color="B6B6B6"/>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BTC, as detected by an FDA-approved test.</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clobazam restriction limited to EU and Great Britain</w:t>
      </w:r>
    </w:p>
    <w:p>
      <w:pPr>
        <w:spacing w:after="0" w:line="15" w:lineRule="exact"/>
        <w:rPr>
          <w:rFonts w:ascii="Times New Roman" w:cs="Times New Roman" w:eastAsia="Times New Roman" w:hAnsi="Times New Roman"/>
          <w:sz w:val="23"/>
          <w:szCs w:val="23"/>
          <w:color w:val="auto"/>
          <w:vertAlign w:val="superscript"/>
        </w:rPr>
      </w:pPr>
    </w:p>
    <w:p>
      <w:pPr>
        <w:spacing w:after="0" w:line="20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Accelerated approval received from FDA</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Conditional approval received from Health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We are the global leader in the development and commercialization of oxybate therapy for patients with sleep disorders. Xyrem was approved by FDA in 2002, and is indicated for treating cataplexy and EDS in patients seven years of age or older with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spacing w:after="0" w:line="7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Since there is no cure for narcolepsy and long-term disease management is needed, we believe that Xywav represents an important therapeutic option for patients with this sleep disorder. Our commercial efforts are focused on educating patients and physicians about the lifelong impact of high sodium intake, and how the use of Xywav enables them to address what is a modifiable risk factor for cardiovascular morbidity. We view the adoption of Xywav in narcolepsy as a positive indication that physicians and patients appreciate the benefits of a low-sodium oxybate option.</w:t>
      </w:r>
    </w:p>
    <w:p>
      <w:pPr>
        <w:spacing w:after="0" w:line="7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June 2021, FDA recognized seven years of ODE for Xywav in narcolepsy. ODE extends through January 2028. Nevertheless, Lumryz, a fixed-dose, high-sodium oxybate, was approved by FDA on May 1, 2023, for the treatment of cataplexy or EDS in adults with narcolepsy and was launched in the U.S. market by Avadel.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spacing w:after="0" w:line="80" w:lineRule="exact"/>
        <w:rPr>
          <w:sz w:val="20"/>
          <w:szCs w:val="20"/>
          <w:color w:val="auto"/>
        </w:rPr>
      </w:pPr>
    </w:p>
    <w:p>
      <w:pPr>
        <w:jc w:val="both"/>
        <w:ind w:right="60" w:firstLine="445"/>
        <w:spacing w:after="0" w:line="258" w:lineRule="auto"/>
        <w:rPr>
          <w:sz w:val="20"/>
          <w:szCs w:val="20"/>
          <w:color w:val="auto"/>
        </w:rPr>
      </w:pPr>
      <w:r>
        <w:rPr>
          <w:rFonts w:ascii="Times New Roman" w:cs="Times New Roman" w:eastAsia="Times New Roman" w:hAnsi="Times New Roman"/>
          <w:sz w:val="18"/>
          <w:szCs w:val="18"/>
          <w:color w:val="auto"/>
        </w:rPr>
        <w:t>On August 12, 2021, FDA approved Xywav for the treatment of IH in adults. Xywav remains the first and only FDA-approved therapy to treat IH. We initiated the U.S. commercial launch of Xywav for the treatment of IH in adults in November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spacing w:after="0" w:line="75"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spacing w:after="0" w:line="54"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We have seen strong adoption of Xywav in narcolepsy since its launch in November 2020, and increasing adoption in IH since its launch in November 2021. Exiting the first quarter of 2025, there were approximately 14,600 patients taking Xywav, including approximately 10,375 patients with narcolepsy and approximately 4,225 patients with IH.</w:t>
      </w:r>
    </w:p>
    <w:p>
      <w:pPr>
        <w:spacing w:after="0" w:line="68"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color w:val="auto"/>
        </w:rPr>
        <w:t>We acquired Epidiolex (Epidyolex in certain markets outside the U.S.) in May 2021 as part of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July 2020 for the treatment of seizures associated with TSC in patients one year of age and older. FDA also approved the expansion of all existing indications, LGS and DS, to patients one year of age and older. The rolling European launch of Epidyolex is also underway following EC approval in September 2019 for use as adjunctive therapy of seizures associated with LGS or DS, in conjunction with clobazam, for patients two years of age and older. The clobazam restriction is limited to the EU and Great Britain. Epidyolex is now launched in all five key European markets: United Kingdom, Germany, Italy, Spain and France.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Canada, Australia, New Zealand and Taiwan.</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2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E. coli-derived asparaginase. Rylaze is the only recombinant erwinia asparaginase manufactured product approved in the U.S. that maintains a clinically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IM administration of 25 mg/m2 every 48 hours. In November 2022, FDA approved an sBLA for a Monday/Wednesday/Friday 25/25/50 mg/m2 IM dosing schedule. In September 2023, the EC granted marketing authorization for JZP458 under the trade name Enrylaze. This product has also been approved in Great Britain, Canada and Switzerland.</w:t>
      </w:r>
    </w:p>
    <w:p>
      <w:pPr>
        <w:spacing w:after="0" w:line="75"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In collaboration with Roche, we have an ongoing Phase 3 pivotal clinical trial of Zepzelca for use as maintenance therapy in first-line extensive-stage SCLC in combination with Tecentriq® (atezolizumab) following induction therapy with carboplatin, etoposide and Tecentriq. In October 2024, we announced positive top-line results from the trial showing a statistically significant and clinically meaningful benefit for Zepzelca and atezolizumab in combination in the first-line maintenance setting. In April 2025, we announced the submission of an sNDA to support this combination in the first-line maintenance setting.</w:t>
      </w:r>
    </w:p>
    <w:p>
      <w:pPr>
        <w:spacing w:after="0" w:line="81"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We acquired exclusive development and commercialization rights to Ziihera in 2022 through an exclusive licensing 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amended license agreement at will upon a specified notice period, and either party can terminate the amended license agreement for the other party’s uncured material breach or bankruptcy.</w:t>
      </w:r>
    </w:p>
    <w:p>
      <w:pPr>
        <w:spacing w:after="0" w:line="7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Ziihera is a bispecific HER2-directed antibody that binds to two extracellular sites on HER2. Binding of zanidatamab-hrii with HER2 results in internalization leading to a reduction of the receptor on the tumor cell surface. In the U.S., Ziihera was granted accelerated approval by FDA in November 2024 and is indicated for the treatment of adults with previously treated, unresectable or metastatic HER2-positive (IHC 3+) BTC, as detected by an FDA-approved test.</w:t>
      </w:r>
    </w:p>
    <w:p>
      <w:pPr>
        <w:spacing w:after="0" w:line="72" w:lineRule="exact"/>
        <w:rPr>
          <w:sz w:val="20"/>
          <w:szCs w:val="20"/>
          <w:color w:val="auto"/>
        </w:rPr>
      </w:pPr>
    </w:p>
    <w:p>
      <w:pPr>
        <w:jc w:val="both"/>
        <w:ind w:right="100" w:firstLine="445"/>
        <w:spacing w:after="0" w:line="289" w:lineRule="auto"/>
        <w:rPr>
          <w:sz w:val="20"/>
          <w:szCs w:val="20"/>
          <w:color w:val="auto"/>
        </w:rPr>
      </w:pPr>
      <w:r>
        <w:rPr>
          <w:rFonts w:ascii="Times New Roman" w:cs="Times New Roman" w:eastAsia="Times New Roman" w:hAnsi="Times New Roman"/>
          <w:sz w:val="17"/>
          <w:szCs w:val="17"/>
          <w:color w:val="auto"/>
        </w:rPr>
        <w:t>Defitelio is the first and only approved treatment for patients with VOD, sVOD, or VOD with renal or pulmonary dysfunction following HSCT by regulatory authorities in the U.S., Europe, Japan and other markets. Utilization of Defitelio is in part driven by evolving treatment practices in HSCT, and we are continuing to educate healthcare professionals on the clinical profile of Defitelio and its role in treating VOD and/or severe VOD following HSCT.</w:t>
      </w:r>
    </w:p>
    <w:p>
      <w:pPr>
        <w:spacing w:after="0" w:line="50" w:lineRule="exact"/>
        <w:rPr>
          <w:sz w:val="20"/>
          <w:szCs w:val="20"/>
          <w:color w:val="auto"/>
        </w:rPr>
      </w:pPr>
    </w:p>
    <w:p>
      <w:pPr>
        <w:ind w:right="500" w:firstLine="445"/>
        <w:spacing w:after="0" w:line="281" w:lineRule="auto"/>
        <w:rPr>
          <w:sz w:val="20"/>
          <w:szCs w:val="20"/>
          <w:color w:val="auto"/>
        </w:rPr>
      </w:pPr>
      <w:r>
        <w:rPr>
          <w:rFonts w:ascii="Times New Roman" w:cs="Times New Roman" w:eastAsia="Times New Roman" w:hAnsi="Times New Roman"/>
          <w:sz w:val="17"/>
          <w:szCs w:val="17"/>
          <w:color w:val="auto"/>
        </w:rPr>
        <w:t>Vyxeos is a treatment for adults with newly-diagnosed t-AML, or AML-MRC. In March 2021, FDA approved a revised label to include a new indication to treat newly-diagnosed t-AML, or AML-MRC, in pediatric patients aged one year and older. We continue to expand into new markets internationally as the product receives approvals and reimbursement in relevant markets. In the U.S., with ongoing trends towards lower-intensity treatments and away from intensive chemotherapy regimens for AML, we have seen increasing competition from other therapeutic options.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Progress</w:t>
      </w:r>
    </w:p>
    <w:p>
      <w:pPr>
        <w:spacing w:after="0" w:line="12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neuroscience and precision medicines in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Within our oncology R&amp;D program, in October 2022, we announced an exclusive licensing and collaboration agreement with Zymeworks providing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the right to acquire development and commercialization rights to Zymeworks' zanidatamab across all indications in the U.S., Europe, Japan and all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territories except for those Asia/Pacific territories previously licensed by Zymeworks. In December 2022, we exercised the option to continue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 development and commercialization rights to zanidatamab. Under the terms of the agreement, Zymeworks received an upfront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million, and following the exercise of our option to continue the collaboration, a second, one-time payment of $325.0 million. Zymeworks is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to receive regulatory and commercial milestone payments of up to $1.4 billion, for total potential payments of $1.76 billion. Zymeworks is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tiered royalties between 10% and 20% on our net</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sales. Zanidatamab is a bispecific HER2-directed antibody that binds to two extracellular sites on HER2. Zanidatamab is currently being evaluated in multiple clinical trials as a treatment for patients with HER2-expressing cancers. Following positive data from a pivotal Phase 2 clinical trial evaluating zanidatamab monotherapy in patients with previously treated advanced or metastatic HER2-amplified BTC, we completed a BLA submission in second-line BTC in March 2024. In May 2024, FDA granted Priority Review of the BLA; we received FDA approval for this BLA in November 2024. In April 2025, we announced that CHMP adopted a positive opinion recommending the conditional marketing authorization of zanidatamab in 2L BTC. The CHMP recommendation is being reviewed by the EC. In addition, we have an ongoing Phase 3 randomized clinical trial evaluating zanidatamab in combination with chemotherapy plus or minus tislelizumab as a first-line treatment for HER2-expressing GEA, an ongoing Phase 2 trial examining zanidatamab in combination with chemotherapy in first-line patients with HER2-expressing metastatic GEA and an ongoing Phase 3 trial examining zanidatamab in first-line patients with HER2-positive BTC. In July 2024, we announced the initiation of the Phase 3 EmpowHER-BC-303 to evaluate zanidatamab plus chemotherapy or trastuzumab plus chemotherapy in patients with HER2-positive breast cancer whose disease has progressed on previous T-DXd treatment. There are also multiple ongoing clinical trials exploring zanidatamab in breast cancer and other HER2-expressing tumor types.</w:t>
      </w:r>
    </w:p>
    <w:p>
      <w:pPr>
        <w:spacing w:after="0" w:line="84"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Our development plan for Zepzelca continues to progress. We are collaborating with Roche on a pivotal Phase 3 clinical trial evaluating Zepzelca in combination with Tecentriq for use as maintenance therapy in first-line extensive-stage SCLC. In October 2024, we announced positive top-line results from the trial showing a statistically significant and clinically meaningful benefit for Zepzelca and atezolizumab in combination in the first-line maintenance setting. In April 2025, we announced the submission of an sNDA to support this combination in the first-line maintenance setting. In December 2021, our licensor PharmaMar initiated a confirmatory trial in second-line SCLC. This ongoing three-arm trial is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spacing w:after="0" w:line="8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addition, we have an ongoing Phase 4 observational study to collect real world safety and outcome data in adult Zepzelca monotherapy patients with SCLC who progress on or after prior platinum-containing chemotherapy. Preliminary findings from this study presented at the 2024 World Conference on Lung Cancer demonstrated Zepzelca provided clinical benefit when administered as second-line SCLC therapy. The safety and tolerability profile observed in this study was consistent with prior findings, with no new safety signals reported.</w:t>
      </w:r>
    </w:p>
    <w:p>
      <w:pPr>
        <w:spacing w:after="0" w:line="72"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In June 2022, we announced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spacing w:after="0" w:line="6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April 2022, we announced that we had entered into a licensing and collaboration agreement with Werewolf to acquire exclusive global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 JZP898 is a differentiated, conditionally-activated IFNα INDUKINE™ molecule. We initiated a Phase 1 clinical trial of JZP898 in late 2023.</w:t>
      </w:r>
    </w:p>
    <w:p>
      <w:pPr>
        <w:spacing w:after="0" w:line="81" w:lineRule="exact"/>
        <w:rPr>
          <w:sz w:val="20"/>
          <w:szCs w:val="20"/>
          <w:color w:val="auto"/>
        </w:rPr>
      </w:pPr>
    </w:p>
    <w:p>
      <w:pPr>
        <w:ind w:right="380" w:firstLine="445"/>
        <w:spacing w:after="0" w:line="261" w:lineRule="auto"/>
        <w:rPr>
          <w:sz w:val="20"/>
          <w:szCs w:val="20"/>
          <w:color w:val="auto"/>
        </w:rPr>
      </w:pPr>
      <w:r>
        <w:rPr>
          <w:rFonts w:ascii="Times New Roman" w:cs="Times New Roman" w:eastAsia="Times New Roman" w:hAnsi="Times New Roman"/>
          <w:sz w:val="18"/>
          <w:szCs w:val="18"/>
          <w:color w:val="auto"/>
        </w:rPr>
        <w:t>On March 4, 2025, we entered into the Chimerix Merger Agreement. Pursuant to the Chimerix Merger Agreement, on March 21, 2025, Pinetree commenced a tender offer to purchase all of the outstanding shares of the common stock, par value $0.001 per share, of Chimerix, or the Chimerix Common Stock, at a price of $8.55 per share, payable in cash at closing, without interest and subject to reduction for any applicable withholding taxes, such price, the Offer Price.</w:t>
      </w:r>
    </w:p>
    <w:p>
      <w:pPr>
        <w:spacing w:after="0" w:line="72"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Chimerix’s lead clinical asset is dordaviprone, a novel first-in-class small molecule treatment in development for H3 K27M-mutant diffuse glioma, a rare, high-grade brain tumor that most commonly affects children and young adults. An NDA for accelerated approval of dordaviprone in recurrent H3 K27M-mutant diffuse glioma was recently accepted and granted Priority Review by FDA. FDA has set a target PDUFA action date of August 18, 2025. If approved in the U.S., dordaviprone may be eligible for a Rare Pediatric Disease Priority Review Voucher (PRV). Separately, dordaviprone is being studied in the ongoing Phase 3 ACTION trial, evaluating its use in newly diagnosed, non-recurrent H3 K27M-mutant diffuse glioma patients following radiation treatment, potentially extending this treatment option into the front-line setting.</w:t>
      </w:r>
    </w:p>
    <w:p>
      <w:pPr>
        <w:spacing w:after="0" w:line="79"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On April 21, 2025, we completed the tender offer and acquired all outstanding shares of Chimerix Common Stock at the Offer Price, representing a total consideration of approximately $935 million, funded with our cash and cash equivalents. As a result of this, Chimerix became an indirect wholly owned subsidiary of the Company. See “Risks Related to Growth of Our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Product Portfolio and Research and Development—We may not realize the anticipated benefits from our acquisition of Chimerix” in Part II, Item 1A. Risk Factors in this Quarterly Report on Form 10-Q.</w:t>
      </w:r>
    </w:p>
    <w:p>
      <w:pPr>
        <w:spacing w:after="0" w:line="5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neuroscience R&amp;D efforts include an ongoing Phase 3 trial of Epidyolex for LGS, DS and TSC in Japan. In August 2024, we announced top-line results from the trial. The trial did not meet the primary efficacy endpoint of a pre-specified percentage change in indication-associated seizure frequency during the treatment period (up to 16 weeks) compared to baseline in Japanese pediatric patients; however, numeric improvements were observed in the primary and several secondary endpoints. No new safety signals were observed in the trial. We are continuing to collect data in Japanese patients and plan to engage with regulatory authorities in Japan regarding a potential new drug application.</w:t>
      </w:r>
    </w:p>
    <w:p>
      <w:pPr>
        <w:spacing w:after="0" w:line="75"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We are also pursuing early-stage activities related to the development of JZP324, an extended-release low sodium, oxybate formulation that we believe could provide a clinically meaningful option for narcolepsy patients.</w:t>
      </w:r>
    </w:p>
    <w:p>
      <w:pPr>
        <w:spacing w:after="0" w:line="54"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In May 2022, we announced that we had entered into a licensing agreement with Sumitomo to acquire exclusive development and commercialization rights in the U.S., Europe and other territories for JZP441, also known as DSP-0187, a potent, highly selective oral orexin-2 receptor agonist with potential application for the treatment of narcolepsy, IH and other sleep disorders. Under the terms of the agreement, we made an upfront payment of $50.0 million to Sumitomo, and Sumitomo is eligible to receive development, regulatory and commercial milestone payments of up to $1.09 billion. If approved, Sumitomo is eligible to receive a tiered, low double-digit royalty on our net sales of JZP441. In November 2023, we announced that we achieved initial proof-of-concept in our Phase 1 clinical trial program in healthy volunteers as demonstrated by the Maintenance of Wakefulness Test (MWT). At that time, we also noted the program was being paused as we analyzed safety findings related to visual disturbances and cardiovascular effects; no liver toxicity signals were observed. Following additional review of the trial findings and input from FDA, we initiated a small Phase 1b trial of JZP441 in narcolepsy Type 1 patients in 2025. We expect data from this trial will further our understanding of JZP441 and orexin-2 receptor agonism, providing learnings that could inform future development efforts.</w:t>
      </w:r>
    </w:p>
    <w:p>
      <w:pPr>
        <w:spacing w:after="0" w:line="86"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Below is a summary of our key ongoing and planned development projects related to our products and pipeline and their corresponding current stages of development: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tc>
        <w:tc>
          <w:tcPr>
            <w:tcW w:w="8220" w:type="dxa"/>
            <w:vAlign w:val="bottom"/>
            <w:gridSpan w:val="4"/>
          </w:tcPr>
          <w:p>
            <w:pPr>
              <w:ind w:left="1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1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Second-line HER2-expressing BTC (under EMA review)</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Dordaviprone</w:t>
            </w:r>
          </w:p>
        </w:tc>
        <w:tc>
          <w:tcPr>
            <w:tcW w:w="81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Recurrent H3 K27M-mutant diffuse glioma (under FDA review)</w:t>
            </w: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First-line HER2-positive GEA (ongoing trial)</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First-line HER2-positive BTC (ongoing trial)</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0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tcPr>
          <w:p>
            <w:pPr>
              <w:ind w:left="1440"/>
              <w:spacing w:after="0" w:line="176" w:lineRule="exact"/>
              <w:rPr>
                <w:sz w:val="20"/>
                <w:szCs w:val="20"/>
                <w:color w:val="auto"/>
              </w:rPr>
            </w:pPr>
            <w:r>
              <w:rPr>
                <w:rFonts w:ascii="Times New Roman" w:cs="Times New Roman" w:eastAsia="Times New Roman" w:hAnsi="Times New Roman"/>
                <w:sz w:val="18"/>
                <w:szCs w:val="18"/>
                <w:color w:val="auto"/>
              </w:rPr>
              <w:t>Previously treated HER2-positive breast cancer in patients whose disease has progressed on</w:t>
            </w:r>
          </w:p>
        </w:tc>
        <w:tc>
          <w:tcPr>
            <w:tcW w:w="10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220" w:type="dxa"/>
            <w:vAlign w:val="bottom"/>
            <w:gridSpan w:val="4"/>
          </w:tcPr>
          <w:p>
            <w:pPr>
              <w:ind w:left="1440"/>
              <w:spacing w:after="0"/>
              <w:rPr>
                <w:sz w:val="20"/>
                <w:szCs w:val="20"/>
                <w:color w:val="auto"/>
              </w:rPr>
            </w:pPr>
            <w:r>
              <w:rPr>
                <w:rFonts w:ascii="Times New Roman" w:cs="Times New Roman" w:eastAsia="Times New Roman" w:hAnsi="Times New Roman"/>
                <w:sz w:val="18"/>
                <w:szCs w:val="18"/>
                <w:color w:val="auto"/>
              </w:rPr>
              <w:t>previous T-DXd treatment (EmpowHER-BC-303) (ongoing trial)</w:t>
            </w:r>
          </w:p>
        </w:tc>
      </w:tr>
      <w:tr>
        <w:trPr>
          <w:trHeight w:val="184"/>
        </w:trPr>
        <w:tc>
          <w:tcPr>
            <w:tcW w:w="2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Zepzelca</w:t>
            </w:r>
          </w:p>
        </w:tc>
        <w:tc>
          <w:tcPr>
            <w:tcW w:w="8120" w:type="dxa"/>
            <w:vAlign w:val="bottom"/>
            <w:gridSpan w:val="3"/>
            <w:shd w:val="clear" w:color="auto" w:fill="CCEEFF"/>
          </w:tcPr>
          <w:p>
            <w:pPr>
              <w:ind w:left="1440"/>
              <w:spacing w:after="0" w:line="184" w:lineRule="exact"/>
              <w:rPr>
                <w:sz w:val="20"/>
                <w:szCs w:val="20"/>
                <w:color w:val="auto"/>
              </w:rPr>
            </w:pPr>
            <w:r>
              <w:rPr>
                <w:rFonts w:ascii="Times New Roman" w:cs="Times New Roman" w:eastAsia="Times New Roman" w:hAnsi="Times New Roman"/>
                <w:sz w:val="18"/>
                <w:szCs w:val="18"/>
                <w:color w:val="auto"/>
              </w:rPr>
              <w:t>First-line extensive-stage SCLC in combination with Tecentriq (collaboration with Roche)</w:t>
            </w:r>
          </w:p>
        </w:tc>
        <w:tc>
          <w:tcPr>
            <w:tcW w:w="100" w:type="dxa"/>
            <w:vAlign w:val="bottom"/>
          </w:tcPr>
          <w:p>
            <w:pPr>
              <w:spacing w:after="0"/>
              <w:rPr>
                <w:sz w:val="16"/>
                <w:szCs w:val="16"/>
                <w:color w:val="auto"/>
              </w:rPr>
            </w:pP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120" w:type="dxa"/>
            <w:vAlign w:val="bottom"/>
            <w:gridSpan w:val="3"/>
            <w:shd w:val="clear" w:color="auto" w:fill="CCEEFF"/>
          </w:tcPr>
          <w:p>
            <w:pPr>
              <w:ind w:left="1440"/>
              <w:spacing w:after="0" w:line="184" w:lineRule="exact"/>
              <w:rPr>
                <w:sz w:val="20"/>
                <w:szCs w:val="20"/>
                <w:color w:val="auto"/>
              </w:rPr>
            </w:pPr>
            <w:r>
              <w:rPr>
                <w:rFonts w:ascii="Times New Roman" w:cs="Times New Roman" w:eastAsia="Times New Roman" w:hAnsi="Times New Roman"/>
                <w:sz w:val="18"/>
                <w:szCs w:val="18"/>
                <w:color w:val="auto"/>
              </w:rPr>
              <w:t>(ongoing trial)</w:t>
            </w:r>
          </w:p>
        </w:tc>
        <w:tc>
          <w:tcPr>
            <w:tcW w:w="100" w:type="dxa"/>
            <w:vAlign w:val="bottom"/>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Confirmatory second-line trial (PharmaMar study) (ongoing trial)</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Dordaviprone</w:t>
            </w:r>
          </w:p>
        </w:tc>
        <w:tc>
          <w:tcPr>
            <w:tcW w:w="81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First-line H3 K27M-mutant diffuse glioma (ongoing trial)</w:t>
            </w: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00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8120" w:type="dxa"/>
            <w:vAlign w:val="bottom"/>
            <w:gridSpan w:val="3"/>
            <w:shd w:val="clear" w:color="auto" w:fill="CCEEFF"/>
          </w:tcPr>
          <w:p>
            <w:pPr>
              <w:ind w:left="1440"/>
              <w:spacing w:after="0" w:line="176" w:lineRule="exact"/>
              <w:rPr>
                <w:sz w:val="20"/>
                <w:szCs w:val="20"/>
                <w:color w:val="auto"/>
              </w:rPr>
            </w:pPr>
            <w:r>
              <w:rPr>
                <w:rFonts w:ascii="Times New Roman" w:cs="Times New Roman" w:eastAsia="Times New Roman" w:hAnsi="Times New Roman"/>
                <w:sz w:val="18"/>
                <w:szCs w:val="18"/>
                <w:color w:val="auto"/>
              </w:rPr>
              <w:t>AML or high-risk MDS (AML18) (cooperative group studies) (ongoing trial)</w:t>
            </w:r>
          </w:p>
        </w:tc>
        <w:tc>
          <w:tcPr>
            <w:tcW w:w="100" w:type="dxa"/>
            <w:vAlign w:val="bottom"/>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120" w:type="dxa"/>
            <w:vAlign w:val="bottom"/>
            <w:gridSpan w:val="3"/>
            <w:shd w:val="clear" w:color="auto" w:fill="CCEEFF"/>
          </w:tcPr>
          <w:p>
            <w:pPr>
              <w:ind w:left="1440"/>
              <w:spacing w:after="0" w:line="184" w:lineRule="exact"/>
              <w:rPr>
                <w:sz w:val="20"/>
                <w:szCs w:val="20"/>
                <w:color w:val="auto"/>
              </w:rPr>
            </w:pPr>
            <w:r>
              <w:rPr>
                <w:rFonts w:ascii="Times New Roman" w:cs="Times New Roman" w:eastAsia="Times New Roman" w:hAnsi="Times New Roman"/>
                <w:sz w:val="18"/>
                <w:szCs w:val="18"/>
                <w:color w:val="auto"/>
              </w:rPr>
              <w:t>Newly diagnosed adults with standard- and high-risk AML (AML Study Group cooperative</w:t>
            </w:r>
          </w:p>
        </w:tc>
        <w:tc>
          <w:tcPr>
            <w:tcW w:w="100" w:type="dxa"/>
            <w:vAlign w:val="bottom"/>
          </w:tcPr>
          <w:p>
            <w:pPr>
              <w:spacing w:after="0"/>
              <w:rPr>
                <w:sz w:val="16"/>
                <w:szCs w:val="16"/>
                <w:color w:val="auto"/>
              </w:rPr>
            </w:pPr>
          </w:p>
        </w:tc>
      </w:tr>
      <w:tr>
        <w:trPr>
          <w:trHeight w:val="180"/>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120" w:type="dxa"/>
            <w:vAlign w:val="bottom"/>
            <w:gridSpan w:val="3"/>
            <w:shd w:val="clear" w:color="auto" w:fill="CCEEFF"/>
          </w:tcPr>
          <w:p>
            <w:pPr>
              <w:ind w:left="1440"/>
              <w:spacing w:after="0" w:line="181" w:lineRule="exact"/>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15"/>
                <w:szCs w:val="15"/>
                <w:color w:val="auto"/>
              </w:rPr>
            </w:pPr>
          </w:p>
        </w:tc>
      </w:tr>
      <w:tr>
        <w:trPr>
          <w:trHeight w:val="176"/>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120" w:type="dxa"/>
            <w:vAlign w:val="bottom"/>
            <w:gridSpan w:val="3"/>
            <w:shd w:val="clear" w:color="auto" w:fill="CCEEFF"/>
          </w:tcPr>
          <w:p>
            <w:pPr>
              <w:ind w:left="1440"/>
              <w:spacing w:after="0" w:line="176" w:lineRule="exact"/>
              <w:rPr>
                <w:sz w:val="20"/>
                <w:szCs w:val="20"/>
                <w:color w:val="auto"/>
              </w:rPr>
            </w:pPr>
            <w:r>
              <w:rPr>
                <w:rFonts w:ascii="Times New Roman" w:cs="Times New Roman" w:eastAsia="Times New Roman" w:hAnsi="Times New Roman"/>
                <w:sz w:val="18"/>
                <w:szCs w:val="18"/>
                <w:color w:val="auto"/>
              </w:rPr>
              <w:t>Newly diagnosed pediatric patients with AML (COG cooperative group study) (ongoing</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trial)</w:t>
            </w:r>
          </w:p>
        </w:tc>
        <w:tc>
          <w:tcPr>
            <w:tcW w:w="1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00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shd w:val="clear" w:color="auto" w:fill="CCEEFF"/>
          </w:tcPr>
          <w:p>
            <w:pPr>
              <w:ind w:left="1440"/>
              <w:spacing w:after="0" w:line="176" w:lineRule="exact"/>
              <w:rPr>
                <w:sz w:val="20"/>
                <w:szCs w:val="20"/>
                <w:color w:val="auto"/>
              </w:rPr>
            </w:pPr>
            <w:r>
              <w:rPr>
                <w:rFonts w:ascii="Times New Roman" w:cs="Times New Roman" w:eastAsia="Times New Roman" w:hAnsi="Times New Roman"/>
                <w:sz w:val="18"/>
                <w:szCs w:val="18"/>
                <w:color w:val="auto"/>
              </w:rPr>
              <w:t>HER2-expressing GEA, BTC or colorectal cancer in combination with standard first-line</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chemotherapy (ongoing trial)</w:t>
            </w:r>
          </w:p>
        </w:tc>
        <w:tc>
          <w:tcPr>
            <w:tcW w:w="1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Basket trial including HER2-positive solid tumors (DiscovHER-Pan-206) (ongoing trial)</w:t>
            </w: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00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8120" w:type="dxa"/>
            <w:vAlign w:val="bottom"/>
            <w:gridSpan w:val="3"/>
            <w:shd w:val="clear" w:color="auto" w:fill="CCEEFF"/>
          </w:tcPr>
          <w:p>
            <w:pPr>
              <w:ind w:left="1440"/>
              <w:spacing w:after="0" w:line="176" w:lineRule="exact"/>
              <w:rPr>
                <w:sz w:val="20"/>
                <w:szCs w:val="20"/>
                <w:color w:val="auto"/>
              </w:rPr>
            </w:pPr>
            <w:r>
              <w:rPr>
                <w:rFonts w:ascii="Times New Roman" w:cs="Times New Roman" w:eastAsia="Times New Roman" w:hAnsi="Times New Roman"/>
                <w:sz w:val="18"/>
                <w:szCs w:val="18"/>
                <w:color w:val="auto"/>
              </w:rPr>
              <w:t>High-risk MDS (European Myelodysplastic Syndromes) (cooperative group study)</w:t>
            </w:r>
          </w:p>
        </w:tc>
        <w:tc>
          <w:tcPr>
            <w:tcW w:w="100" w:type="dxa"/>
            <w:vAlign w:val="bottom"/>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120" w:type="dxa"/>
            <w:vAlign w:val="bottom"/>
            <w:gridSpan w:val="3"/>
            <w:shd w:val="clear" w:color="auto" w:fill="CCEEFF"/>
          </w:tcPr>
          <w:p>
            <w:pPr>
              <w:ind w:left="1440"/>
              <w:spacing w:after="0" w:line="184" w:lineRule="exact"/>
              <w:rPr>
                <w:sz w:val="20"/>
                <w:szCs w:val="20"/>
                <w:color w:val="auto"/>
              </w:rPr>
            </w:pPr>
            <w:r>
              <w:rPr>
                <w:rFonts w:ascii="Times New Roman" w:cs="Times New Roman" w:eastAsia="Times New Roman" w:hAnsi="Times New Roman"/>
                <w:sz w:val="18"/>
                <w:szCs w:val="18"/>
                <w:color w:val="auto"/>
              </w:rPr>
              <w:t>(ongoing trial)</w:t>
            </w:r>
          </w:p>
        </w:tc>
        <w:tc>
          <w:tcPr>
            <w:tcW w:w="100" w:type="dxa"/>
            <w:vAlign w:val="bottom"/>
          </w:tcPr>
          <w:p>
            <w:pPr>
              <w:spacing w:after="0"/>
              <w:rPr>
                <w:sz w:val="16"/>
                <w:szCs w:val="16"/>
                <w:color w:val="auto"/>
              </w:rPr>
            </w:pPr>
          </w:p>
        </w:tc>
      </w:tr>
      <w:tr>
        <w:trPr>
          <w:trHeight w:val="180"/>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120" w:type="dxa"/>
            <w:vAlign w:val="bottom"/>
            <w:gridSpan w:val="3"/>
            <w:shd w:val="clear" w:color="auto" w:fill="CCEEFF"/>
          </w:tcPr>
          <w:p>
            <w:pPr>
              <w:ind w:left="1440"/>
              <w:spacing w:after="0" w:line="181" w:lineRule="exact"/>
              <w:rPr>
                <w:sz w:val="20"/>
                <w:szCs w:val="20"/>
                <w:color w:val="auto"/>
              </w:rPr>
            </w:pPr>
            <w:r>
              <w:rPr>
                <w:rFonts w:ascii="Times New Roman" w:cs="Times New Roman" w:eastAsia="Times New Roman" w:hAnsi="Times New Roman"/>
                <w:sz w:val="18"/>
                <w:szCs w:val="18"/>
                <w:color w:val="auto"/>
              </w:rPr>
              <w:t>Newly diagnosed untreated patients with intermediate- and high-risk AML (cooperative</w:t>
            </w:r>
          </w:p>
        </w:tc>
        <w:tc>
          <w:tcPr>
            <w:tcW w:w="10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19"/>
                <w:szCs w:val="19"/>
                <w:color w:val="auto"/>
              </w:rPr>
            </w:pPr>
          </w:p>
        </w:tc>
      </w:tr>
      <w:tr>
        <w:trPr>
          <w:trHeight w:val="864"/>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120" w:type="dxa"/>
            <w:vAlign w:val="bottom"/>
            <w:gridSpan w:val="3"/>
          </w:tcPr>
          <w:p>
            <w:pPr>
              <w:jc w:val="right"/>
              <w:ind w:right="54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Product Candidates</w:t>
            </w: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5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5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Vyxeos + other approved therapies</w:t>
            </w:r>
          </w:p>
        </w:tc>
        <w:tc>
          <w:tcPr>
            <w:tcW w:w="7580" w:type="dxa"/>
            <w:vAlign w:val="bottom"/>
            <w:gridSpan w:val="3"/>
          </w:tcPr>
          <w:p>
            <w:pPr>
              <w:ind w:left="900"/>
              <w:spacing w:after="0" w:line="196" w:lineRule="exact"/>
              <w:rPr>
                <w:sz w:val="20"/>
                <w:szCs w:val="20"/>
                <w:color w:val="auto"/>
              </w:rPr>
            </w:pPr>
            <w:r>
              <w:rPr>
                <w:rFonts w:ascii="Times New Roman" w:cs="Times New Roman" w:eastAsia="Times New Roman" w:hAnsi="Times New Roman"/>
                <w:sz w:val="18"/>
                <w:szCs w:val="18"/>
                <w:color w:val="auto"/>
              </w:rPr>
              <w:t>R/R AML or hypomethylating agent failure MDS (MD Anderson collaboration study)</w:t>
            </w:r>
          </w:p>
        </w:tc>
      </w:tr>
      <w:tr>
        <w:trPr>
          <w:trHeight w:val="18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580" w:type="dxa"/>
            <w:vAlign w:val="bottom"/>
            <w:gridSpan w:val="3"/>
          </w:tcPr>
          <w:p>
            <w:pPr>
              <w:ind w:left="900"/>
              <w:spacing w:after="0" w:line="184" w:lineRule="exact"/>
              <w:rPr>
                <w:sz w:val="20"/>
                <w:szCs w:val="20"/>
                <w:color w:val="auto"/>
              </w:rPr>
            </w:pPr>
            <w:r>
              <w:rPr>
                <w:rFonts w:ascii="Times New Roman" w:cs="Times New Roman" w:eastAsia="Times New Roman" w:hAnsi="Times New Roman"/>
                <w:sz w:val="18"/>
                <w:szCs w:val="18"/>
                <w:color w:val="auto"/>
              </w:rPr>
              <w:t>(ongoing trial)</w:t>
            </w: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De novo or R/R AML (MD Anderson collaboration study) (ongoing trial)</w:t>
            </w: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2a</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5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Previously treated HER2+ HR+ breast cancer in combination with palbociclib (ongoing</w:t>
            </w: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trial)</w:t>
            </w:r>
          </w:p>
        </w:tc>
      </w:tr>
      <w:tr>
        <w:trPr>
          <w:trHeight w:val="234"/>
        </w:trPr>
        <w:tc>
          <w:tcPr>
            <w:tcW w:w="20" w:type="dxa"/>
            <w:vAlign w:val="bottom"/>
            <w:shd w:val="clear" w:color="auto" w:fill="CCEEFF"/>
          </w:tcPr>
          <w:p>
            <w:pPr>
              <w:spacing w:after="0"/>
              <w:rPr>
                <w:sz w:val="20"/>
                <w:szCs w:val="20"/>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1b/2</w:t>
            </w: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7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First-line breast cancer and GEA (BeiGene trial) (ongoing trial)</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HER2-expressing breast cancer in combination with ALX148 (ongoing trial)</w:t>
            </w:r>
          </w:p>
        </w:tc>
      </w:tr>
      <w:tr>
        <w:trPr>
          <w:trHeight w:val="229"/>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JZP815</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Raf and Ras mutant tumors (acquired from Redx) (ongoing trial)</w:t>
            </w:r>
          </w:p>
        </w:tc>
      </w:tr>
      <w:tr>
        <w:trPr>
          <w:trHeight w:val="176"/>
        </w:trPr>
        <w:tc>
          <w:tcPr>
            <w:tcW w:w="20" w:type="dxa"/>
            <w:vAlign w:val="bottom"/>
          </w:tcPr>
          <w:p>
            <w:pPr>
              <w:spacing w:after="0"/>
              <w:rPr>
                <w:sz w:val="15"/>
                <w:szCs w:val="15"/>
                <w:color w:val="auto"/>
              </w:rPr>
            </w:pPr>
          </w:p>
        </w:tc>
        <w:tc>
          <w:tcPr>
            <w:tcW w:w="35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Previously treated metastatic HER2-expressing cancers in combination with select</w:t>
            </w: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antineoplastic therapies (cooperative group study) (ongoing trial)</w:t>
            </w:r>
          </w:p>
        </w:tc>
      </w:tr>
      <w:tr>
        <w:trPr>
          <w:trHeight w:val="234"/>
        </w:trPr>
        <w:tc>
          <w:tcPr>
            <w:tcW w:w="20" w:type="dxa"/>
            <w:vAlign w:val="bottom"/>
            <w:shd w:val="clear" w:color="auto" w:fill="CCEEFF"/>
          </w:tcPr>
          <w:p>
            <w:pPr>
              <w:spacing w:after="0"/>
              <w:rPr>
                <w:sz w:val="20"/>
                <w:szCs w:val="20"/>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JZP898</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Conditionally-activated IFNα INDUKINE™ molecule in solid tumors (ongoing trial)</w:t>
            </w:r>
          </w:p>
        </w:tc>
      </w:tr>
      <w:tr>
        <w:trPr>
          <w:trHeight w:val="175"/>
        </w:trPr>
        <w:tc>
          <w:tcPr>
            <w:tcW w:w="20" w:type="dxa"/>
            <w:vAlign w:val="bottom"/>
          </w:tcPr>
          <w:p>
            <w:pPr>
              <w:spacing w:after="0"/>
              <w:rPr>
                <w:sz w:val="15"/>
                <w:szCs w:val="15"/>
                <w:color w:val="auto"/>
              </w:rPr>
            </w:pPr>
          </w:p>
        </w:tc>
        <w:tc>
          <w:tcPr>
            <w:tcW w:w="35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Low intensity dosing for higher risk MDS (MD Anderson collaboration study) (ongoing</w:t>
            </w: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trial)</w:t>
            </w:r>
          </w:p>
        </w:tc>
      </w:tr>
      <w:tr>
        <w:trPr>
          <w:trHeight w:val="234"/>
        </w:trPr>
        <w:tc>
          <w:tcPr>
            <w:tcW w:w="20" w:type="dxa"/>
            <w:vAlign w:val="bottom"/>
            <w:shd w:val="clear" w:color="auto" w:fill="CCEEFF"/>
          </w:tcPr>
          <w:p>
            <w:pPr>
              <w:spacing w:after="0"/>
              <w:rPr>
                <w:sz w:val="20"/>
                <w:szCs w:val="20"/>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7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KRAS inhibitor targets</w:t>
            </w: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G12D selective and pan-KRAS molecules (acquired from Redx)</w:t>
            </w: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Undisclosed targets</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Oncology</w:t>
            </w:r>
          </w:p>
        </w:tc>
      </w:tr>
      <w:tr>
        <w:trPr>
          <w:trHeight w:val="230"/>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CombiPlex®</w:t>
            </w: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Hematology/oncology exploratory activities</w:t>
            </w: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Epidyolex</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LGS, TSC and DS (ongoing trial in Japan)</w:t>
            </w:r>
          </w:p>
        </w:tc>
      </w:tr>
      <w:tr>
        <w:trPr>
          <w:trHeight w:val="229"/>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JZP324</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Oxybate extended-release formulation (planned trial)</w:t>
            </w:r>
          </w:p>
        </w:tc>
      </w:tr>
      <w:tr>
        <w:trPr>
          <w:trHeight w:val="230"/>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JZP441*</w:t>
            </w: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Potent, highly selective oral orexin-2 receptor agonist (ongoing trial)</w:t>
            </w: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5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Undisclosed targets</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Sleep</w:t>
            </w:r>
          </w:p>
        </w:tc>
      </w:tr>
      <w:tr>
        <w:trPr>
          <w:trHeight w:val="18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580" w:type="dxa"/>
            <w:vAlign w:val="bottom"/>
            <w:gridSpan w:val="3"/>
          </w:tcPr>
          <w:p>
            <w:pPr>
              <w:ind w:left="900"/>
              <w:spacing w:after="0" w:line="184" w:lineRule="exact"/>
              <w:rPr>
                <w:sz w:val="20"/>
                <w:szCs w:val="20"/>
                <w:color w:val="auto"/>
              </w:rPr>
            </w:pPr>
            <w:r>
              <w:rPr>
                <w:rFonts w:ascii="Times New Roman" w:cs="Times New Roman" w:eastAsia="Times New Roman" w:hAnsi="Times New Roman"/>
                <w:sz w:val="18"/>
                <w:szCs w:val="18"/>
                <w:color w:val="auto"/>
              </w:rPr>
              <w:t>Epilepsy</w:t>
            </w: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Other Neuroscience</w:t>
            </w:r>
          </w:p>
        </w:tc>
      </w:tr>
      <w:tr>
        <w:trPr>
          <w:trHeight w:val="310"/>
        </w:trPr>
        <w:tc>
          <w:tcPr>
            <w:tcW w:w="3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*Also known as DSP-0187</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tcPr>
          <w:p>
            <w:pPr>
              <w:spacing w:after="0"/>
              <w:rPr>
                <w:sz w:val="24"/>
                <w:szCs w:val="24"/>
                <w:color w:val="auto"/>
              </w:rPr>
            </w:pPr>
          </w:p>
        </w:tc>
      </w:tr>
    </w:tbl>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Challenges, Risks and Trends Related to Our Business</w:t>
      </w:r>
    </w:p>
    <w:p>
      <w:pPr>
        <w:spacing w:after="0" w:line="121"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Our operating plan assumes that Xywav, with 92% lower sodium compared to high-sodium oxybates (depending on the dose), a dosing titration option and an absence of a sodium warning, will remain the #1 branded oxybate treatment for narcolepsy; the position it held based on revenue in the first quarter of 2025. In June 2021, FDA recognized seven years of ODE for Xywav in narcolepsy through July 21, 2027 (which was subsequently extended to January 21, 2028), stating that Xywav is clinically superior to Xyrem by means of greater safety due to reduced chronic sodium burden. While we expect that our business will continue to meaningfully depend on oxybate revenues, there is no guarantee that oxybate revenues will remain at current levels.</w:t>
      </w:r>
    </w:p>
    <w:p>
      <w:pPr>
        <w:spacing w:after="0" w:line="75"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Our ability to successfully commercialize Xywav depends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and providing robust patient copay and savings programs.</w:t>
      </w:r>
    </w:p>
    <w:p>
      <w:pPr>
        <w:spacing w:after="0" w:line="7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Xywav and Xyrem face competition from a branded product for treatment of cataplexy and/or EDS in narcolepsy. Avadel’s Lumryz was launched in the U.S. market in June 2023. On June 22, 2023, we filed a complaint in the United States District Court for the District of Columbia seeking a declaration that FDA’s approval of the NDA for Avadel's Lumryz was unlawful. In the complaint, we alleged that FDA acted outside its authority under the Orphan Drug Act, when, despite ODE protecting Xywav, FDA approved the Lumryz NDA and granted Lumryz ODE based on FDA’s finding that Lumryz makes a major contribution to patient care and is therefore clinically superior to Xywav and Xyrem. On September 15, 2023, we filed a</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motion for summary judgment. On October 20, 2023, Avadel and FDA filed cross motions for summary judgment. Oral argument on these motions was held on May 10, 2024, and on October 30, 2024, the District Court issued an order denying our motion for summary judgment and granting Avadel’s and FDA’s cross-motions for summary judgment. We have appealed the matter to the United States Court of Appeals for the District of Columbia Circuit. We cannot at this time predict the timing or ultimate outcome of this litigation or the impact of this litigation on our business.</w:t>
      </w:r>
    </w:p>
    <w:p>
      <w:pPr>
        <w:spacing w:after="0" w:line="72"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In addition, in January 2023, our oxybate products began to face competition from an AG version of high-sodium oxybate pursuant to a settlement agreement we entered into with an ANDA filer. In July 2023, a volume-limited ANDA filer launched an AG version of high-sodium oxybate. These AG products have negatively impacted and are expected to continue to negatively impact Xyrem and Xywav sales for patients with narcolepsy. Specifically, a wholly owned subsidiary of Hikma launched its AG version of sodium oxybate in January 2023 and Amneal launched its AG version of sodium oxybate in July 2023. Hikma has elected to continue to sell the Hikma AG product, with royalties to be paid to us, for a total of up to four years beginning in January 2024, which election may be terminated by Hikma in accordance with the notice provisions in the agreements between the parties. We have the right to receive a meaningful royalty from Hikma on net sales of the Hikma AG product; the royalty rate was fixed for the second half of 2023. There was a substantial increase in the royalty rate beginning in January 2024, which will remain fixed for the duration of the agreement's term. We are also paid for supply of the Hikma AG product and reimbursed by Hikma for a portion of the services costs associated with the operation of the Xywav and Xyrem REMS, and distribution of the Hikma AG product. We also granted Hikma a license to launch its own generic sodium oxybate product but, if it elects to launch its own generic product, Hikma will no longer have the right to sell the Hikma AG product. In addition, Hikma would need to set up its own REMS (or join an existing REMS operated by another company), which must be open to any other company seeking to commercialize a sodium oxybate product. In our settlements with Amneal, Lupin, and Par, we granted each party the right to sell a limited volume of an AG product in the U.S. beginning on</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July 1, 2023 and ending on December 31, 2025, with royalties to be paid to us. Amneal launched its AG version of high-sodium oxybate in July 2023. At this time, Amneal has rights to sell a low-single-digit percentage of historical Xyrem sales over each 6-month sales period. At this time, Lupin and Par have elected not to launch an AG product. AG products will be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addition, any company commercializing a generic version of high-sodium oxybate would need to establish its own REMS, or join an existing REMS operated by another company.</w:t>
      </w:r>
    </w:p>
    <w:p>
      <w:pPr>
        <w:spacing w:after="0" w:line="80"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In the future, we expect our oxybate products to continue to face competition from generic versions of high-sodium oxybate pursuant to settlement agreements we entered into with multiple ANDA filers. In addition, we received notices in June 2021 and February 2023 that Lupin and Teva, respectively, filed ANDAs for generic versions of Xywav. On October 13, 2023, Lupin announced that it has received tentative approval for its application to market a generic version of Xywav. 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Avadel’s Lumryz, have had and may continue to have the effect of changing payor or formulary coverage of Xywav or Xyrem in favor of other products, and indirectly adversely affect sales of Xywav and Xyrem.</w:t>
      </w:r>
    </w:p>
    <w:p>
      <w:pPr>
        <w:spacing w:after="0" w:line="86"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In any event, we expect that the approval and launch of AG products or other generic versions of Xyrem or Xywav and the approval and launch of any other sodium oxybate product, such as Avadel’s Lumryz, or alternative product that treats narcolepsy will continue to have a negative impact on, and could have a material adverse effect on, our sales of Xywav and Xyrem and on our business, financial condition, results of operations and growth prospects.</w:t>
      </w:r>
    </w:p>
    <w:p>
      <w:pPr>
        <w:spacing w:after="0" w:line="7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We have settled patent litigation with each</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w:t>
      </w:r>
    </w:p>
    <w:p>
      <w:pPr>
        <w:spacing w:after="0" w:line="79"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In addition to our neuroscience products and product candidates, we are commercializing a portfolio of oncology products, including Rylaze, Zepzelca, Ziihera, Defitelio and Vyxeos. An inability to effectively commercialize Rylaze, Zepzelca, Ziihera, Defitelio and Vyxeos and to maximize their potential where possible through successful research and development activities could have a material adverse effect on our business, financial condition, results of operations and growth prospects.</w:t>
      </w:r>
    </w:p>
    <w:p>
      <w:pPr>
        <w:spacing w:after="0" w:line="7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7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and our recent acquisition of Chimerix, could have a material adverse effect on our business, results of operations and financial condition.</w:t>
      </w:r>
    </w:p>
    <w:p>
      <w:pPr>
        <w:spacing w:after="0" w:line="79" w:lineRule="exact"/>
        <w:rPr>
          <w:sz w:val="20"/>
          <w:szCs w:val="20"/>
          <w:color w:val="auto"/>
        </w:rPr>
      </w:pPr>
    </w:p>
    <w:p>
      <w:pPr>
        <w:ind w:right="20" w:firstLine="445"/>
        <w:spacing w:after="0" w:line="269" w:lineRule="auto"/>
        <w:rPr>
          <w:sz w:val="20"/>
          <w:szCs w:val="20"/>
          <w:color w:val="auto"/>
        </w:rPr>
      </w:pPr>
      <w:r>
        <w:rPr>
          <w:rFonts w:ascii="Times New Roman" w:cs="Times New Roman" w:eastAsia="Times New Roman" w:hAnsi="Times New Roman"/>
          <w:sz w:val="17"/>
          <w:szCs w:val="17"/>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Inflation Reduction Act of 2022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71"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w:t>
      </w:r>
    </w:p>
    <w:p>
      <w:pPr>
        <w:spacing w:after="0" w:line="81"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In addition,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and other legal matters, see Note 9, Commitments and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25" w:lineRule="exact"/>
        <w:rPr>
          <w:sz w:val="20"/>
          <w:szCs w:val="20"/>
          <w:color w:val="auto"/>
        </w:rPr>
      </w:pPr>
      <w:r>
        <w:rPr>
          <w:rFonts w:ascii="Times New Roman" w:cs="Times New Roman" w:eastAsia="Times New Roman" w:hAnsi="Times New Roman"/>
          <w:sz w:val="18"/>
          <w:szCs w:val="18"/>
          <w:color w:val="auto"/>
        </w:rPr>
        <w:t>Contingencies-Legal Proceedings of the Notes to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spacing w:after="0" w:line="91"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Finally, the U.S. government has imposed and may seek to impose additional restrictions on international trade, such as tariffs on goods generally, and pharmaceutical and biological products in particular, imported into the U.S. We conduct our business globally and have third-party suppliers located outside the U.S., including in China. In addition, 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While we cannot at this time predict the ultimate impact of such tariffs, we anticipate that our margins could be adversely affected beginning as early as fiscal 2026, depending on the ultimate scope and duration of tariffs imposed. However, given the volatility and uncertainty regarding the scope and duration of such tariffs and other aspects of U.S. and foreign government trade policies, the ultimate impact on our operations and financial results remains uncertain and could be significant. See “Global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 in Part II, Item 1A of this Quarterly Report on Form 10-Q.</w:t>
      </w:r>
    </w:p>
    <w:p>
      <w:pPr>
        <w:spacing w:after="0" w:line="84"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foregoing risks and uncertainties are discussed in greater detail, along with other risks and uncertainties, in “Risk Factors” in Part I, Item 1A of our Annual Report on Form 10-K for the year ended December 31, 2024, as supplemented by the risks and uncertainties described in "Risk Factors" in Part II, Item 1A of this Quarterly Report on Form 10-Q.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revenues and expenses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7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 (excluding amortization of acquired developed technologies)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351,712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222,847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155,730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Comparison to prior period not meaningful.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net product sales, royalties and contract revenues, and total revenues (in thousands, except percentages):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1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4"/>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580,983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Ziihera</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897,841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901,983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Comparison to prior period not meaningful.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Xywav product sales increased in the three months ended March 31, 2025, compared to the same period in 2024, primarily due to increased sales volumes of 15% and, to a lesser extent, a higher selling price, offset by higher gross to net deductions. We continue to see Xywav adoption in patients with narcolepsy driven by educational initiatives around efficacy and the benefit of lowering sodium intake. In addition, Xywav product sales were positively impacted by adoption in IH; Xywav is the only oxybate therapy approved to treat IH and we see continued growth of new prescribers. Exiting the quarter, there were 10,375 patients taking Xywav for narcolepsy and 4,225 taking Xywav for IH, an increase of approximately 5% and 39%, respectively, compared to the same period in 2024. Xyrem product sales decreased in the three months ended March 31, 2025, compared to the same period in 2024, primarily due to decreased sales volumes of 40%, due to high-sodium oxybate competition, adoption of Xywav by existing patients and higher gross to net deductions, partially offset by a higher selling price. Epidiolex/Epidyolex product sales increased in the three months ended March 31, 2025, compared to the same period in 2024, primarily due to lower gross to net deductions related to U.S. payer mix, a higher average selling price and increased sales volumes of 5%, due to increased demand, which was partially offset by lower U.S. inventory levels in the channel.</w:t>
      </w:r>
    </w:p>
    <w:p>
      <w:pPr>
        <w:spacing w:after="0" w:line="86" w:lineRule="exact"/>
        <w:rPr>
          <w:sz w:val="20"/>
          <w:szCs w:val="20"/>
          <w:color w:val="auto"/>
        </w:rPr>
      </w:pPr>
    </w:p>
    <w:p>
      <w:pPr>
        <w:ind w:firstLine="445"/>
        <w:spacing w:after="0" w:line="241" w:lineRule="auto"/>
        <w:rPr>
          <w:sz w:val="20"/>
          <w:szCs w:val="20"/>
          <w:color w:val="auto"/>
        </w:rPr>
      </w:pPr>
      <w:r>
        <w:rPr>
          <w:rFonts w:ascii="Times New Roman" w:cs="Times New Roman" w:eastAsia="Times New Roman" w:hAnsi="Times New Roman"/>
          <w:sz w:val="18"/>
          <w:szCs w:val="18"/>
          <w:color w:val="auto"/>
        </w:rPr>
        <w:t>Rylaze/Enrylaze product sales decreased in the three months ended March 31, 2025, compared to the same period in 2024, primarily due to decreased sales volumes of 4%, partially offset by a higher average selling price. Rylaze sales volumes in the three months ended March 31, 2025, have been affected by an update to the COG pediatric treatment protocols for ALL which impact the timing of asparaginase administration. While we have seen a negative impact on Rylaze product sales, we anticipate our product sales will normalize during the second quarter of 2025. We expect that Rylaze demand will continue to be driven by widespread utilization in pediatric asparaginase-based oncology protocols in the U.S. and the opportunity for future growth in the adolescent and young adult market. Zepzelca product sales decreased in the three months ended March 31, 2025, compared to the same period in 2024, primarily due to decreased sales volumes, driven by increased competition in second-line SCLC and treatment protocol updates delaying progression in first-line limited-stage SCLC patients to the second-line setting. Defitelio/defibrotide product sales decreased in the three months ended March 31, 2025, compared to the same period in 2024, primarily due to decreased sales volumes and the negative impact of foreign exchange rates, partially offset by a higher average selling price. Vyxeos product sales decreased in the three months ended March 31, 2025, compared to the same period in 2024, primarily due to a decrease in sales volumes, the negative impact of foreign exchange rates and a lower average selling price due to regional mix, offset by lower gross to net deductions.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We expect product sales, net will increase in 2025 over 2024, primarily driven by growth across our commercial portfolio, offset by a decrease in sales of Xyrem due to the impact of high-sodium oxybate competition.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 and Contract Revenues</w:t>
      </w:r>
    </w:p>
    <w:p>
      <w:pPr>
        <w:spacing w:after="0" w:line="119" w:lineRule="exact"/>
        <w:rPr>
          <w:sz w:val="20"/>
          <w:szCs w:val="20"/>
          <w:color w:val="auto"/>
        </w:rPr>
      </w:pPr>
    </w:p>
    <w:p>
      <w:pPr>
        <w:jc w:val="both"/>
        <w:ind w:right="260" w:firstLine="445"/>
        <w:spacing w:after="0" w:line="266" w:lineRule="auto"/>
        <w:rPr>
          <w:sz w:val="20"/>
          <w:szCs w:val="20"/>
          <w:color w:val="auto"/>
        </w:rPr>
      </w:pPr>
      <w:r>
        <w:rPr>
          <w:rFonts w:ascii="Times New Roman" w:cs="Times New Roman" w:eastAsia="Times New Roman" w:hAnsi="Times New Roman"/>
          <w:sz w:val="18"/>
          <w:szCs w:val="18"/>
          <w:color w:val="auto"/>
        </w:rPr>
        <w:t>Royalties and contract revenues in the three months ended March 31, 2025 were broadly in line with the same period in 2024. We expect royalties and contract revenues to increase in 2025 compared to 2024, primarily due to increased royalty revenues arising from net sales of high-sodium oxybate AG.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1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Cost of product sales increased in the three months ended March 31, 2025, compared to the same period in 2024, primarily due to changes in product mix and increased inventory provisions. Gross margin as a percentage of net product sales was 87.5% for the three months ended March 31, 2025, compared to 88.7% for the same period in 2024. We expect our cost of product sales to increase in 2025 compared to 2024, primarily driven by changes in product mix.</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in the three months ended March 31, 2025, compared to the same period in 2024, primarily due to certain Xyrem antitrust litigation settlements of $172.0 million incurred in the three months ended March 31, 2025. We expect selling, general and administrative expenses in 2025 to increase compared to 2024, primarily due to Xyrem litigation settlement expenses, the inclusion of costs relating to Chimerix, investment in our commercial portfolio, including the launch of Ziihera, along with increased compensation-related expenses.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breakout of our research and development expenses by major categories of expense (in thousands):</w:t>
      </w:r>
    </w:p>
    <w:p>
      <w:pPr>
        <w:spacing w:after="0" w:line="1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studies and outside services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222,847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$42.2 million in the three months ended March 31, 2025, compared to the same period in 2024, driven by a reduction in clinical studies and outside services costs, primarily due to lower costs related to zanidatamab as a result of timing of clinical trial activities and JZP385 (essential tremor) and JZP150 (post-traumatic stress disorder) following discontinuation of these programs.</w:t>
      </w:r>
    </w:p>
    <w:p>
      <w:pPr>
        <w:spacing w:after="0" w:line="68"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For 2025, we expect that our research and development expenses will decrease compared to 2024, primarily driven by a reduction in clinical studies and outside services costs relating to JZP385 and continued portfolio prioritization, partially offset by the inclusion of costs associated with the development of dordaviprone.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 amortization in the three months ended March 31, 2025, was in line with the same period in 2024. Intangible asset amortization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is expected to be in line with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11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Acquired IPR&amp;D expense in the three months ended March 31, 2024, related to the upfront payment of $10.0 million made in connection with our asset purchase and collaboration agreement with Redx to acquire global rights to the KRAS, Inhibitor Program.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Interest expense, net decreased by $12.4 million in the three months ended March 31, 2025, compared to the same period in 2024, primarily due to lower interest expense on the Tranche B-2 Dollar Term Loans. We expect interest expense, net to decrease in 2025 compared to 2024 primarily due to lower interest expense following the voluntary repayment of $750.0 million on our Tranche B-2 Dollar Term Loans in January 2025, partially offset by lower interest income and interest expense on the 2030 Notes.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19" w:lineRule="exact"/>
        <w:rPr>
          <w:sz w:val="20"/>
          <w:szCs w:val="20"/>
          <w:color w:val="auto"/>
        </w:rPr>
      </w:pPr>
    </w:p>
    <w:p>
      <w:pPr>
        <w:ind w:right="40" w:firstLine="445"/>
        <w:spacing w:after="0" w:line="281" w:lineRule="auto"/>
        <w:rPr>
          <w:sz w:val="20"/>
          <w:szCs w:val="20"/>
          <w:color w:val="auto"/>
        </w:rPr>
      </w:pPr>
      <w:r>
        <w:rPr>
          <w:rFonts w:ascii="Times New Roman" w:cs="Times New Roman" w:eastAsia="Times New Roman" w:hAnsi="Times New Roman"/>
          <w:sz w:val="17"/>
          <w:szCs w:val="17"/>
          <w:color w:val="auto"/>
        </w:rPr>
        <w:t>Our income tax benefit was $17.8 million for the three months ended March 31, 2025, compared to an income tax expense of $11.7 million for the same period in 2024, relating to tax arising on income or losses in Ireland, the U.K., the U.S. and certain other foreign jurisdictions, Pillar Two top-up taxes and tax deficiencies from share based compensation, offset by deductions on subsidiary equity, foreign derived intangible income benefits and tax credits. The income tax benefit in the three months ended March 31, 2025 was primarily due to the tax impact of certain Xyrem antitrust litigation settlements.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As of March 31, 2025, we had cash, cash equivalents and investments of $2.6 billion, borrowing available under our Amended Revolving Credit Facility of $885.0 million and a long-term debt principal balance of $5.4 billion. Our long-term debt included $1.9 billion aggregate principal amount of the Tranche B-2 Dollar Term Loans, $1.5 billion in aggregate principal amount of the Secured Notes, $1.0 billion principal amount of the 2026 Notes, and $1.0 billion principal amount of the 2030 Notes. We generated cash flows from operations of $429.8 million during the three months ended</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March 31, 2025, and we expect to continue to generate positive cash flows from operations which will enable us to operate our business and de-lever our balance sheet over time.</w:t>
      </w:r>
    </w:p>
    <w:p>
      <w:pPr>
        <w:spacing w:after="0" w:line="73" w:lineRule="exact"/>
        <w:rPr>
          <w:sz w:val="20"/>
          <w:szCs w:val="20"/>
          <w:color w:val="auto"/>
        </w:rPr>
      </w:pP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On April 21, 2025, we completed the tender offer and acquired all of the outstanding shares of Chimerix Common Stock at the Offer Price, representing a total consideration of approximately $935 million, funded with our cash and cash equivalents.</w:t>
      </w:r>
    </w:p>
    <w:p>
      <w:pPr>
        <w:spacing w:after="0" w:line="5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Since the closing of the acquisition of GW in May 2021, we have fully repaid our Euro Term Loan. With respect to our Tranche B-2 Dollar Term Loans, we have made voluntary repayments of $1.1 billion, $300.0 million in September 2022 and $750.0 million in January 2025, along with mandatory repayments $116.3 million. In August 2024, we repaid the $575.0 million aggregate principal amount of our 2024 Notes.</w:t>
      </w:r>
    </w:p>
    <w:p>
      <w:pPr>
        <w:spacing w:after="0" w:line="68" w:lineRule="exact"/>
        <w:rPr>
          <w:sz w:val="20"/>
          <w:szCs w:val="20"/>
          <w:color w:val="auto"/>
        </w:rPr>
      </w:pPr>
    </w:p>
    <w:p>
      <w:pPr>
        <w:ind w:right="100" w:firstLine="445"/>
        <w:spacing w:after="0" w:line="219" w:lineRule="exact"/>
        <w:rPr>
          <w:sz w:val="20"/>
          <w:szCs w:val="20"/>
          <w:color w:val="auto"/>
        </w:rPr>
      </w:pPr>
      <w:r>
        <w:rPr>
          <w:rFonts w:ascii="Times New Roman" w:cs="Times New Roman" w:eastAsia="Times New Roman" w:hAnsi="Times New Roman"/>
          <w:sz w:val="18"/>
          <w:szCs w:val="18"/>
          <w:color w:val="auto"/>
        </w:rPr>
        <w:t>We have a significant amount of debt outstanding on a consolidated basis. For further information, including details relating to our scheduled maturities with respect to our long-term debt, see Note 8, Debt,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This substantial level of debt could have important consequences to our business, including, but not limited to the factors set forth in “Risk Factors” of our Annual Report on Form 10-K for the year ended December 31, 2024,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5"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under the heading "Risks Related to our Lead Products and Product Candidates” in Part I, Item 1A of our Annual Report on Form 10-K for the year ended December 31, 2024, as supplemented by the risks described in “Risk Factors" under the heading “Delays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in Part II, Item 1A of this Quarterly Report on Form 10-Q, as well as those factors set forth in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“Risk Factors" under the heading and “To continue to grow our business, we will need to commit substantial resources, which could result in future losses or otherwise limit our opportunities or affect our ability to operate and grow our business” in Part I, Item 1A of our Annual Report on Form 10-K for the year ended December 31, 2024.</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68" w:lineRule="exact"/>
        <w:rPr>
          <w:sz w:val="20"/>
          <w:szCs w:val="20"/>
          <w:color w:val="auto"/>
        </w:rPr>
      </w:pPr>
    </w:p>
    <w:p>
      <w:pPr>
        <w:ind w:right="80" w:firstLine="445"/>
        <w:spacing w:after="0" w:line="251"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July 2024, our shareholders voted to approve our proposal to dis-apply the statutory pre-emption obligation. This current pre-emption opt-out authority is due to expire in</w:t>
      </w:r>
    </w:p>
    <w:p>
      <w:pPr>
        <w:spacing w:after="0" w:line="1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January 2026.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including at the time we are required to make repurchases of the 2026 Notes, the 2030 Notes and/or the Secured Notes, are required to repay outstanding amounts under the Amended Credit Agreement, or pay cash upon exchange of the 2026 Notes or the 2030 Notes, could likewise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Amended Credit Agreement that provides for (i) the Tranche B-2 Dollar Term Loans and Amended Revolving Credit Facility, and the indenture for the Secured Notes for certain financings.</w:t>
      </w:r>
    </w:p>
    <w:p>
      <w:pPr>
        <w:spacing w:after="0" w:line="8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During the three months ended March 31, 2025 and 2024, no shares were repurchased. As of March 31, 2025, the remaining amount authorized for repurchases under the New Repurchase Program was $350.0 million, exclusive of any brokerage commissions.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 (in thousands):</w:t>
      </w:r>
    </w:p>
    <w:p>
      <w:pPr>
        <w:spacing w:after="0" w:line="151"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4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267,229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(56,552)</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by $162.6 million in the three months ended March 31, 2025, compared to the same period in 2024, primarily due to an increase in net cash inflow related to changes in operating assets and liabilities including the impact of the timing of receipts from customers and the payment of accrued facility expenses of $52.2 million in the three months ended March 31,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$103.0 million in the three months ended March 31, 2025, compared to the same period in 2024, primarily due to the following:</w:t>
      </w:r>
    </w:p>
    <w:p>
      <w:pPr>
        <w:spacing w:after="0" w:line="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million net decrease in the acquisition of investments, driven by time deposits; partially offset by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milestone payment to Zymeworks following FDA approval of Ziihera in BTC.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$756.9 million in the three months ended March 31, 2025, compared to the same period in 2024, primarily due to:</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$750.0 million voluntary repayment on the Tranche B-2 Dollar Term Loan in January 2025;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$17.9 million in payment of employee withholding taxes related to share-based awards; partially offset by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$11.0 million in proceeds from employee equity incentive and purchase plans.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summary of our outstanding indebtedness and scheduled maturities with respect to our long-term debt principal balances is included in Note 8, Debt, of the Notes to Condensed Consolidated Financial Statements included in Part I, Item 1 of this Quarterly Report on Form 10-Q. In January 2025, we made a voluntary repayment on the Tranche B-2 Dollar Term Loans totaling $750.0 million.</w:t>
      </w:r>
    </w:p>
    <w:p>
      <w:pPr>
        <w:spacing w:after="0" w:line="68"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other changes to our financing arrangements, as set forth in Note 11, Debt, of the Notes to Consolidated Financial Statements included in our Annual Report on Form 10-K for the year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620"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to our contractual obligations as set forth in Part II, Item 7 “Management’s Discussion and Analysis of Financial Condition and Results of Operations” in our Annual Report on Form 10-K for the year ended December 31, 2024.</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31" w:lineRule="exact"/>
        <w:rPr>
          <w:sz w:val="20"/>
          <w:szCs w:val="20"/>
          <w:color w:val="auto"/>
        </w:rPr>
      </w:pPr>
    </w:p>
    <w:p>
      <w:pPr>
        <w:ind w:right="260" w:firstLine="445"/>
        <w:spacing w:after="0" w:line="245" w:lineRule="exact"/>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80" w:lineRule="exact"/>
        <w:rPr>
          <w:sz w:val="20"/>
          <w:szCs w:val="20"/>
          <w:color w:val="auto"/>
        </w:rPr>
      </w:pPr>
    </w:p>
    <w:p>
      <w:pPr>
        <w:ind w:right="60" w:firstLine="445"/>
        <w:spacing w:after="0" w:line="223"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known and unknown risks, uncertainties and other factors include, without limitation:</w:t>
      </w:r>
    </w:p>
    <w:p>
      <w:pPr>
        <w:spacing w:after="0" w:line="90" w:lineRule="exact"/>
        <w:rPr>
          <w:sz w:val="20"/>
          <w:szCs w:val="20"/>
          <w:color w:val="auto"/>
        </w:rPr>
      </w:pPr>
    </w:p>
    <w:p>
      <w:pPr>
        <w:ind w:left="740" w:right="14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revenues from our oxybate franchise would have a material adverse effect on our business, financial condition, results of operations and growth prospects.</w:t>
      </w:r>
    </w:p>
    <w:p>
      <w:pPr>
        <w:spacing w:after="0" w:line="53"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in the U.S. market that compete with, or otherwise disrupt the market for, our oxybate products has adversely affected and may continue to adversely affect sales of our oxybate products.</w:t>
      </w:r>
    </w:p>
    <w:p>
      <w:pPr>
        <w:spacing w:after="0" w:line="53" w:lineRule="exact"/>
        <w:rPr>
          <w:rFonts w:ascii="Times New Roman" w:cs="Times New Roman" w:eastAsia="Times New Roman" w:hAnsi="Times New Roman"/>
          <w:sz w:val="18"/>
          <w:szCs w:val="18"/>
          <w:color w:val="auto"/>
        </w:rPr>
      </w:pPr>
    </w:p>
    <w:p>
      <w:pPr>
        <w:ind w:left="740" w:right="160" w:hanging="327"/>
        <w:spacing w:after="0" w:line="266"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67" w:lineRule="exact"/>
        <w:rPr>
          <w:rFonts w:ascii="Times New Roman" w:cs="Times New Roman" w:eastAsia="Times New Roman" w:hAnsi="Times New Roman"/>
          <w:sz w:val="18"/>
          <w:szCs w:val="18"/>
          <w:color w:val="auto"/>
        </w:rPr>
      </w:pPr>
    </w:p>
    <w:p>
      <w:pPr>
        <w:ind w:left="740" w:right="40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increase sales of Epidiolex/Epidyolex would have a material adverse effect on our business, financial condition, results of operations and growth prospects.</w:t>
      </w:r>
    </w:p>
    <w:p>
      <w:pPr>
        <w:spacing w:after="0" w:line="53" w:lineRule="exact"/>
        <w:rPr>
          <w:rFonts w:ascii="Times New Roman" w:cs="Times New Roman" w:eastAsia="Times New Roman" w:hAnsi="Times New Roman"/>
          <w:sz w:val="18"/>
          <w:szCs w:val="18"/>
          <w:color w:val="auto"/>
        </w:rPr>
      </w:pPr>
    </w:p>
    <w:p>
      <w:pPr>
        <w:ind w:left="740" w:right="76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Xywav and Epidiolex/Epidyolex to remain our largest products, our success also depends on our ability to effectively commercialize our other existing products and potential future products.</w:t>
      </w:r>
    </w:p>
    <w:p>
      <w:pPr>
        <w:spacing w:after="0" w:line="53" w:lineRule="exact"/>
        <w:rPr>
          <w:rFonts w:ascii="Times New Roman" w:cs="Times New Roman" w:eastAsia="Times New Roman" w:hAnsi="Times New Roman"/>
          <w:sz w:val="18"/>
          <w:szCs w:val="18"/>
          <w:color w:val="auto"/>
        </w:rPr>
      </w:pPr>
    </w:p>
    <w:p>
      <w:pPr>
        <w:ind w:left="740" w:right="18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from other companies, including companies with larger sales organizations and more experience working with large and diverse product portfolios, and competition from generic drugs.</w:t>
      </w:r>
    </w:p>
    <w:p>
      <w:pPr>
        <w:spacing w:after="0" w:line="53" w:lineRule="exact"/>
        <w:rPr>
          <w:rFonts w:ascii="Times New Roman" w:cs="Times New Roman" w:eastAsia="Times New Roman" w:hAnsi="Times New Roman"/>
          <w:sz w:val="18"/>
          <w:szCs w:val="18"/>
          <w:color w:val="auto"/>
        </w:rPr>
      </w:pPr>
    </w:p>
    <w:p>
      <w:pPr>
        <w:ind w:left="740" w:hanging="327"/>
        <w:spacing w:after="0" w:line="261"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1" w:lineRule="exact"/>
        <w:rPr>
          <w:rFonts w:ascii="Times New Roman" w:cs="Times New Roman" w:eastAsia="Times New Roman" w:hAnsi="Times New Roman"/>
          <w:sz w:val="18"/>
          <w:szCs w:val="18"/>
          <w:color w:val="auto"/>
        </w:rPr>
      </w:pPr>
    </w:p>
    <w:p>
      <w:pPr>
        <w:ind w:left="740" w:hanging="327"/>
        <w:spacing w:after="0" w:line="266"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67"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access, coverage and reimbursement, the commercial success of our products depends upon their market acceptance by physicians, patients, third party payors and the medical community.</w:t>
      </w:r>
    </w:p>
    <w:p>
      <w:pPr>
        <w:spacing w:after="0" w:line="53" w:lineRule="exact"/>
        <w:rPr>
          <w:rFonts w:ascii="Times New Roman" w:cs="Times New Roman" w:eastAsia="Times New Roman" w:hAnsi="Times New Roman"/>
          <w:sz w:val="18"/>
          <w:szCs w:val="18"/>
          <w:color w:val="auto"/>
        </w:rPr>
      </w:pPr>
    </w:p>
    <w:p>
      <w:pPr>
        <w:ind w:left="740" w:right="80" w:hanging="327"/>
        <w:spacing w:after="0" w:line="312" w:lineRule="auto"/>
        <w:tabs>
          <w:tab w:leader="none" w:pos="7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31" w:lineRule="exact"/>
        <w:rPr>
          <w:rFonts w:ascii="Times New Roman" w:cs="Times New Roman" w:eastAsia="Times New Roman" w:hAnsi="Times New Roman"/>
          <w:sz w:val="17"/>
          <w:szCs w:val="17"/>
          <w:color w:val="auto"/>
        </w:rPr>
      </w:pPr>
    </w:p>
    <w:p>
      <w:pPr>
        <w:ind w:left="740" w:right="18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successfully obtain and maintain regulatory approvals for our late-stage product candidates and, if approved, to successfully launch and commercialize those product candidates.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74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53" w:lineRule="exact"/>
        <w:rPr>
          <w:rFonts w:ascii="Times New Roman" w:cs="Times New Roman" w:eastAsia="Times New Roman" w:hAnsi="Times New Roman"/>
          <w:sz w:val="18"/>
          <w:szCs w:val="18"/>
          <w:color w:val="auto"/>
        </w:rPr>
      </w:pPr>
    </w:p>
    <w:p>
      <w:pPr>
        <w:ind w:left="740" w:right="160" w:hanging="327"/>
        <w:spacing w:after="0" w:line="266"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117" w:lineRule="exact"/>
        <w:rPr>
          <w:rFonts w:ascii="Times New Roman" w:cs="Times New Roman" w:eastAsia="Times New Roman" w:hAnsi="Times New Roman"/>
          <w:sz w:val="18"/>
          <w:szCs w:val="18"/>
          <w:color w:val="auto"/>
        </w:rPr>
      </w:pPr>
    </w:p>
    <w:p>
      <w:pPr>
        <w:ind w:left="740" w:right="6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data security incidents could adversely affect our business.</w:t>
      </w:r>
    </w:p>
    <w:p>
      <w:pPr>
        <w:spacing w:after="0" w:line="117" w:lineRule="exact"/>
        <w:rPr>
          <w:rFonts w:ascii="Times New Roman" w:cs="Times New Roman" w:eastAsia="Times New Roman" w:hAnsi="Times New Roman"/>
          <w:sz w:val="18"/>
          <w:szCs w:val="18"/>
          <w:color w:val="auto"/>
        </w:rPr>
      </w:pPr>
    </w:p>
    <w:p>
      <w:pPr>
        <w:ind w:left="740" w:right="4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53"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740" w:right="26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53" w:lineRule="exact"/>
        <w:rPr>
          <w:rFonts w:ascii="Times New Roman" w:cs="Times New Roman" w:eastAsia="Times New Roman" w:hAnsi="Times New Roman"/>
          <w:sz w:val="18"/>
          <w:szCs w:val="18"/>
          <w:color w:val="auto"/>
        </w:rPr>
      </w:pPr>
    </w:p>
    <w:p>
      <w:pPr>
        <w:ind w:left="740" w:right="56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53" w:lineRule="exact"/>
        <w:rPr>
          <w:rFonts w:ascii="Times New Roman" w:cs="Times New Roman" w:eastAsia="Times New Roman" w:hAnsi="Times New Roman"/>
          <w:sz w:val="18"/>
          <w:szCs w:val="18"/>
          <w:color w:val="auto"/>
        </w:rPr>
      </w:pPr>
    </w:p>
    <w:p>
      <w:pPr>
        <w:ind w:left="740" w:right="26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retain and motivate members of our executive management team and key personnel, our operations and our future growth may be adversely affected.</w:t>
      </w:r>
    </w:p>
    <w:p>
      <w:pPr>
        <w:spacing w:after="0" w:line="5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2024, as supplemented by the risks and uncertainties described in "Risk Factors" Part II, Item 1A. in this Quarterly Report on Form 10-Q.</w:t>
      </w:r>
    </w:p>
    <w:p>
      <w:pPr>
        <w:spacing w:after="0" w:line="68" w:lineRule="exact"/>
        <w:rPr>
          <w:sz w:val="20"/>
          <w:szCs w:val="20"/>
          <w:color w:val="auto"/>
        </w:rPr>
      </w:pPr>
    </w:p>
    <w:p>
      <w:pPr>
        <w:ind w:right="20" w:firstLine="445"/>
        <w:spacing w:after="0" w:line="219" w:lineRule="exact"/>
        <w:rPr>
          <w:sz w:val="20"/>
          <w:szCs w:val="20"/>
          <w:color w:val="auto"/>
        </w:rPr>
      </w:pPr>
      <w:r>
        <w:rPr>
          <w:rFonts w:ascii="Times New Roman" w:cs="Times New Roman" w:eastAsia="Times New Roman" w:hAnsi="Times New Roman"/>
          <w:sz w:val="18"/>
          <w:szCs w:val="18"/>
          <w:color w:val="auto"/>
        </w:rPr>
        <w:t>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60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to our market risk disclosures as set forth in Part II, Item 7A “Quantitative and Qualitative Disclosures About Market Risk” in our Annual Report on Form 10-K for the year ended December 31, 2024.</w:t>
      </w:r>
    </w:p>
    <w:p>
      <w:pPr>
        <w:spacing w:after="0" w:line="29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right="240" w:firstLine="445"/>
        <w:spacing w:after="0" w:line="221" w:lineRule="exact"/>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We have carried out an evaluation under the supervision and with the participation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including our principal executive officer and principal financial officer, of our disclosure controls and procedures (as defined in Rule 13a-15(e) and 15d-15(e) of the Exchange Act) as of the end of the period covered by this Quarterly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Based on their evaluation, our principal executive officer and principal financial officer concluded that our disclosure controls and procedures were effective as of March 31, 2025.</w:t>
      </w:r>
    </w:p>
    <w:p>
      <w:pPr>
        <w:spacing w:after="0" w:line="89" w:lineRule="exact"/>
        <w:rPr>
          <w:sz w:val="20"/>
          <w:szCs w:val="20"/>
          <w:color w:val="auto"/>
        </w:rPr>
      </w:pPr>
    </w:p>
    <w:p>
      <w:pPr>
        <w:ind w:right="5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Limitations on the Effectiveness of Controls</w:t>
      </w:r>
      <w:r>
        <w:rPr>
          <w:rFonts w:ascii="Times New Roman" w:cs="Times New Roman" w:eastAsia="Times New Roman" w:hAnsi="Times New Roman"/>
          <w:sz w:val="18"/>
          <w:szCs w:val="18"/>
          <w:color w:val="auto"/>
        </w:rPr>
        <w:t>. A control system, no matter how well conceived and operated, can provide only reasonable,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absolute, assurance that the objectives of the control system are met. Because of inherent limitations in all</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73" w:lineRule="exact"/>
        <w:rPr>
          <w:sz w:val="20"/>
          <w:szCs w:val="20"/>
          <w:color w:val="auto"/>
        </w:rPr>
      </w:pPr>
    </w:p>
    <w:p>
      <w:pPr>
        <w:ind w:right="4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During the quarter ended March 31, 2025, there were no changes to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800" w:firstLine="445"/>
        <w:spacing w:after="0" w:line="239" w:lineRule="exact"/>
        <w:rPr>
          <w:sz w:val="20"/>
          <w:szCs w:val="20"/>
          <w:color w:val="auto"/>
        </w:rPr>
      </w:pPr>
      <w:r>
        <w:rPr>
          <w:rFonts w:ascii="Times New Roman" w:cs="Times New Roman" w:eastAsia="Times New Roman" w:hAnsi="Times New Roman"/>
          <w:sz w:val="18"/>
          <w:szCs w:val="18"/>
          <w:color w:val="auto"/>
        </w:rPr>
        <w:t>The information required to be set forth under this Item 1 is incorporated by reference to Note 9, Commitments and Contingencies—Legal Proceedings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30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December 31, 2024. Our risk factors disclosed in Part I, Item 1A of our Annual Report on Form 10-K for the year ended December 31, 2024, provide additional discussion regarding these supplemental risks and we encourage you to read and carefully consider all of the risk factors disclosed in Part I, Item 1A of our Annual Report on Form 10-K for the year ended December 31, 2024, together with the below, for a more complete understanding of the risks and uncertainties material to our business.</w:t>
      </w:r>
    </w:p>
    <w:p>
      <w:pPr>
        <w:spacing w:after="0" w:line="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67"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This includes efforts by individual states in the U.S. to pass legislation and implement regulations designed to control pharmaceutical and biological product pricing, including by establishing Prescription Drug Affordability Boards (or similar entities) to review high-cost drugs and, in some cases, set upper payment limits and implementing marketing cost disclosure and transparency measures. Further, the IRA,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 CMS has issued final guidance implementing the Drug Price Negotiation Program in which it finalized certain policies governing the selection of drugs for negotiation. Among other things, CMS finalized definitions of “qualifying single source drug” and “marketed” that, especially if they persist, could further disincentivize innovation. On April 15, 2025, the current administration issued an executive order directing HHS to make changes to the Drug Price Negotiation Program. In addition, under the Medicaid Drug Rebate Program, rebates owed by manufacturers are no longer subject to a cap on the rebate amount effective January 1, 2024, which may adversely affect our rebate liability. The foregoing may effectively reduce the prices at which our products are sold, which would have a negative adverse effect on our revenues.</w:t>
      </w:r>
    </w:p>
    <w:p>
      <w:pPr>
        <w:spacing w:after="0" w:line="8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address the scope of orphan drug exclusivity and to facilitate the importation of drugs into the U.S. from other countries. 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75"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federal and state policy makers have taken and may continue to try to take steps regarding health care coverage beyond the Affordable Care Act, which could have ramifications for the pharmaceutical industry. Additional legislative changes, regulatory changes, or guidance could be adopted, which may impact the marketing approvals and reimbursement for our products and product candidates. For example, there has been increasing legislative, regulatory,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enforcement interest in the U.S.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beyond the changes enacted by the IRA.</w:t>
      </w:r>
    </w:p>
    <w:p>
      <w:pPr>
        <w:spacing w:after="0" w:line="7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our products, including Xywav and Xyrem most recently in January 2025, and there is no guarantee that we will not make similar price adjustments to our products in the future or that price adjustments we have taken or may take in the future will not negatively affect our sales volumes and revenues. There is no guarantee that such price adjustments will not negatively affect our reputation and our ability to secure and maintain reimbursement coverage for our products, which could limit the prices that we charge for our products, limit the commercial opportunities for our products and/or negatively impact revenues from sales of our products.</w:t>
      </w:r>
    </w:p>
    <w:p>
      <w:pPr>
        <w:spacing w:after="0" w:line="84"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Government investigations or U.S. Congressional oversight with respect to drug pricing or our other business practices could cause us to incur significant expense and could distract us from the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 For more information, see the risk factor under the heading “</w:t>
      </w:r>
      <w:r>
        <w:rPr>
          <w:rFonts w:ascii="Times New Roman" w:cs="Times New Roman" w:eastAsia="Times New Roman" w:hAnsi="Times New Roman"/>
          <w:sz w:val="18"/>
          <w:szCs w:val="18"/>
          <w:i w:val="1"/>
          <w:iCs w:val="1"/>
          <w:color w:val="auto"/>
        </w:rPr>
        <w:t>We are subject to significant ongoing regulatory obligations and oversight, which may subject us to civil or criminal proceedings,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investigations, or penalties and may result in significant additional expense and limit our ability to commercialize our products</w:t>
      </w:r>
      <w:r>
        <w:rPr>
          <w:rFonts w:ascii="Times New Roman" w:cs="Times New Roman" w:eastAsia="Times New Roman" w:hAnsi="Times New Roman"/>
          <w:sz w:val="18"/>
          <w:szCs w:val="18"/>
          <w:color w:val="auto"/>
        </w:rPr>
        <w:t>” in Part I, Item 1A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for year ended December 31, 2024.</w:t>
      </w:r>
    </w:p>
    <w:p>
      <w:pPr>
        <w:spacing w:after="0" w:line="81" w:lineRule="exact"/>
        <w:rPr>
          <w:sz w:val="20"/>
          <w:szCs w:val="20"/>
          <w:color w:val="auto"/>
        </w:rPr>
      </w:pPr>
    </w:p>
    <w:p>
      <w:pPr>
        <w:ind w:right="80" w:firstLine="445"/>
        <w:spacing w:after="0" w:line="252" w:lineRule="auto"/>
        <w:rPr>
          <w:sz w:val="20"/>
          <w:szCs w:val="20"/>
          <w:color w:val="auto"/>
        </w:rPr>
      </w:pPr>
      <w:r>
        <w:rPr>
          <w:rFonts w:ascii="Times New Roman" w:cs="Times New Roman" w:eastAsia="Times New Roman" w:hAnsi="Times New Roman"/>
          <w:sz w:val="18"/>
          <w:szCs w:val="18"/>
          <w:color w:val="auto"/>
        </w:rPr>
        <w:t>We expect that legislators, policymakers and healthcare insurance funds in Europe and other international markets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as well as clawbacks and revenue caps. For example, in the U.K., the cap on NHS spending on branded medicines agreed between the U.K. government and industry for 2019 to 2023 has remained unaltered despite higher than expected growth in NHS use of branded medicines, resulting in significant increases to the industry level revenue clawback rate payable on sales of branded medicines to the NHS. In the EU, a trend in some EU member states is for medicinal products to be reimbursed based on the relative price of competitor products, which may undervalue newer innovative products. On April 26, 2023, the EC adopted proposals for a new Directive and a new Regulation, which revise and replace the existing EU general pharmaceutical legislation. This proposal includes increased transparency on research and development costs or public contributions to these costs with a view to strengthen the negotiating position of national competent authorities of the EU member states responsible for pricing and reimbursement, as well as reinforced cooperation with these authorities on pricing and reimbursement matters. On April 10, 2024, the European Parliament adopted its position on the proposals, whose legislative processes are expected to continue in 2025.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85"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p>
    <w:p>
      <w:pPr>
        <w:spacing w:after="0" w:line="67"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The U.S. and other countries have imposed and may continue to impose new trade restrictions and export regulations, have levied tariffs and taxes on certain goods, and could continue to significantly increase tariffs on a broad array of goods, including pharmaceutical and biological products.</w:t>
      </w:r>
    </w:p>
    <w:p>
      <w:pPr>
        <w:spacing w:after="0" w:line="81"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While we are an Irish company headquartered in Dublin, Ireland, we derive the majority of our revenues from sales of our products in the U.S. We conduct business globally and our operations, including third-party suppliers, span numerous countries outside the U.S. In particular, we have a manufacturing and development facility in Athlone, Ireland where we manufacture Xywav and Xyrem, a manufacturing and development facility in Kent Science Park, U.K. where we produce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Epidiolex/Epidyolex, and a manufacturing plant in Villa Guardia, Italy where we produce defibrotide drug substance. In addition, we rely on our supplier in China for the manufacture of Ziihera.</w:t>
      </w:r>
    </w:p>
    <w:p>
      <w:pPr>
        <w:spacing w:after="0" w:line="54"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2025, President Trump signed a series of executive orders imposing various reciprocal tariffs. Most pharmaceutical products are currently exempt from the reciprocal tariffs. However, at President Trump's request, the U.S. Secretary of Commerce has initiated a Section 232 investigation that is expected to result in new tariffs on pharmaceutical products. Such tariffs will result in additional costs on our business, including costs with respect to APIs and other raw materials upon which our business depends and will generally increase our manufacturing costs. In addition, such tariffs will increase our supply chain complexity and could also potentially disrupt our existing supply chain. Moreover, other governments have imposed and may continue to impose retaliatory tariffs, trade restrictions or trade barriers on our products, which may impose additional costs and complexity on our business.</w:t>
      </w:r>
    </w:p>
    <w:p>
      <w:pPr>
        <w:spacing w:after="0" w:line="79" w:lineRule="exact"/>
        <w:rPr>
          <w:sz w:val="20"/>
          <w:szCs w:val="20"/>
          <w:color w:val="auto"/>
        </w:rPr>
      </w:pPr>
    </w:p>
    <w:p>
      <w:pPr>
        <w:ind w:right="80" w:firstLine="441"/>
        <w:spacing w:after="0" w:line="271" w:lineRule="auto"/>
        <w:rPr>
          <w:sz w:val="20"/>
          <w:szCs w:val="20"/>
          <w:color w:val="auto"/>
        </w:rPr>
      </w:pPr>
      <w:r>
        <w:rPr>
          <w:rFonts w:ascii="Times New Roman" w:cs="Times New Roman" w:eastAsia="Times New Roman" w:hAnsi="Times New Roman"/>
          <w:sz w:val="17"/>
          <w:szCs w:val="17"/>
          <w:color w:val="auto"/>
        </w:rPr>
        <w:t>While we cannot at this time predict the ultimate impact of such tariffs, we anticipate that that our margins could be adversely affected beginning as early as fiscal 2026, depending on the ultimate scope and duration of tariffs imposed. Additionally, it is possible that such tariffs could affect imports of APIs and other raw materials used in our products, or our business may be adversely impacted by retaliatory trade measures taken by other countries, including restricted access to APIs or other raw materials used in our products, further disrupting our supply chain and increasing our costs. Given the nature of our products, relocating the manufacturing supply in response to tariffs and other trade restrictions would be a complex, costly and time-consuming process making it difficult for us to react quickly to a rapidly changing environment. In this regard, it would take a significant amount of time and expense to implement and execute the necessary technology transfer to, and to qualify, new suppliers for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w:t>
      </w:r>
    </w:p>
    <w:p>
      <w:pPr>
        <w:spacing w:after="0" w:line="6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Further, the continued threats of new or increased tariffs, sanctions, trade restrictions and trade barriers as well as ongoing changes in U.S. and foreign government trade policies, including potential modifications to existing trade agreements, have had and may continue to have a generally disruptive impact on the global economy and, therefore, negatively impact revenues from sales of our products. Given the volatility and uncertainty regarding the scope and duration of such tariffs and other aspects of U.S. and foreign government trade policies, the ultimate impact on our operations and financial results is uncertain and could be significant. In any event, further trade restrictions and export regulations, or new or increased tariffs, including further retaliatory measures, could increase our supply chain complexity and our manufacturing costs, decrease our margins, reduce the competitiveness of our products, or restrict our ability to sell our products, provide services or purchase necessary equipment and supplies. Any of these factors could have a material adverse effect on our business, financial condition, results of operations and growth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our acquisition of Chimerix.</w:t>
      </w:r>
    </w:p>
    <w:p>
      <w:pPr>
        <w:spacing w:after="0" w:line="121" w:lineRule="exact"/>
        <w:rPr>
          <w:sz w:val="20"/>
          <w:szCs w:val="20"/>
          <w:color w:val="auto"/>
        </w:rPr>
      </w:pPr>
    </w:p>
    <w:p>
      <w:pPr>
        <w:ind w:right="40" w:firstLine="486"/>
        <w:spacing w:after="0" w:line="269" w:lineRule="auto"/>
        <w:rPr>
          <w:sz w:val="20"/>
          <w:szCs w:val="20"/>
          <w:color w:val="auto"/>
        </w:rPr>
      </w:pPr>
      <w:r>
        <w:rPr>
          <w:rFonts w:ascii="Times New Roman" w:cs="Times New Roman" w:eastAsia="Times New Roman" w:hAnsi="Times New Roman"/>
          <w:sz w:val="17"/>
          <w:szCs w:val="17"/>
          <w:color w:val="auto"/>
        </w:rPr>
        <w:t>On April 21, 2025, we completed the acquisition of all the outstanding shares of Chimerix Common Stock. As a result of this, Chimerix became an indirect wholly owned subsidiary of the Company. The success of the acquisition will depend, in part, on our ability to realize the anticipated benefits from successfully combining our and Chimerix’s operations and we plan on devoting management attention and resources to integrating our business practices and operations with Chimerix’s so that we can fully realize the anticipated benefits of the acquisition. In addition, Chimerix’s NDA for dordaviprone seeking accelerated approval for treatment of H3 K27M-mutant diffuse glioma in adult and pediatric patients with progressive disease following prior therapy may not be approved by FDA in a timely manner or at all. Moreover, dordaviprone, if approved, may not be successful or they may require significantly greater resources and investments than originally anticipated. The transaction could also result in the assumption of unknown or contingent liabilities. In addition, difficulties may arise during the process of combining the operations of our companies that could result in the failure to achieve revenue that we anticipate, the loss of key employees that may be difficult to replace in the very competitive pharmaceutical field, the failure to harmonize both companies’ corporate cultures, the disruption of each company’s ongoing businesses or inconsistencies in standards, controls, procedures and policies that adversely affect our ability to maintain relationships with suppliers, collaboration partners, clinical trial investigators or managers of our clinical trials. As a result, the anticipated benefits of the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6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5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Times New Roman" w:cs="Times New Roman" w:eastAsia="Times New Roman" w:hAnsi="Times New Roman"/>
          <w:sz w:val="18"/>
          <w:szCs w:val="18"/>
          <w:color w:val="212529"/>
        </w:rPr>
        <w:t>we may be unable to identify or consummate</w:t>
      </w:r>
      <w:r>
        <w:rPr>
          <w:rFonts w:ascii="Times New Roman" w:cs="Times New Roman" w:eastAsia="Times New Roman" w:hAnsi="Times New Roman"/>
          <w:sz w:val="18"/>
          <w:szCs w:val="18"/>
          <w:color w:val="auto"/>
        </w:rPr>
        <w:t xml:space="preserve"> suitable acquisition or in-licensing opportunities, and </w:t>
      </w:r>
      <w:r>
        <w:rPr>
          <w:rFonts w:ascii="Times New Roman" w:cs="Times New Roman" w:eastAsia="Times New Roman" w:hAnsi="Times New Roman"/>
          <w:sz w:val="18"/>
          <w:szCs w:val="18"/>
          <w:color w:val="212529"/>
        </w:rPr>
        <w:t>this inability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impair our ability to grow our business. </w:t>
      </w:r>
      <w:r>
        <w:rPr>
          <w:rFonts w:ascii="Times New Roman" w:cs="Times New Roman" w:eastAsia="Times New Roman" w:hAnsi="Times New Roman"/>
          <w:sz w:val="18"/>
          <w:szCs w:val="18"/>
          <w:color w:val="000000"/>
        </w:rPr>
        <w:t>Other companies, many of which may have substantially greater financial, sales and marketing resources, compete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with us for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these opportunities. Even if appropriate opportunities are available, we may not be able to successfully identify them, or we may not have the financial resources necessary to pursue them.</w:t>
      </w:r>
    </w:p>
    <w:p>
      <w:pPr>
        <w:spacing w:after="0" w:line="54" w:lineRule="exact"/>
        <w:rPr>
          <w:sz w:val="20"/>
          <w:szCs w:val="20"/>
          <w:color w:val="auto"/>
        </w:rPr>
      </w:pPr>
    </w:p>
    <w:p>
      <w:pPr>
        <w:ind w:right="300" w:firstLine="445"/>
        <w:spacing w:after="0" w:line="253" w:lineRule="auto"/>
        <w:rPr>
          <w:sz w:val="20"/>
          <w:szCs w:val="20"/>
          <w:color w:val="auto"/>
        </w:rPr>
      </w:pPr>
      <w:r>
        <w:rPr>
          <w:rFonts w:ascii="Times New Roman" w:cs="Times New Roman" w:eastAsia="Times New Roman" w:hAnsi="Times New Roman"/>
          <w:sz w:val="18"/>
          <w:szCs w:val="18"/>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or from financial difficulties of our collaborators. </w:t>
      </w:r>
      <w:r>
        <w:rPr>
          <w:rFonts w:ascii="Times New Roman" w:cs="Times New Roman" w:eastAsia="Times New Roman" w:hAnsi="Times New Roman"/>
          <w:sz w:val="18"/>
          <w:szCs w:val="18"/>
          <w:color w:val="212529"/>
        </w:rPr>
        <w:t>Further, while we seek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mitigate 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Times New Roman" w:cs="Times New Roman" w:eastAsia="Times New Roman" w:hAnsi="Times New Roman"/>
          <w:sz w:val="18"/>
          <w:szCs w:val="18"/>
          <w:color w:val="000000"/>
        </w:rPr>
        <w:t>In addition, product and product candidate acquisitions, particularly when the acquisition takes the form of a merger or other business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consolidation, such as our acquisition of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8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substantial debt and/or engage in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regulatory requirements, including in some cases clearance from the FTC;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to secure shareholder approval of the transaction;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historical core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continue to expand, our existing operational, technical, financial and administrative infrastructure;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difficulties in integrating acquired products and product candidates into our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assimilating employees and corporate cultures;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managers and other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write down assets or recognize impairment charges;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to integration of operations and corporate and administrative infrastructures;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liabilities for activities of or related to the acquired business or its operations, products or product candidates.</w:t>
      </w:r>
    </w:p>
    <w:p>
      <w:pPr>
        <w:spacing w:after="0" w:line="11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212529"/>
        </w:rPr>
        <w:t xml:space="preserve">As a result of these or other factors, products or product candidates we acquire, or obtain licenses to, may not produce the revenues, earnings or business synergies that we anticipated, may not result in regulatory approvals, and may not perform as expected. </w:t>
      </w:r>
      <w:r>
        <w:rPr>
          <w:rFonts w:ascii="Times New Roman" w:cs="Times New Roman" w:eastAsia="Times New Roman" w:hAnsi="Times New Roman"/>
          <w:sz w:val="18"/>
          <w:szCs w:val="18"/>
          <w:color w:val="000000"/>
        </w:rPr>
        <w:t>For example, in May 2021, we made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substantial investment in Epidiolex and certain other products and technologies acquired in our acquisition of GW. The total consideration paid by us for the entire issued share capital of GW was $7.2 billion. Additionally, in April 2025, we completed our acquisition of Chimerix, a biopharmaceutical company the lead clinical asset of which is dordaviprone, a novel first-in-class small molecule treatment in development for H3 K27M-mutant diffuse glioma, a rare, high-grade brain tumor that most commonly affects children and young adults. The total consideration paid by us for the outstanding shares of Chimerix Common Stock was approximately $935 million. The success of our acquisition of GW and Chimerix will depend, in part, on our ability to realize the anticipated benefits from each of the acquisitions, which benefits may not be realized at the expected levels within the expected timeframe, or at all, or may take longer to realize or cost more than expected, which could materially and adversely affect our business, financial condition, results of operations and growth prospects. In this regard, in the third quarter of 2022, we recorded a $133.6 million asset impairment charge as a result of the decision to discontinue the nabiximols program that we acquired as part of our acquisition of GW. In any event, f</w:t>
      </w:r>
      <w:r>
        <w:rPr>
          <w:rFonts w:ascii="Times New Roman" w:cs="Times New Roman" w:eastAsia="Times New Roman" w:hAnsi="Times New Roman"/>
          <w:sz w:val="18"/>
          <w:szCs w:val="18"/>
          <w:color w:val="212529"/>
        </w:rPr>
        <w:t>ailure to manage effectively our growth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through acquisitions or in-licensing transactions could adversely affect our growth prospects, business, results of operations and financial condition.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obtaining, maintaining and defending intellectual property protection for our products and product candidates, including protection of their use and methods of manufacturing.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degree of protection to be afforded by our proprietary rights is difficult to predict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applications, or those of our licensors or partners, may not result in issued patents;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therapeutically equivalent products without infringing our patents, or those of our licensors, such as products that are not covered by the claims of our patents, or for which fall outside the exclusive rights granted under our license agreements;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covering certain aspects of our products or the use thereof could be delisted from FDA's Orange Book as a result of challenges by third parties before FDA or the courts;</w:t>
      </w:r>
    </w:p>
    <w:p>
      <w:pPr>
        <w:spacing w:after="0" w:line="5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manufacture products in countries where we have not applied for patent protection or that have a different scope of patent protection or that do not respect our patents; 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issued patents that prevent the sale of our products or require licensing and the payment of significant fees or royalties.</w:t>
      </w:r>
    </w:p>
    <w:p>
      <w:pPr>
        <w:spacing w:after="0" w:line="117"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Patent enforcement generally must be sought on a country-by-country basis, and patent validity and infringement may be judged differently in different countries. The legal systems of certain countries, particularly certain developing countries, may lack maturity or consistency when it comes to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w:t>
      </w:r>
    </w:p>
    <w:p>
      <w:pPr>
        <w:spacing w:after="0" w:line="7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U.S. and other countries may diminish the value of our intellectual property portfolio. Any patent may be challenged, and potentially invalidated or held unenforceable, including through patent litigation or through administrative procedures that permit challenges to patent validity. Patents can also be designed around by an ANDA or Section 505(b)(2) NDA that avoids infringement of our intellectual property.</w:t>
      </w:r>
    </w:p>
    <w:p>
      <w:pPr>
        <w:spacing w:after="0" w:line="7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 In April 2022, we received notice from Lupin that it had filed a paragraph IV certification regarding a newly-issued patent listed in the Orange Book for Xywav. In February 2023, we received notice from Teva that it had filed an ANDA seeking approval to market a generic version of Xywav, which notice included a paragraph IV certification with respect to certain of our patents listed in FDA’s Orange Book for Xywav. For additional information on litigation involving these matters, see Note 9, Commitments and Contingencies—Legal Proceedings of the Notes to Consolidated Financial Statements, included in Part I of this Quarterly Report on Form 10-Q.</w:t>
      </w:r>
    </w:p>
    <w:p>
      <w:pPr>
        <w:spacing w:after="0" w:line="84"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have settled patent litigation with each of the ten companies seeking to introduce generic versions of Xyrem in the U.S. by granting those companies licenses to launch their generic products (and in certain cases, an AG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methods of use patents listed in the Orange Book, that expire in 2033 that cover treatment methods included in the Xyrem label related to a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Since Xyrem’s regulatory exclusivity has expired in the EU, we are aware that generic or hybrid generic applications have been approved by various EU regulatory authorities, and additional generic or hybrid generic applications may be submitted and approved.</w:t>
      </w:r>
    </w:p>
    <w:p>
      <w:pPr>
        <w:spacing w:after="0" w:line="54"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Notwithstanding our patents listed in FDA’s Orange Book for Epidiolex and settlement agreements, additional third parties may also attempt to introduce generic versions of Epidiolex that design around our patents or assert that our patents are invalid or otherwise unenforceable.</w:t>
      </w:r>
    </w:p>
    <w:p>
      <w:pPr>
        <w:spacing w:after="0" w:line="7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 March 2025, we received a notice from Almaject that it had filed with FDA an ANDA for a generic version of Defitelio (defibrotide sodium). The notice from Almaject included a paragraph IV certification respect to certain of our patents listed in FDA’s Orange Book for Defitelio on the date of the notice. The listed patents relate generally to the Defitelio drug product and its approved use. For additional information on litigation involving this matter, see Note 9, Commitments and Contingencies—Legal Proceedings of the Notes to Consolidated Financial Statements, included in Part I of this Quarterly Report on Form 10-Q.</w:t>
      </w:r>
    </w:p>
    <w:p>
      <w:pPr>
        <w:spacing w:after="0" w:line="75" w:lineRule="exact"/>
        <w:rPr>
          <w:sz w:val="20"/>
          <w:szCs w:val="20"/>
          <w:color w:val="auto"/>
        </w:rPr>
      </w:pPr>
    </w:p>
    <w:p>
      <w:pPr>
        <w:ind w:firstLine="445"/>
        <w:spacing w:after="0" w:line="224" w:lineRule="exact"/>
        <w:rPr>
          <w:sz w:val="20"/>
          <w:szCs w:val="20"/>
          <w:color w:val="auto"/>
        </w:rPr>
      </w:pPr>
      <w:r>
        <w:rPr>
          <w:rFonts w:ascii="Times New Roman" w:cs="Times New Roman" w:eastAsia="Times New Roman" w:hAnsi="Times New Roman"/>
          <w:sz w:val="18"/>
          <w:szCs w:val="18"/>
          <w:color w:val="auto"/>
        </w:rPr>
        <w:t>On May 13, 2021, we filed a patent infringement suit against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In March 2024, the jury upheld the validity of both of our asserted patents and awarded us damages for infringement for past sales of Lumryz in the U.S. For additional information on litigation involving this matter, see “</w:t>
      </w:r>
      <w:r>
        <w:rPr>
          <w:rFonts w:ascii="Times New Roman" w:cs="Times New Roman" w:eastAsia="Times New Roman" w:hAnsi="Times New Roman"/>
          <w:sz w:val="18"/>
          <w:szCs w:val="18"/>
          <w:i w:val="1"/>
          <w:iCs w:val="1"/>
          <w:color w:val="auto"/>
        </w:rPr>
        <w:t>Avadel Litigation</w:t>
      </w:r>
      <w:r>
        <w:rPr>
          <w:rFonts w:ascii="Times New Roman" w:cs="Times New Roman" w:eastAsia="Times New Roman" w:hAnsi="Times New Roman"/>
          <w:sz w:val="18"/>
          <w:szCs w:val="18"/>
          <w:color w:val="auto"/>
        </w:rPr>
        <w:t>” in Note 9, Commitments and Contingencies—Legal Proceedings of the Notes to Consolidated Financial Statements, included in Part I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64" w:lineRule="exact"/>
        <w:rPr>
          <w:sz w:val="20"/>
          <w:szCs w:val="20"/>
          <w:color w:val="auto"/>
        </w:rPr>
      </w:pPr>
    </w:p>
    <w:p>
      <w:pPr>
        <w:ind w:right="60" w:firstLine="445"/>
        <w:spacing w:after="0" w:line="226" w:lineRule="exact"/>
        <w:rPr>
          <w:sz w:val="20"/>
          <w:szCs w:val="20"/>
          <w:color w:val="auto"/>
        </w:rPr>
      </w:pPr>
      <w:r>
        <w:rPr>
          <w:rFonts w:ascii="Times New Roman" w:cs="Times New Roman" w:eastAsia="Times New Roman" w:hAnsi="Times New Roman"/>
          <w:sz w:val="18"/>
          <w:szCs w:val="18"/>
          <w:color w:val="auto"/>
        </w:rPr>
        <w:t>In July and August 2024, Zepzelca ANDA filers sent us notices that they had filed ANDAs seeking approval to market a generic version of Zepzelca (lurbinectedin), which notices each included a paragraph IV certification with respect to our Orange Book listed patent for Zepzelca on the date of the receipt of the applicable notice. In September 2024, we filed patent infringement suits against these ANDA filers. For additional information on litigation involving this matter, see “</w:t>
      </w:r>
      <w:r>
        <w:rPr>
          <w:rFonts w:ascii="Times New Roman" w:cs="Times New Roman" w:eastAsia="Times New Roman" w:hAnsi="Times New Roman"/>
          <w:sz w:val="18"/>
          <w:szCs w:val="18"/>
          <w:i w:val="1"/>
          <w:iCs w:val="1"/>
          <w:color w:val="auto"/>
        </w:rPr>
        <w:t>Zepzelca Patent Litigation</w:t>
      </w:r>
      <w:r>
        <w:rPr>
          <w:rFonts w:ascii="Times New Roman" w:cs="Times New Roman" w:eastAsia="Times New Roman" w:hAnsi="Times New Roman"/>
          <w:sz w:val="18"/>
          <w:szCs w:val="18"/>
          <w:color w:val="auto"/>
        </w:rPr>
        <w:t>” in Note 9, Commitments and Contingencies—Legal Proceedings of the Notes to Consolidated Financial Statements, included in Part I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63"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also currently rely in part on trade secret protection for several of our products, including Defitelio, and product candidates.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FDA, including due to a reduction in FDA’s workforce and/or inadequate funding for FDA, could prevent FDA from performing normal functions on which our business relies, which could negatively impact our business.</w:t>
      </w:r>
    </w:p>
    <w:p>
      <w:pPr>
        <w:spacing w:after="0" w:line="51"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ability of FDA to review and approve new products or review other regulatory submissions can be affected by a variety of factors, including statutory, regulatory and policy changes, inadequate government budget and funding levels, a reduction in FDA’s workforce and its ability to hire and retain key personnel. Disruptions at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FDA and other related government agencies. For example, the current President Trump administration recently established the Department of Government Efficiency, which implemented a federal government hiring freeze and announced certain additional efforts to reduce federal government employee headcount, including by eliminating 3,500 employees from FDA. It is unclear how these executive actions or other potential actions by the Trump Administration or other parts of the federal government will impact FDA or other regulatory authorities that oversee our business. The reductions in FDA’s workforce and budgetary pressures could significantly impact the ability of FDA to timely review and process our regulatory submissions or take other actions critical to the marketing of our products which could have a material adverse effect on our business. For example, our recently acquired product candidate dordaviprone has a target PDUFA action date of</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August 18, 2025. If approval of the dordaviprone NDA is granted by FDA, the approval may may not happen on or prior to the target PDUFA action date, including as a result of recent reductions in FDA’s workforce. Any delay in obtaining, or inability to obtain, regulatory approval of the dordaviprone NDA would delay or prevent commercialization of the resulting product and could increase our costs. As a result, the anticipated benefits of the Chimerix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31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On July 31, 2024, we announced that our board of directors had authorized the New Repurchase Program pursuant to which our board of directors authorized us to repurchase our ordinary shares for up to an aggregate purchase price of $500.0 million, exclusive of any brokerage commissions. Under the New Repurchase Program, which has no expiration date, we may repurchase our ordinary shares from time to time by any methods and/or structures permitted by applicable law. During the three months ended March 31, 2025, we did not repurchase any of our ordinary shares. As of March 31, 2025, the remaining amount authorized under the New Repurchase Program was $350.0 million.</w:t>
      </w:r>
    </w:p>
    <w:p>
      <w:pPr>
        <w:spacing w:after="0" w:line="75"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The timing and amount of repurchases will depend on a variety of factors, including the price of our ordinary shares, alternative investment opportunities, restrictions under our outstanding credit agreement and the indenture for our Secured Notes, corporate and regulatory requirements, and market conditions. The New Repurchase Program may be modified, suspended or discontinued at any time without our prior notice.</w:t>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21"/>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1008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8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Borders>
              <w:right w:val="single" w:sz="8" w:color="CCEEFF"/>
            </w:tcBorders>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spacing w:after="0" w:line="203"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Transaction Agreement, dated as of February 3, 2021, by and among Jazz Pharmaceuticals UK Holdings Limited, Jazz Pharmaceuticals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Public Limited Company and GW Pharmaceuticals PLC (incorporated herein by reference to Exhibit 2.1 in Jazz Pharmaceuticals plc’s</w:t>
              </w:r>
            </w:hyperlink>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Current Report on Form 8-K (File No. 001-33500), as filed with the SEC on February 4,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Amended and Restated Memorandum and Articles of Association of Jazz Pharmaceuticals plc, as amended on August 4, 2016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1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(incorporated herein by reference to Exhibit 3.1 in Jazz Pharmaceuticals plc’s Quarterly Report on Form 10-Q (File No. 001-</w:t>
              </w:r>
            </w:hyperlink>
          </w:p>
        </w:tc>
        <w:tc>
          <w:tcPr>
            <w:tcW w:w="980" w:type="dxa"/>
            <w:vAlign w:val="bottom"/>
            <w:gridSpan w:val="11"/>
          </w:tcPr>
          <w:p>
            <w:pPr>
              <w:spacing w:after="0" w:line="156" w:lineRule="exact"/>
              <w:rPr>
                <w:rFonts w:ascii="Times New Roman" w:cs="Times New Roman" w:eastAsia="Times New Roman" w:hAnsi="Times New Roman"/>
                <w:sz w:val="18"/>
                <w:szCs w:val="18"/>
                <w:color w:val="0000FF"/>
                <w:w w:val="93"/>
              </w:rPr>
            </w:pPr>
            <w:hyperlink r:id="rId86">
              <w:r>
                <w:rPr>
                  <w:rFonts w:ascii="Times New Roman" w:cs="Times New Roman" w:eastAsia="Times New Roman" w:hAnsi="Times New Roman"/>
                  <w:sz w:val="18"/>
                  <w:szCs w:val="18"/>
                  <w:color w:val="0000FF"/>
                  <w:w w:val="93"/>
                </w:rPr>
                <w:t>33500) for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period ended June 30, 2016, as filed with the SEC on August 9, 2016).</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Agreement and Plan of Merger, dated as of March 4, 2025, by and among Chimerix, Inc., Jazz Pharmaceuticals Public Company Limited,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and Pinetree Acquisition Sub, Inc. (incorporated by reference to Exhibit 2.1 to the Form 8-K/A filed by Jazz Pharmaceuticals Public</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6520" w:type="dxa"/>
            <w:vAlign w:val="bottom"/>
            <w:tcBorders>
              <w:top w:val="single" w:sz="8" w:color="0000FF"/>
              <w:bottom w:val="single" w:sz="8" w:color="0000FF"/>
            </w:tcBorders>
            <w:gridSpan w:val="6"/>
            <w:shd w:val="clear" w:color="auto" w:fill="CCEEFF"/>
          </w:tcPr>
          <w:p>
            <w:pPr>
              <w:spacing w:after="0" w:line="169"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Company Limited with the U.S. Securities and Exchange Commission on March 5, 2025).</w:t>
              </w:r>
            </w:hyperlink>
          </w:p>
        </w:tc>
        <w:tc>
          <w:tcPr>
            <w:tcW w:w="302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Supply Agreement, dated as of April 1, 2010, by and between Jazz Pharmaceuticals, Inc. and Siegfried (USA) Inc.</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CEEFF"/>
            </w:tcBorders>
            <w:shd w:val="clear" w:color="auto" w:fill="CCEEFF"/>
          </w:tcPr>
          <w:p>
            <w:pPr>
              <w:spacing w:after="0"/>
              <w:rPr>
                <w:sz w:val="16"/>
                <w:szCs w:val="16"/>
                <w:color w:val="auto"/>
              </w:rPr>
            </w:pPr>
          </w:p>
        </w:tc>
        <w:tc>
          <w:tcPr>
            <w:tcW w:w="9700" w:type="dxa"/>
            <w:vAlign w:val="bottom"/>
            <w:tcBorders>
              <w:bottom w:val="single" w:sz="8" w:color="0000FF"/>
            </w:tcBorders>
            <w:gridSpan w:val="14"/>
            <w:shd w:val="clear" w:color="auto" w:fill="CCEEFF"/>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Preliminary Settlement Agreement, dated April 7, 2025, by and between Jazz Pharmaceuticals Ireland Limited and the Class Plaintiffs</w:t>
              </w:r>
            </w:hyperlink>
          </w:p>
        </w:tc>
        <w:tc>
          <w:tcPr>
            <w:tcW w:w="380" w:type="dxa"/>
            <w:vAlign w:val="bottom"/>
            <w:tcBorders>
              <w:bottom w:val="single" w:sz="8" w:color="CCEEFF"/>
            </w:tcBorders>
            <w:gridSpan w:val="6"/>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80" w:type="dxa"/>
            <w:vAlign w:val="bottom"/>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named therein, individually and on behalf of the Proposed Settlement Class (incorporated by reference to Exhibit 10.1 to the Form 8-K</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120" w:type="dxa"/>
            <w:vAlign w:val="bottom"/>
            <w:tcBorders>
              <w:top w:val="single" w:sz="8" w:color="0000FF"/>
              <w:bottom w:val="single" w:sz="8" w:color="0000FF"/>
            </w:tcBorders>
            <w:gridSpan w:val="10"/>
            <w:shd w:val="clear" w:color="auto" w:fill="CCEEFF"/>
          </w:tcPr>
          <w:p>
            <w:pPr>
              <w:spacing w:after="0" w:line="169"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filed by Jazz Pharmaceuticals Public Company Limited with the U.S. Securities and Exchange Commission on April 8, 2025).</w:t>
              </w:r>
            </w:hyperlink>
          </w:p>
        </w:tc>
        <w:tc>
          <w:tcPr>
            <w:tcW w:w="60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Jazz Pharmaceuticals plc Executive Committee Severance Benefit Plan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promulgated under the Securities Exchange Act of</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180" w:type="dxa"/>
            <w:vAlign w:val="bottom"/>
            <w:tcBorders>
              <w:top w:val="single" w:sz="8" w:color="CCEEFF"/>
            </w:tcBorders>
            <w:gridSpan w:val="4"/>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promulgated under the Securities Exchange Act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2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240" w:type="dxa"/>
            <w:vAlign w:val="bottom"/>
            <w:gridSpan w:val="5"/>
          </w:tcPr>
          <w:p>
            <w:pPr>
              <w:spacing w:after="0"/>
              <w:rPr>
                <w:sz w:val="13"/>
                <w:szCs w:val="13"/>
                <w:color w:val="auto"/>
              </w:rPr>
            </w:pPr>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88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698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5"/>
                <w:szCs w:val="15"/>
                <w:color w:val="auto"/>
              </w:rPr>
            </w:pPr>
          </w:p>
        </w:tc>
        <w:tc>
          <w:tcPr>
            <w:tcW w:w="100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CEEFF"/>
          </w:tcPr>
          <w:p>
            <w:pPr>
              <w:spacing w:after="0"/>
              <w:rPr>
                <w:sz w:val="20"/>
                <w:szCs w:val="20"/>
                <w:color w:val="auto"/>
              </w:rPr>
            </w:pPr>
          </w:p>
        </w:tc>
        <w:tc>
          <w:tcPr>
            <w:tcW w:w="100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0" w:type="dxa"/>
            <w:vAlign w:val="bottom"/>
          </w:tcPr>
          <w:p>
            <w:pPr>
              <w:spacing w:after="0"/>
              <w:rPr>
                <w:sz w:val="1"/>
                <w:szCs w:val="1"/>
                <w:color w:val="auto"/>
              </w:rPr>
            </w:pPr>
          </w:p>
        </w:tc>
      </w:tr>
    </w:tbl>
    <w:p>
      <w:pPr>
        <w:ind w:left="1140" w:hanging="1101"/>
        <w:spacing w:after="0"/>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w:t>
      </w:r>
    </w:p>
    <w:p>
      <w:pPr>
        <w:spacing w:after="0" w:line="23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601(b)(2) of Regulation S-K.</w:t>
      </w:r>
    </w:p>
    <w:p>
      <w:pPr>
        <w:spacing w:after="0" w:line="320" w:lineRule="exact"/>
        <w:rPr>
          <w:sz w:val="20"/>
          <w:szCs w:val="20"/>
          <w:color w:val="auto"/>
        </w:rPr>
      </w:pPr>
    </w:p>
    <w:p>
      <w:pPr>
        <w:ind w:left="500" w:right="180" w:hanging="492"/>
        <w:spacing w:after="0" w:line="237" w:lineRule="auto"/>
        <w:tabs>
          <w:tab w:leader="none" w:pos="2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they contain information that is both not material and is the type that the registrant treats as private or confidential.</w:t>
      </w:r>
    </w:p>
    <w:p>
      <w:pPr>
        <w:spacing w:after="0" w:line="33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198" w:lineRule="exact"/>
        <w:rPr>
          <w:sz w:val="20"/>
          <w:szCs w:val="20"/>
          <w:color w:val="auto"/>
        </w:rPr>
      </w:pPr>
    </w:p>
    <w:p>
      <w:pPr>
        <w:ind w:left="500" w:right="40" w:hanging="492"/>
        <w:spacing w:after="0" w:line="214" w:lineRule="exact"/>
        <w:tabs>
          <w:tab w:leader="none" w:pos="2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accompanies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3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JAZZ PHARMACEUTICALS PUBLIC LIMITED COMPANY</w:t>
      </w: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Bruce C. Cozadd</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Chairman and Chief Executive Officer and Director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Philip L. Johnson</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Patricia Carr</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Chief Accounting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720"/>
          </w:cols>
          <w:pgMar w:left="320" w:top="121" w:right="8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8"/>
        <w:spacing w:after="0" w:line="271" w:lineRule="auto"/>
        <w:tabs>
          <w:tab w:leader="none" w:pos="2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SUPPLY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Jazz Pharmaceuticals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Inc.</w:t>
      </w:r>
      <w:r>
        <w:rPr>
          <w:rFonts w:ascii="Arial" w:cs="Arial" w:eastAsia="Arial" w:hAnsi="Arial"/>
          <w:sz w:val="20"/>
          <w:szCs w:val="20"/>
          <w:color w:val="auto"/>
        </w:rPr>
        <w:t>, 3180 Porter Drive, Palo Alto, CA 94304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(hereinafter “</w:t>
      </w:r>
      <w:r>
        <w:rPr>
          <w:rFonts w:ascii="Arial" w:cs="Arial" w:eastAsia="Arial" w:hAnsi="Arial"/>
          <w:sz w:val="21"/>
          <w:szCs w:val="21"/>
          <w:b w:val="1"/>
          <w:bCs w:val="1"/>
          <w:color w:val="auto"/>
        </w:rPr>
        <w:t>JAZZ PHARMACEUTICALS”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Siegfried (USA) Inc</w:t>
      </w:r>
      <w:r>
        <w:rPr>
          <w:rFonts w:ascii="Arial" w:cs="Arial" w:eastAsia="Arial" w:hAnsi="Arial"/>
          <w:sz w:val="20"/>
          <w:szCs w:val="20"/>
          <w:color w:val="auto"/>
        </w:rPr>
        <w:t>, 33 Industrial Park Road, Pennsville, NJ, 08070,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(hereinafter "</w:t>
      </w:r>
      <w:r>
        <w:rPr>
          <w:rFonts w:ascii="Arial" w:cs="Arial" w:eastAsia="Arial" w:hAnsi="Arial"/>
          <w:sz w:val="21"/>
          <w:szCs w:val="21"/>
          <w:b w:val="1"/>
          <w:bCs w:val="1"/>
          <w:color w:val="auto"/>
        </w:rPr>
        <w:t>SIEGFRIED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Recitals</w:t>
      </w:r>
    </w:p>
    <w:p>
      <w:pPr>
        <w:spacing w:after="0" w:line="23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i w:val="1"/>
          <w:iCs w:val="1"/>
          <w:color w:val="auto"/>
        </w:rPr>
        <w:t>WHEREAS</w:t>
      </w:r>
      <w:r>
        <w:rPr>
          <w:rFonts w:ascii="Arial" w:cs="Arial" w:eastAsia="Arial" w:hAnsi="Arial"/>
          <w:sz w:val="20"/>
          <w:szCs w:val="20"/>
          <w:color w:val="auto"/>
        </w:rPr>
        <w:t>, SIEGFRIED is engaged in the business of, among other things, manufacturing pharmaceutical products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pharmaceutical industry;</w:t>
      </w:r>
    </w:p>
    <w:p>
      <w:pPr>
        <w:spacing w:after="0" w:line="196"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i w:val="1"/>
          <w:iCs w:val="1"/>
          <w:color w:val="auto"/>
        </w:rPr>
        <w:t xml:space="preserve">WHEREAS, </w:t>
      </w:r>
      <w:r>
        <w:rPr>
          <w:rFonts w:ascii="Arial" w:cs="Arial" w:eastAsia="Arial" w:hAnsi="Arial"/>
          <w:sz w:val="20"/>
          <w:szCs w:val="20"/>
          <w:color w:val="auto"/>
        </w:rPr>
        <w:t>JAZZ PHARMACEUTICALS now desires to have SIEGFRIED manufacture for, and supply to, JAZZ</w:t>
      </w:r>
      <w:r>
        <w:rPr>
          <w:rFonts w:ascii="Arial" w:cs="Arial" w:eastAsia="Arial" w:hAnsi="Arial"/>
          <w:sz w:val="20"/>
          <w:szCs w:val="20"/>
          <w:i w:val="1"/>
          <w:iCs w:val="1"/>
          <w:color w:val="auto"/>
        </w:rPr>
        <w:t xml:space="preserve"> </w:t>
      </w:r>
      <w:r>
        <w:rPr>
          <w:rFonts w:ascii="Arial" w:cs="Arial" w:eastAsia="Arial" w:hAnsi="Arial"/>
          <w:sz w:val="20"/>
          <w:szCs w:val="20"/>
          <w:color w:val="auto"/>
        </w:rPr>
        <w:t>PHARMACEUTICALS the Active Material (as herein below defined) in accordance with the terms of this Agreement (as herein below defined);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i w:val="1"/>
          <w:iCs w:val="1"/>
          <w:color w:val="auto"/>
        </w:rPr>
        <w:t xml:space="preserve">WHEREAS, </w:t>
      </w:r>
      <w:r>
        <w:rPr>
          <w:rFonts w:ascii="Arial" w:cs="Arial" w:eastAsia="Arial" w:hAnsi="Arial"/>
          <w:sz w:val="20"/>
          <w:szCs w:val="20"/>
          <w:color w:val="auto"/>
        </w:rPr>
        <w:t>JAZZ PHARMACEUTICALS desires SIEGFRIED to supply to JAZZ PHARMACEUTICALS the Active Material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the terms of this Agreement; and</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i w:val="1"/>
          <w:iCs w:val="1"/>
          <w:color w:val="auto"/>
        </w:rPr>
        <w:t xml:space="preserve">WHEREAS, </w:t>
      </w:r>
      <w:r>
        <w:rPr>
          <w:rFonts w:ascii="Arial" w:cs="Arial" w:eastAsia="Arial" w:hAnsi="Arial"/>
          <w:sz w:val="20"/>
          <w:szCs w:val="20"/>
          <w:color w:val="auto"/>
        </w:rPr>
        <w:t>SIEGFRIED</w:t>
      </w:r>
      <w:r>
        <w:rPr>
          <w:rFonts w:ascii="Arial" w:cs="Arial" w:eastAsia="Arial" w:hAnsi="Arial"/>
          <w:sz w:val="20"/>
          <w:szCs w:val="20"/>
          <w:i w:val="1"/>
          <w:iCs w:val="1"/>
          <w:color w:val="auto"/>
        </w:rPr>
        <w:t xml:space="preserve">, </w:t>
      </w:r>
      <w:r>
        <w:rPr>
          <w:rFonts w:ascii="Arial" w:cs="Arial" w:eastAsia="Arial" w:hAnsi="Arial"/>
          <w:sz w:val="20"/>
          <w:szCs w:val="20"/>
          <w:color w:val="auto"/>
        </w:rPr>
        <w:t>subject to the terms and conditions of this Agreement, desires to so supply the Active Material to</w:t>
      </w:r>
      <w:r>
        <w:rPr>
          <w:rFonts w:ascii="Arial" w:cs="Arial" w:eastAsia="Arial" w:hAnsi="Arial"/>
          <w:sz w:val="20"/>
          <w:szCs w:val="20"/>
          <w:i w:val="1"/>
          <w:iCs w:val="1"/>
          <w:color w:val="auto"/>
        </w:rPr>
        <w:t xml:space="preserve"> </w:t>
      </w:r>
      <w:r>
        <w:rPr>
          <w:rFonts w:ascii="Arial" w:cs="Arial" w:eastAsia="Arial" w:hAnsi="Arial"/>
          <w:sz w:val="20"/>
          <w:szCs w:val="20"/>
          <w:color w:val="auto"/>
        </w:rPr>
        <w:t>JAZZ PHARMACEUTICALS in accordance with the terms of this Agreement</w:t>
      </w:r>
      <w:r>
        <w:rPr>
          <w:rFonts w:ascii="Arial" w:cs="Arial" w:eastAsia="Arial" w:hAnsi="Arial"/>
          <w:sz w:val="21"/>
          <w:szCs w:val="21"/>
          <w:color w:val="auto"/>
        </w:rPr>
        <w:t>.</w:t>
      </w:r>
    </w:p>
    <w:p>
      <w:pPr>
        <w:sectPr>
          <w:pgSz w:w="11900" w:h="16838" w:orient="portrait"/>
          <w:cols w:equalWidth="0" w:num="1">
            <w:col w:w="11240"/>
          </w:cols>
          <w:pgMar w:left="320" w:top="603" w:right="339" w:bottom="1440" w:gutter="0" w:footer="0" w:header="0"/>
        </w:sectPr>
      </w:pPr>
    </w:p>
    <w:bookmarkStart w:id="64" w:name="page65"/>
    <w:bookmarkEnd w:id="64"/>
    <w:p>
      <w:pPr>
        <w:spacing w:after="0" w:line="215" w:lineRule="exact"/>
        <w:rPr>
          <w:sz w:val="20"/>
          <w:szCs w:val="20"/>
          <w:color w:val="auto"/>
        </w:rPr>
      </w:pPr>
    </w:p>
    <w:p>
      <w:pPr>
        <w:ind w:right="20" w:firstLine="1"/>
        <w:spacing w:after="0" w:line="259"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covenants and promises contained in this Agreement the Parties agree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200" w:lineRule="exact"/>
        <w:rPr>
          <w:sz w:val="20"/>
          <w:szCs w:val="20"/>
          <w:color w:val="auto"/>
        </w:rPr>
      </w:pPr>
    </w:p>
    <w:p>
      <w:pPr>
        <w:spacing w:after="0" w:line="230"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DEFINITIONS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Each of the capitalized terms used in this Agreement (other than the names of the Parties and the headings of the Articles and Sections) shall have the meanings indicated below. Such meanings shall apply equally to all forms of such terms, including singular and plural forms, unless otherwise clearly indicated.</w:t>
      </w:r>
    </w:p>
    <w:p>
      <w:pPr>
        <w:spacing w:after="0" w:line="190"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 xml:space="preserve">"Act" </w:t>
      </w:r>
      <w:r>
        <w:rPr>
          <w:rFonts w:ascii="Arial" w:cs="Arial" w:eastAsia="Arial" w:hAnsi="Arial"/>
          <w:sz w:val="20"/>
          <w:szCs w:val="20"/>
          <w:color w:val="auto"/>
        </w:rPr>
        <w:t>shall mean the United States Food, Drug and Cosmetic Act, as amended from time to time, and the regulations</w:t>
      </w:r>
      <w:r>
        <w:rPr>
          <w:rFonts w:ascii="Arial" w:cs="Arial" w:eastAsia="Arial" w:hAnsi="Arial"/>
          <w:sz w:val="20"/>
          <w:szCs w:val="20"/>
          <w:b w:val="1"/>
          <w:bCs w:val="1"/>
          <w:color w:val="auto"/>
        </w:rPr>
        <w:t xml:space="preserve"> </w:t>
      </w:r>
      <w:r>
        <w:rPr>
          <w:rFonts w:ascii="Arial" w:cs="Arial" w:eastAsia="Arial" w:hAnsi="Arial"/>
          <w:sz w:val="20"/>
          <w:szCs w:val="20"/>
          <w:color w:val="auto"/>
        </w:rPr>
        <w:t>promulgated thereunder.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"Active Material" </w:t>
      </w:r>
      <w:r>
        <w:rPr>
          <w:rFonts w:ascii="Arial" w:cs="Arial" w:eastAsia="Arial" w:hAnsi="Arial"/>
          <w:sz w:val="20"/>
          <w:szCs w:val="20"/>
          <w:color w:val="auto"/>
        </w:rPr>
        <w:t>shall mean the active pharmaceutical ingredient (API) listed on</w:t>
      </w:r>
      <w:r>
        <w:rPr>
          <w:rFonts w:ascii="Arial" w:cs="Arial" w:eastAsia="Arial" w:hAnsi="Arial"/>
          <w:sz w:val="20"/>
          <w:szCs w:val="20"/>
          <w:b w:val="1"/>
          <w:bCs w:val="1"/>
          <w:color w:val="auto"/>
        </w:rPr>
        <w:t xml:space="preserve"> </w:t>
      </w:r>
      <w:r>
        <w:rPr>
          <w:rFonts w:ascii="Arial" w:cs="Arial" w:eastAsia="Arial" w:hAnsi="Arial"/>
          <w:sz w:val="21"/>
          <w:szCs w:val="21"/>
          <w:u w:val="single" w:color="auto"/>
          <w:color w:val="auto"/>
        </w:rPr>
        <w:t>Schedule 1</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hereto.</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auto"/>
        </w:rPr>
        <w:t xml:space="preserve">"Affiliate" </w:t>
      </w:r>
      <w:r>
        <w:rPr>
          <w:rFonts w:ascii="Arial" w:cs="Arial" w:eastAsia="Arial" w:hAnsi="Arial"/>
          <w:sz w:val="20"/>
          <w:szCs w:val="20"/>
          <w:color w:val="auto"/>
        </w:rPr>
        <w:t>shall mean with respect to any Party any person or entity controlling, controlled by, or under common control with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at any time during the term of this Agreement. For purposes of this definition, the term "control" shall mean the power to direct or cause the direction of the management and policies of an entity, whether through the ownership of voting stock, by contract or otherwise. In the case of a corporation, the term "control" shall mean the direct or indirect ownership of at least fifty percent (50%) of the outstanding voting stock.</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"Agreement" </w:t>
      </w:r>
      <w:r>
        <w:rPr>
          <w:rFonts w:ascii="Arial" w:cs="Arial" w:eastAsia="Arial" w:hAnsi="Arial"/>
          <w:sz w:val="20"/>
          <w:szCs w:val="20"/>
          <w:color w:val="auto"/>
        </w:rPr>
        <w:t>shall mean this Agreement including its Schedules (and Appendices, if applicable), as may be amended from time</w:t>
      </w:r>
      <w:r>
        <w:rPr>
          <w:rFonts w:ascii="Arial" w:cs="Arial" w:eastAsia="Arial" w:hAnsi="Arial"/>
          <w:sz w:val="20"/>
          <w:szCs w:val="20"/>
          <w:b w:val="1"/>
          <w:bCs w:val="1"/>
          <w:color w:val="auto"/>
        </w:rPr>
        <w:t xml:space="preserve"> </w:t>
      </w:r>
      <w:r>
        <w:rPr>
          <w:rFonts w:ascii="Arial" w:cs="Arial" w:eastAsia="Arial" w:hAnsi="Arial"/>
          <w:sz w:val="20"/>
          <w:szCs w:val="20"/>
          <w:color w:val="auto"/>
        </w:rPr>
        <w:t>to time.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Batch</w:t>
      </w:r>
      <w:r>
        <w:rPr>
          <w:rFonts w:ascii="Arial" w:cs="Arial" w:eastAsia="Arial" w:hAnsi="Arial"/>
          <w:sz w:val="20"/>
          <w:szCs w:val="20"/>
          <w:color w:val="auto"/>
        </w:rPr>
        <w:t>" means a specific quantity of Active Material that is intended to have uniform character and quality, within specified limits, and is produced during the same cycle of manufacture.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"Business Day" </w:t>
      </w:r>
      <w:r>
        <w:rPr>
          <w:rFonts w:ascii="Arial" w:cs="Arial" w:eastAsia="Arial" w:hAnsi="Arial"/>
          <w:sz w:val="20"/>
          <w:szCs w:val="20"/>
          <w:color w:val="auto"/>
        </w:rPr>
        <w:t>shall mean a day (not being a Saturday or Sunday) on which banks are open for business in New York.</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cGMPs</w:t>
      </w:r>
      <w:r>
        <w:rPr>
          <w:rFonts w:ascii="Arial" w:cs="Arial" w:eastAsia="Arial" w:hAnsi="Arial"/>
          <w:sz w:val="20"/>
          <w:szCs w:val="20"/>
          <w:color w:val="auto"/>
        </w:rPr>
        <w:t>" means current good manufacturing practices, as applicable, as described in:</w:t>
      </w:r>
    </w:p>
    <w:p>
      <w:pPr>
        <w:spacing w:after="0" w:line="76" w:lineRule="exact"/>
        <w:rPr>
          <w:sz w:val="20"/>
          <w:szCs w:val="20"/>
          <w:color w:val="auto"/>
        </w:rPr>
      </w:pPr>
    </w:p>
    <w:p>
      <w:pPr>
        <w:ind w:left="1220" w:hanging="321"/>
        <w:spacing w:after="0"/>
        <w:tabs>
          <w:tab w:leader="none" w:pos="122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20"/>
          <w:szCs w:val="20"/>
          <w:color w:val="auto"/>
        </w:rPr>
        <w:t>Parts 210 and 211 of Title 21 of the United States’ Code of Federal Regulations;</w:t>
      </w:r>
    </w:p>
    <w:p>
      <w:pPr>
        <w:spacing w:after="0" w:line="44" w:lineRule="exact"/>
        <w:rPr>
          <w:rFonts w:ascii="Times New Roman" w:cs="Times New Roman" w:eastAsia="Times New Roman" w:hAnsi="Times New Roman"/>
          <w:sz w:val="22"/>
          <w:szCs w:val="22"/>
          <w:color w:val="auto"/>
        </w:rPr>
      </w:pPr>
    </w:p>
    <w:p>
      <w:pPr>
        <w:ind w:left="1220" w:hanging="321"/>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Division 2 of Part C of the Food and Drug Regulations (Canada);</w:t>
      </w:r>
    </w:p>
    <w:p>
      <w:pPr>
        <w:spacing w:after="0" w:line="40" w:lineRule="exact"/>
        <w:rPr>
          <w:rFonts w:ascii="Arial" w:cs="Arial" w:eastAsia="Arial" w:hAnsi="Arial"/>
          <w:sz w:val="20"/>
          <w:szCs w:val="20"/>
          <w:color w:val="auto"/>
        </w:rPr>
      </w:pPr>
    </w:p>
    <w:p>
      <w:pPr>
        <w:ind w:left="1220" w:hanging="321"/>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EC Directive 91/356/EEC; and</w:t>
      </w:r>
    </w:p>
    <w:p>
      <w:pPr>
        <w:spacing w:after="0" w:line="53" w:lineRule="exact"/>
        <w:rPr>
          <w:rFonts w:ascii="Arial" w:cs="Arial" w:eastAsia="Arial" w:hAnsi="Arial"/>
          <w:sz w:val="20"/>
          <w:szCs w:val="20"/>
          <w:color w:val="auto"/>
        </w:rPr>
      </w:pPr>
    </w:p>
    <w:p>
      <w:pPr>
        <w:jc w:val="both"/>
        <w:ind w:left="1220" w:hanging="321"/>
        <w:spacing w:after="0" w:line="305" w:lineRule="auto"/>
        <w:tabs>
          <w:tab w:leader="none" w:pos="1219"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latest Health Canada, Ministry of Health, Labour, and Welfare, FDA and EMEA guidance documents pertaining to manufacturing and quality control practice, as updated, amended and revised from time to time and as applicable under the particular circumstances.</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shall mean any information of whatever kind (including without limitation, data, compilations,</w:t>
      </w:r>
      <w:r>
        <w:rPr>
          <w:rFonts w:ascii="Arial" w:cs="Arial" w:eastAsia="Arial" w:hAnsi="Arial"/>
          <w:sz w:val="20"/>
          <w:szCs w:val="20"/>
          <w:b w:val="1"/>
          <w:bCs w:val="1"/>
          <w:color w:val="auto"/>
        </w:rPr>
        <w:t xml:space="preserve"> </w:t>
      </w:r>
      <w:r>
        <w:rPr>
          <w:rFonts w:ascii="Arial" w:cs="Arial" w:eastAsia="Arial" w:hAnsi="Arial"/>
          <w:sz w:val="20"/>
          <w:szCs w:val="20"/>
          <w:color w:val="auto"/>
        </w:rPr>
        <w:t>formulae, models, patent disclosures, procedures, processes, projections, protocols, results of experimentation and testing, specifications, strategies and techniques), and all tangible and intangible embodiments thereof of any kind whatsoever (including without limitation, samples, apparatus, compositions, documents, drawings,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firstLine="8"/>
        <w:spacing w:after="0" w:line="271" w:lineRule="auto"/>
        <w:tabs>
          <w:tab w:leader="none" w:pos="25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46" w:lineRule="auto"/>
        <w:rPr>
          <w:sz w:val="20"/>
          <w:szCs w:val="20"/>
          <w:color w:val="auto"/>
        </w:rPr>
      </w:pPr>
      <w:r>
        <w:rPr>
          <w:rFonts w:ascii="Arial" w:cs="Arial" w:eastAsia="Arial" w:hAnsi="Arial"/>
          <w:sz w:val="20"/>
          <w:szCs w:val="20"/>
          <w:color w:val="auto"/>
        </w:rPr>
        <w:t>machinery, patent applications, records and reports) which has been or will be disclosed by one Party (“</w:t>
      </w:r>
      <w:r>
        <w:rPr>
          <w:rFonts w:ascii="Arial" w:cs="Arial" w:eastAsia="Arial" w:hAnsi="Arial"/>
          <w:sz w:val="21"/>
          <w:szCs w:val="21"/>
          <w:b w:val="1"/>
          <w:bCs w:val="1"/>
          <w:color w:val="auto"/>
        </w:rPr>
        <w:t>Disclosing Party</w:t>
      </w:r>
      <w:r>
        <w:rPr>
          <w:rFonts w:ascii="Arial" w:cs="Arial" w:eastAsia="Arial" w:hAnsi="Arial"/>
          <w:sz w:val="20"/>
          <w:szCs w:val="20"/>
          <w:color w:val="auto"/>
        </w:rPr>
        <w:t>”) to the other Party (“</w:t>
      </w:r>
      <w:r>
        <w:rPr>
          <w:rFonts w:ascii="Arial" w:cs="Arial" w:eastAsia="Arial" w:hAnsi="Arial"/>
          <w:sz w:val="21"/>
          <w:szCs w:val="21"/>
          <w:b w:val="1"/>
          <w:bCs w:val="1"/>
          <w:color w:val="auto"/>
        </w:rPr>
        <w:t>Receiving Party</w:t>
      </w:r>
      <w:r>
        <w:rPr>
          <w:rFonts w:ascii="Arial" w:cs="Arial" w:eastAsia="Arial" w:hAnsi="Arial"/>
          <w:sz w:val="20"/>
          <w:szCs w:val="20"/>
          <w:color w:val="auto"/>
        </w:rPr>
        <w:t>”) in connection with this Agreement, and which is confidential or proprietary to the Disclosing Party or an Affiliate thereof, including, without limitation, any and all information pertaining to the Active Material and information which relates to the business of either Party, including business plans, strategies, operations policies, procedures, techniques, accounts, marketing plans, financial plans and status, and personnel of either Party.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DEA</w:t>
      </w:r>
      <w:r>
        <w:rPr>
          <w:rFonts w:ascii="Arial" w:cs="Arial" w:eastAsia="Arial" w:hAnsi="Arial"/>
          <w:sz w:val="20"/>
          <w:szCs w:val="20"/>
          <w:color w:val="auto"/>
        </w:rPr>
        <w:t>" means the United States Drug Enforcement Administration or, if applicable, its international counterparts.</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“Effective Date” </w:t>
      </w:r>
      <w:r>
        <w:rPr>
          <w:rFonts w:ascii="Arial" w:cs="Arial" w:eastAsia="Arial" w:hAnsi="Arial"/>
          <w:sz w:val="20"/>
          <w:szCs w:val="20"/>
          <w:color w:val="auto"/>
        </w:rPr>
        <w:t>means April 1, 2010 unless revised by mutual written agreement of the parties in accordance with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EMEA</w:t>
      </w:r>
      <w:r>
        <w:rPr>
          <w:rFonts w:ascii="Arial" w:cs="Arial" w:eastAsia="Arial" w:hAnsi="Arial"/>
          <w:sz w:val="20"/>
          <w:szCs w:val="20"/>
          <w:color w:val="auto"/>
        </w:rPr>
        <w:t xml:space="preserve">" </w:t>
      </w:r>
      <w:r>
        <w:rPr>
          <w:rFonts w:ascii="Arial" w:cs="Arial" w:eastAsia="Arial" w:hAnsi="Arial"/>
          <w:sz w:val="21"/>
          <w:szCs w:val="21"/>
          <w:color w:val="auto"/>
        </w:rPr>
        <w:t>means the European Medicines Agency</w:t>
      </w:r>
      <w:r>
        <w:rPr>
          <w:rFonts w:ascii="Arial" w:cs="Arial" w:eastAsia="Arial" w:hAnsi="Arial"/>
          <w:sz w:val="20"/>
          <w:szCs w:val="20"/>
          <w:color w:val="auto"/>
        </w:rPr>
        <w:t xml:space="preserve"> or any successor European governmental agency performing similar functions with respect to pharmaceutical products</w:t>
      </w:r>
      <w:r>
        <w:rPr>
          <w:rFonts w:ascii="Arial" w:cs="Arial" w:eastAsia="Arial" w:hAnsi="Arial"/>
          <w:sz w:val="21"/>
          <w:szCs w:val="21"/>
          <w:color w:val="auto"/>
        </w:rPr>
        <w:t>.</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FDA</w:t>
      </w:r>
      <w:r>
        <w:rPr>
          <w:rFonts w:ascii="Arial" w:cs="Arial" w:eastAsia="Arial" w:hAnsi="Arial"/>
          <w:sz w:val="20"/>
          <w:szCs w:val="20"/>
          <w:color w:val="auto"/>
        </w:rPr>
        <w:t>" means the United States government department known as the Food and Drug Administration or any successor United States governmental agency performing similar functions with respect to pharmaceutical products.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Finished Dosage Form</w:t>
      </w:r>
      <w:r>
        <w:rPr>
          <w:rFonts w:ascii="Arial" w:cs="Arial" w:eastAsia="Arial" w:hAnsi="Arial"/>
          <w:sz w:val="20"/>
          <w:szCs w:val="20"/>
          <w:color w:val="auto"/>
        </w:rPr>
        <w:t>” shall mean a final form of a drug product containing any Active Material.</w:t>
      </w:r>
    </w:p>
    <w:p>
      <w:pPr>
        <w:spacing w:after="0" w:line="245"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Health Canada</w:t>
      </w:r>
      <w:r>
        <w:rPr>
          <w:rFonts w:ascii="Arial" w:cs="Arial" w:eastAsia="Arial" w:hAnsi="Arial"/>
          <w:sz w:val="20"/>
          <w:szCs w:val="20"/>
          <w:color w:val="auto"/>
        </w:rPr>
        <w:t>" means a section of the Canadian Government known as Health Canada and includes, among other departments, the Therapeutic Products Directorate and Health Products and Food Branch Inspectorate or any successor Canadian governmental agency performing similar functions with respect to pharmaceutical products.</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"Hidden Defects" </w:t>
      </w:r>
      <w:r>
        <w:rPr>
          <w:rFonts w:ascii="Arial" w:cs="Arial" w:eastAsia="Arial" w:hAnsi="Arial"/>
          <w:sz w:val="20"/>
          <w:szCs w:val="20"/>
          <w:color w:val="auto"/>
        </w:rPr>
        <w:t>shall mean any instance where a Batch of Active Material fails to conform to the Specifications, such failure</w:t>
      </w:r>
      <w:r>
        <w:rPr>
          <w:rFonts w:ascii="Arial" w:cs="Arial" w:eastAsia="Arial" w:hAnsi="Arial"/>
          <w:sz w:val="20"/>
          <w:szCs w:val="20"/>
          <w:b w:val="1"/>
          <w:bCs w:val="1"/>
          <w:color w:val="auto"/>
        </w:rPr>
        <w:t xml:space="preserve"> </w:t>
      </w:r>
      <w:r>
        <w:rPr>
          <w:rFonts w:ascii="Arial" w:cs="Arial" w:eastAsia="Arial" w:hAnsi="Arial"/>
          <w:sz w:val="20"/>
          <w:szCs w:val="20"/>
          <w:color w:val="auto"/>
        </w:rPr>
        <w:t>not being discoverable upon Inspection or standard testing of Active Material in accordance with Section 3.2 or at any point in the production of the Finished Dosage Form.</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Inspection</w:t>
      </w:r>
      <w:r>
        <w:rPr>
          <w:rFonts w:ascii="Arial" w:cs="Arial" w:eastAsia="Arial" w:hAnsi="Arial"/>
          <w:sz w:val="20"/>
          <w:szCs w:val="20"/>
          <w:color w:val="auto"/>
        </w:rPr>
        <w:t>” shall mean any reasonable activity other than testing to determine the condition of the Product, including without limitation, visual inspection of the packaging condition, visual inspection of the label, visual inspection of Active Material condition, and review of Active Material documentation, and “Inspect” shall mean to conduct an Inspection.</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Intellectual Property</w:t>
      </w:r>
      <w:r>
        <w:rPr>
          <w:rFonts w:ascii="Arial" w:cs="Arial" w:eastAsia="Arial" w:hAnsi="Arial"/>
          <w:sz w:val="20"/>
          <w:szCs w:val="20"/>
          <w:color w:val="auto"/>
        </w:rPr>
        <w:t>" includes, without limitation, rights in patents, patent applications, formulae, trade-marks, trade-mark applications, trade-names, Inventions (as herein defined below), copyright and industrial designs.</w:t>
      </w:r>
    </w:p>
    <w:p>
      <w:pPr>
        <w:spacing w:after="0" w:line="150"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Laws</w:t>
      </w:r>
      <w:r>
        <w:rPr>
          <w:rFonts w:ascii="Arial" w:cs="Arial" w:eastAsia="Arial" w:hAnsi="Arial"/>
          <w:sz w:val="20"/>
          <w:szCs w:val="20"/>
          <w:color w:val="auto"/>
        </w:rPr>
        <w:t>" means all laws, statutes, ordinances, regulations, rules, by-laws, judgments, decrees or orders of any Regulatory Authority applicable to the activities hereunder.</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"Manufacture" </w:t>
      </w:r>
      <w:r>
        <w:rPr>
          <w:rFonts w:ascii="Arial" w:cs="Arial" w:eastAsia="Arial" w:hAnsi="Arial"/>
          <w:sz w:val="20"/>
          <w:szCs w:val="20"/>
          <w:color w:val="auto"/>
        </w:rPr>
        <w:t>shall mean all activities with respect to the manufacturing of the Active Material, including, without limitation,</w:t>
      </w:r>
      <w:r>
        <w:rPr>
          <w:rFonts w:ascii="Arial" w:cs="Arial" w:eastAsia="Arial" w:hAnsi="Arial"/>
          <w:sz w:val="20"/>
          <w:szCs w:val="20"/>
          <w:b w:val="1"/>
          <w:bCs w:val="1"/>
          <w:color w:val="auto"/>
        </w:rPr>
        <w:t xml:space="preserve"> </w:t>
      </w:r>
      <w:r>
        <w:rPr>
          <w:rFonts w:ascii="Arial" w:cs="Arial" w:eastAsia="Arial" w:hAnsi="Arial"/>
          <w:sz w:val="20"/>
          <w:szCs w:val="20"/>
          <w:color w:val="auto"/>
        </w:rPr>
        <w:t>production, quality control, packaging and release for shipment.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8"/>
        <w:spacing w:after="0" w:line="271" w:lineRule="auto"/>
        <w:tabs>
          <w:tab w:leader="none" w:pos="25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07" w:right="339" w:bottom="1440" w:gutter="0" w:footer="0" w:header="0"/>
        </w:sectPr>
      </w:pPr>
    </w:p>
    <w:bookmarkStart w:id="66" w:name="page67"/>
    <w:bookmarkEnd w:id="66"/>
    <w:p>
      <w:pPr>
        <w:jc w:val="both"/>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Manufacturing Commencement Date”</w:t>
      </w:r>
      <w:r>
        <w:rPr>
          <w:rFonts w:ascii="Arial" w:cs="Arial" w:eastAsia="Arial" w:hAnsi="Arial"/>
          <w:sz w:val="20"/>
          <w:szCs w:val="20"/>
          <w:color w:val="auto"/>
        </w:rPr>
        <w:t xml:space="preserve"> </w:t>
      </w:r>
      <w:r>
        <w:rPr>
          <w:rFonts w:ascii="Arial" w:cs="Arial" w:eastAsia="Arial" w:hAnsi="Arial"/>
          <w:sz w:val="21"/>
          <w:szCs w:val="21"/>
          <w:color w:val="auto"/>
        </w:rPr>
        <w:t>means the date when SIEGFRIED will commence Manufacturing Services</w:t>
      </w:r>
      <w:r>
        <w:rPr>
          <w:rFonts w:ascii="Arial" w:cs="Arial" w:eastAsia="Arial" w:hAnsi="Arial"/>
          <w:sz w:val="20"/>
          <w:szCs w:val="20"/>
          <w:color w:val="auto"/>
        </w:rPr>
        <w:t xml:space="preserve"> </w:t>
      </w:r>
      <w:r>
        <w:rPr>
          <w:rFonts w:ascii="Arial" w:cs="Arial" w:eastAsia="Arial" w:hAnsi="Arial"/>
          <w:sz w:val="21"/>
          <w:szCs w:val="21"/>
          <w:color w:val="auto"/>
        </w:rPr>
        <w:t>to manufacture and package Active Material hereunder.</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“Manufacturing Services</w:t>
      </w:r>
      <w:r>
        <w:rPr>
          <w:rFonts w:ascii="Arial" w:cs="Arial" w:eastAsia="Arial" w:hAnsi="Arial"/>
          <w:sz w:val="20"/>
          <w:szCs w:val="20"/>
          <w:color w:val="auto"/>
        </w:rPr>
        <w:t>" means during the period commencing on the Manufacturing Commencement Date and throughout</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 of this Agreement, all of the Manufacturing, quality control, quality assurance and stability testing and related services as contemplated in this Agreement.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Manufacturing Site</w:t>
      </w:r>
      <w:r>
        <w:rPr>
          <w:rFonts w:ascii="Arial" w:cs="Arial" w:eastAsia="Arial" w:hAnsi="Arial"/>
          <w:sz w:val="20"/>
          <w:szCs w:val="20"/>
          <w:color w:val="auto"/>
        </w:rPr>
        <w:t>" means the facility owned and operated by SIEGFRIED that is located at 33 Industrial Park Road, Pennsville, NJ, 08070 or such other facility located in the United States that is owned by SIEGFRIED and approved by JAZZ PHARMACEUTICALS pursuant to Section .2.5 of this Agreement.</w:t>
      </w:r>
    </w:p>
    <w:p>
      <w:pPr>
        <w:spacing w:after="0" w:line="192"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Ministry of Health, Labour, and Welfare</w:t>
      </w:r>
      <w:r>
        <w:rPr>
          <w:rFonts w:ascii="Arial" w:cs="Arial" w:eastAsia="Arial" w:hAnsi="Arial"/>
          <w:sz w:val="20"/>
          <w:szCs w:val="20"/>
          <w:color w:val="auto"/>
        </w:rPr>
        <w:t>” means the Japanese regulatory authority responsible for promulgating regulations for the good manufacturing practices related to the manufacture of the Active Material.</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"Party/ies" </w:t>
      </w:r>
      <w:r>
        <w:rPr>
          <w:rFonts w:ascii="Arial" w:cs="Arial" w:eastAsia="Arial" w:hAnsi="Arial"/>
          <w:sz w:val="20"/>
          <w:szCs w:val="20"/>
          <w:color w:val="auto"/>
        </w:rPr>
        <w:t>shall mean either JAZZ PHARMACEUTICALS or SIEGFRIED, or both, as the context may require.</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"Quality Agreement" </w:t>
      </w:r>
      <w:r>
        <w:rPr>
          <w:rFonts w:ascii="Arial" w:cs="Arial" w:eastAsia="Arial" w:hAnsi="Arial"/>
          <w:sz w:val="20"/>
          <w:szCs w:val="20"/>
          <w:color w:val="auto"/>
        </w:rPr>
        <w:t>shall mean the agreement between JAZZ PHARMACEUTICALS and SIEGFRIED which defines the</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responsibilities of each Party with respect to the practices to be followed to ensure Active Material quality and compliance under cGMP and applicable Laws, as same may be amended from time to time by written agreement between the Parties. Upon execution, such agreement will be attached to and incorporated by reference in this Agreement.</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Quota</w:t>
      </w:r>
      <w:r>
        <w:rPr>
          <w:rFonts w:ascii="Arial" w:cs="Arial" w:eastAsia="Arial" w:hAnsi="Arial"/>
          <w:sz w:val="20"/>
          <w:szCs w:val="20"/>
          <w:color w:val="auto"/>
        </w:rPr>
        <w:t>" means the manufacturing quota quantity of Active Material allotted by the DEA to SIEGFRIED in order for SIEGFRIED to perform the Manufacturing Services.</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"Regulatory Authority" </w:t>
      </w:r>
      <w:r>
        <w:rPr>
          <w:rFonts w:ascii="Arial" w:cs="Arial" w:eastAsia="Arial" w:hAnsi="Arial"/>
          <w:sz w:val="20"/>
          <w:szCs w:val="20"/>
          <w:color w:val="auto"/>
        </w:rPr>
        <w:t>shall mean the FDA, EMEA, Ministry of Health, Labour, and Welfare, Health Canada and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national or supranational authorities which are responsible for approving the conduct of clinical trials, marketing and sale of pharmaceutical products in their respective markets.</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20"/>
          <w:szCs w:val="20"/>
          <w:b w:val="1"/>
          <w:bCs w:val="1"/>
          <w:color w:val="auto"/>
        </w:rPr>
        <w:t xml:space="preserve">"Specifications" </w:t>
      </w:r>
      <w:r>
        <w:rPr>
          <w:rFonts w:ascii="Arial" w:cs="Arial" w:eastAsia="Arial" w:hAnsi="Arial"/>
          <w:sz w:val="20"/>
          <w:szCs w:val="20"/>
          <w:color w:val="auto"/>
        </w:rPr>
        <w:t>shall mean the detailed description of the technical requirements for the Active Material set out in detail in</w:t>
      </w:r>
      <w:r>
        <w:rPr>
          <w:rFonts w:ascii="Arial" w:cs="Arial" w:eastAsia="Arial" w:hAnsi="Arial"/>
          <w:sz w:val="20"/>
          <w:szCs w:val="20"/>
          <w:b w:val="1"/>
          <w:bCs w:val="1"/>
          <w:color w:val="auto"/>
        </w:rPr>
        <w:t xml:space="preserve">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w:t>
      </w:r>
      <w:r>
        <w:rPr>
          <w:rFonts w:ascii="Arial" w:cs="Arial" w:eastAsia="Arial" w:hAnsi="Arial"/>
          <w:sz w:val="19"/>
          <w:szCs w:val="19"/>
          <w:color w:val="auto"/>
        </w:rPr>
        <w:t>attached hereto, as may be updated, amended and revised from time to time in accordance with Section 6.3 of this</w:t>
      </w:r>
      <w:r>
        <w:rPr>
          <w:rFonts w:ascii="Arial" w:cs="Arial" w:eastAsia="Arial" w:hAnsi="Arial"/>
          <w:sz w:val="21"/>
          <w:szCs w:val="21"/>
          <w:color w:val="auto"/>
        </w:rPr>
        <w:t xml:space="preserve"> </w:t>
      </w:r>
      <w:r>
        <w:rPr>
          <w:rFonts w:ascii="Arial" w:cs="Arial" w:eastAsia="Arial" w:hAnsi="Arial"/>
          <w:sz w:val="19"/>
          <w:szCs w:val="19"/>
          <w:color w:val="auto"/>
        </w:rPr>
        <w:t>Agreement.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Territory</w:t>
      </w:r>
      <w:r>
        <w:rPr>
          <w:rFonts w:ascii="Arial" w:cs="Arial" w:eastAsia="Arial" w:hAnsi="Arial"/>
          <w:sz w:val="20"/>
          <w:szCs w:val="20"/>
          <w:color w:val="auto"/>
        </w:rPr>
        <w:t>" means the entire world.</w:t>
      </w:r>
    </w:p>
    <w:p>
      <w:pPr>
        <w:spacing w:after="0" w:line="24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United States</w:t>
      </w:r>
      <w:r>
        <w:rPr>
          <w:rFonts w:ascii="Arial" w:cs="Arial" w:eastAsia="Arial" w:hAnsi="Arial"/>
          <w:sz w:val="20"/>
          <w:szCs w:val="20"/>
          <w:color w:val="auto"/>
        </w:rPr>
        <w:t>" means the United States of America, its territories and possessions, including Puerto Rico and the U.S Virgin Islands.</w:t>
      </w:r>
    </w:p>
    <w:p>
      <w:pPr>
        <w:spacing w:after="0" w:line="150"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Year</w:t>
      </w:r>
      <w:r>
        <w:rPr>
          <w:rFonts w:ascii="Arial" w:cs="Arial" w:eastAsia="Arial" w:hAnsi="Arial"/>
          <w:sz w:val="20"/>
          <w:szCs w:val="20"/>
          <w:color w:val="auto"/>
        </w:rPr>
        <w:t>" means in the first year of this Agreement, the period from the Manufacturing Commencement Date up to and including December 31 of the same calendar year, and thereafter shall mean a calendar year.</w:t>
      </w:r>
    </w:p>
    <w:p>
      <w:pPr>
        <w:spacing w:after="0" w:line="163"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TECHNOLOGY TRANSFER, MANUFACTURE AND SUPPLY OF ACTIVE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firstLine="8"/>
        <w:spacing w:after="0" w:line="271" w:lineRule="auto"/>
        <w:tabs>
          <w:tab w:leader="none" w:pos="25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07" w:right="339" w:bottom="1440" w:gutter="0" w:footer="0" w:header="0"/>
        </w:sectPr>
      </w:pPr>
    </w:p>
    <w:bookmarkStart w:id="67" w:name="page68"/>
    <w:bookmarkEnd w:id="67"/>
    <w:p>
      <w:pPr>
        <w:spacing w:after="0" w:line="2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2.1 </w:t>
      </w:r>
      <w:r>
        <w:rPr>
          <w:rFonts w:ascii="Arial" w:cs="Arial" w:eastAsia="Arial" w:hAnsi="Arial"/>
          <w:sz w:val="20"/>
          <w:szCs w:val="20"/>
          <w:color w:val="auto"/>
        </w:rPr>
        <w:t>SIEGFRIED hereby agrees to conduct the technology transfer of the Active Material to the Manufacturing Site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plan agreed upon in writing by the Parties (“</w:t>
      </w:r>
      <w:r>
        <w:rPr>
          <w:rFonts w:ascii="Arial" w:cs="Arial" w:eastAsia="Arial" w:hAnsi="Arial"/>
          <w:sz w:val="21"/>
          <w:szCs w:val="21"/>
          <w:b w:val="1"/>
          <w:bCs w:val="1"/>
          <w:color w:val="auto"/>
        </w:rPr>
        <w:t>Technology Transfer Plan</w:t>
      </w:r>
      <w:r>
        <w:rPr>
          <w:rFonts w:ascii="Arial" w:cs="Arial" w:eastAsia="Arial" w:hAnsi="Arial"/>
          <w:sz w:val="20"/>
          <w:szCs w:val="20"/>
          <w:color w:val="auto"/>
        </w:rPr>
        <w:t xml:space="preserve">”), the goal of which is to transfer the current </w:t>
      </w:r>
      <w:r>
        <w:rPr>
          <w:rFonts w:ascii="Arial" w:cs="Arial" w:eastAsia="Arial" w:hAnsi="Arial"/>
          <w:sz w:val="21"/>
          <w:szCs w:val="21"/>
          <w:color w:val="auto"/>
        </w:rPr>
        <w:t xml:space="preserve">process for commercial manufacture of the Active Material, develop protocols for testing the Active material, and finalize Specifications. </w:t>
      </w:r>
      <w:r>
        <w:rPr>
          <w:rFonts w:ascii="Arial" w:cs="Arial" w:eastAsia="Arial" w:hAnsi="Arial"/>
          <w:sz w:val="19"/>
          <w:szCs w:val="19"/>
          <w:color w:val="auto"/>
        </w:rPr>
        <w:t>SIEGFRIED and JAZZ PHARMACEUTICALS agree to designate one individual who will serve as a</w:t>
      </w:r>
      <w:r>
        <w:rPr>
          <w:rFonts w:ascii="Arial" w:cs="Arial" w:eastAsia="Arial" w:hAnsi="Arial"/>
          <w:sz w:val="21"/>
          <w:szCs w:val="21"/>
          <w:color w:val="auto"/>
        </w:rPr>
        <w:t xml:space="preserve"> </w:t>
      </w:r>
      <w:r>
        <w:rPr>
          <w:rFonts w:ascii="Arial" w:cs="Arial" w:eastAsia="Arial" w:hAnsi="Arial"/>
          <w:sz w:val="19"/>
          <w:szCs w:val="19"/>
          <w:color w:val="auto"/>
        </w:rPr>
        <w:t>central liaison to the other at all times. The person designated will have the capability and authority to assist with coordination and resolution of any and all issues that might arise. SIEGFRIED shall perform validations for the Active Material at its Manufacturing Site</w:t>
      </w:r>
      <w:r>
        <w:rPr>
          <w:rFonts w:ascii="Arial" w:cs="Arial" w:eastAsia="Arial" w:hAnsi="Arial"/>
          <w:sz w:val="21"/>
          <w:szCs w:val="21"/>
          <w:color w:val="auto"/>
        </w:rPr>
        <w:t>, provide stability samples,</w:t>
      </w:r>
      <w:r>
        <w:rPr>
          <w:rFonts w:ascii="Arial" w:cs="Arial" w:eastAsia="Arial" w:hAnsi="Arial"/>
          <w:sz w:val="19"/>
          <w:szCs w:val="19"/>
          <w:color w:val="auto"/>
        </w:rPr>
        <w:t xml:space="preserve"> and prepare the chemical manufacturing section for JAZZ PHARMACEUTICALS to file </w:t>
      </w:r>
      <w:r>
        <w:rPr>
          <w:rFonts w:ascii="Arial" w:cs="Arial" w:eastAsia="Arial" w:hAnsi="Arial"/>
          <w:sz w:val="21"/>
          <w:szCs w:val="21"/>
          <w:color w:val="auto"/>
        </w:rPr>
        <w:t>with FDA. A more detailed description, including the time schedule for completion of all</w:t>
      </w:r>
      <w:r>
        <w:rPr>
          <w:rFonts w:ascii="Arial" w:cs="Arial" w:eastAsia="Arial" w:hAnsi="Arial"/>
          <w:sz w:val="19"/>
          <w:szCs w:val="19"/>
          <w:color w:val="auto"/>
        </w:rPr>
        <w:t xml:space="preserve"> </w:t>
      </w:r>
      <w:r>
        <w:rPr>
          <w:rFonts w:ascii="Arial" w:cs="Arial" w:eastAsia="Arial" w:hAnsi="Arial"/>
          <w:sz w:val="21"/>
          <w:szCs w:val="21"/>
          <w:color w:val="auto"/>
        </w:rPr>
        <w:t xml:space="preserve">transfer activities will be </w:t>
      </w:r>
      <w:r>
        <w:rPr>
          <w:rFonts w:ascii="Arial" w:cs="Arial" w:eastAsia="Arial" w:hAnsi="Arial"/>
          <w:sz w:val="19"/>
          <w:szCs w:val="19"/>
          <w:color w:val="auto"/>
        </w:rPr>
        <w:t>set forth in the Technology Transfer Plan to be attached hereto and made a part hereof.</w:t>
      </w:r>
      <w:r>
        <w:rPr>
          <w:rFonts w:ascii="Arial" w:cs="Arial" w:eastAsia="Arial" w:hAnsi="Arial"/>
          <w:sz w:val="21"/>
          <w:szCs w:val="21"/>
          <w:color w:val="auto"/>
        </w:rPr>
        <w:t xml:space="preserve"> A </w:t>
      </w:r>
      <w:r>
        <w:rPr>
          <w:rFonts w:ascii="Arial" w:cs="Arial" w:eastAsia="Arial" w:hAnsi="Arial"/>
          <w:sz w:val="19"/>
          <w:szCs w:val="19"/>
          <w:color w:val="auto"/>
        </w:rPr>
        <w:t>preliminary</w:t>
      </w:r>
      <w:r>
        <w:rPr>
          <w:rFonts w:ascii="Arial" w:cs="Arial" w:eastAsia="Arial" w:hAnsi="Arial"/>
          <w:sz w:val="21"/>
          <w:szCs w:val="21"/>
          <w:color w:val="auto"/>
        </w:rPr>
        <w:t xml:space="preserve"> </w:t>
      </w:r>
      <w:r>
        <w:rPr>
          <w:rFonts w:ascii="Arial" w:cs="Arial" w:eastAsia="Arial" w:hAnsi="Arial"/>
          <w:sz w:val="19"/>
          <w:szCs w:val="19"/>
          <w:color w:val="auto"/>
        </w:rPr>
        <w:t xml:space="preserve">baseline for the Technology Transfer Plan and the compensation to be paid to SIEGFRIED thereunder is attached as </w:t>
      </w:r>
      <w:r>
        <w:rPr>
          <w:rFonts w:ascii="Arial" w:cs="Arial" w:eastAsia="Arial" w:hAnsi="Arial"/>
          <w:sz w:val="21"/>
          <w:szCs w:val="21"/>
          <w:u w:val="single" w:color="auto"/>
          <w:color w:val="auto"/>
        </w:rPr>
        <w:t>Schedule</w:t>
      </w:r>
      <w:r>
        <w:rPr>
          <w:rFonts w:ascii="Arial" w:cs="Arial" w:eastAsia="Arial" w:hAnsi="Arial"/>
          <w:sz w:val="19"/>
          <w:szCs w:val="19"/>
          <w:color w:val="auto"/>
        </w:rPr>
        <w:t xml:space="preserve"> </w:t>
      </w:r>
      <w:r>
        <w:rPr>
          <w:rFonts w:ascii="Arial" w:cs="Arial" w:eastAsia="Arial" w:hAnsi="Arial"/>
          <w:sz w:val="21"/>
          <w:szCs w:val="21"/>
          <w:u w:val="single" w:color="auto"/>
          <w:color w:val="auto"/>
        </w:rPr>
        <w:t>2</w:t>
      </w:r>
      <w:r>
        <w:rPr>
          <w:rFonts w:ascii="Arial" w:cs="Arial" w:eastAsia="Arial" w:hAnsi="Arial"/>
          <w:sz w:val="19"/>
          <w:szCs w:val="19"/>
          <w:color w:val="auto"/>
        </w:rPr>
        <w:t>.</w:t>
      </w:r>
    </w:p>
    <w:p>
      <w:pPr>
        <w:spacing w:after="0" w:line="200" w:lineRule="exact"/>
        <w:rPr>
          <w:sz w:val="20"/>
          <w:szCs w:val="20"/>
          <w:color w:val="auto"/>
        </w:rPr>
      </w:pP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2.2 </w:t>
      </w:r>
      <w:r>
        <w:rPr>
          <w:rFonts w:ascii="Arial" w:cs="Arial" w:eastAsia="Arial" w:hAnsi="Arial"/>
          <w:sz w:val="20"/>
          <w:szCs w:val="20"/>
          <w:color w:val="auto"/>
        </w:rPr>
        <w:t>Promptly upon completion of each development milestone by SIEGFRIED, as set forth in the Technology Transfer Plan,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SIEGFRIED shall deliver to JAZZ PHARMACEUTICALS a complete written report or reports. A detailed description of such reports, as well as other reports to be </w:t>
      </w:r>
      <w:r>
        <w:rPr>
          <w:rFonts w:ascii="Arial" w:cs="Arial" w:eastAsia="Arial" w:hAnsi="Arial"/>
          <w:sz w:val="21"/>
          <w:szCs w:val="21"/>
          <w:color w:val="auto"/>
        </w:rPr>
        <w:t>provided by</w:t>
      </w:r>
      <w:r>
        <w:rPr>
          <w:rFonts w:ascii="Arial" w:cs="Arial" w:eastAsia="Arial" w:hAnsi="Arial"/>
          <w:sz w:val="20"/>
          <w:szCs w:val="20"/>
          <w:color w:val="auto"/>
        </w:rPr>
        <w:t xml:space="preserve"> SIEGFRIED will be set forth in the Technology Transfer Plan. Within [ * ] after the delivery to JAZZ PHARMACEUTICALS </w:t>
      </w:r>
      <w:r>
        <w:rPr>
          <w:rFonts w:ascii="Arial" w:cs="Arial" w:eastAsia="Arial" w:hAnsi="Arial"/>
          <w:sz w:val="21"/>
          <w:szCs w:val="21"/>
          <w:color w:val="auto"/>
        </w:rPr>
        <w:t>of each report,</w:t>
      </w:r>
      <w:r>
        <w:rPr>
          <w:rFonts w:ascii="Arial" w:cs="Arial" w:eastAsia="Arial" w:hAnsi="Arial"/>
          <w:sz w:val="20"/>
          <w:szCs w:val="20"/>
          <w:color w:val="auto"/>
        </w:rPr>
        <w:t xml:space="preserve"> JAZZ PHARMACEUTICALS </w:t>
      </w:r>
      <w:r>
        <w:rPr>
          <w:rFonts w:ascii="Arial" w:cs="Arial" w:eastAsia="Arial" w:hAnsi="Arial"/>
          <w:sz w:val="21"/>
          <w:szCs w:val="21"/>
          <w:color w:val="auto"/>
        </w:rPr>
        <w:t>shall either (a) accept such</w:t>
      </w:r>
      <w:r>
        <w:rPr>
          <w:rFonts w:ascii="Arial" w:cs="Arial" w:eastAsia="Arial" w:hAnsi="Arial"/>
          <w:sz w:val="20"/>
          <w:szCs w:val="20"/>
          <w:color w:val="auto"/>
        </w:rPr>
        <w:t xml:space="preserve"> </w:t>
      </w:r>
      <w:r>
        <w:rPr>
          <w:rFonts w:ascii="Arial" w:cs="Arial" w:eastAsia="Arial" w:hAnsi="Arial"/>
          <w:sz w:val="21"/>
          <w:szCs w:val="21"/>
          <w:color w:val="auto"/>
        </w:rPr>
        <w:t xml:space="preserve">report and notify </w:t>
      </w:r>
      <w:r>
        <w:rPr>
          <w:rFonts w:ascii="Arial" w:cs="Arial" w:eastAsia="Arial" w:hAnsi="Arial"/>
          <w:sz w:val="19"/>
          <w:szCs w:val="19"/>
          <w:color w:val="auto"/>
        </w:rPr>
        <w:t>SIEGFRIED to proceed with the Technology Transfer Plan or (b) send SIEGFRIED written notice of</w:t>
      </w:r>
      <w:r>
        <w:rPr>
          <w:rFonts w:ascii="Arial" w:cs="Arial" w:eastAsia="Arial" w:hAnsi="Arial"/>
          <w:sz w:val="21"/>
          <w:szCs w:val="21"/>
          <w:color w:val="auto"/>
        </w:rPr>
        <w:t xml:space="preserve"> </w:t>
      </w:r>
      <w:r>
        <w:rPr>
          <w:rFonts w:ascii="Arial" w:cs="Arial" w:eastAsia="Arial" w:hAnsi="Arial"/>
          <w:sz w:val="19"/>
          <w:szCs w:val="19"/>
          <w:color w:val="auto"/>
        </w:rPr>
        <w:t>SIEGFRIED's failure to conduct such activities in accordance with the requirements set forth in the Technology Transfer Plan. SIEGFRIED agrees to take such corrective actions and to conduct such additional work required to satisfy the requirements set forth in the Technology Transfer Plan.</w:t>
      </w:r>
    </w:p>
    <w:p>
      <w:pPr>
        <w:spacing w:after="0" w:line="22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0"/>
          <w:szCs w:val="20"/>
          <w:color w:val="auto"/>
        </w:rPr>
        <w:t>In consideration of SIEGFRIED's conduct of the Technology Transfer Plan, JAZZ PHARMACEUTICALS agrees to pay</w:t>
      </w:r>
      <w:r>
        <w:rPr>
          <w:rFonts w:ascii="Arial" w:cs="Arial" w:eastAsia="Arial" w:hAnsi="Arial"/>
          <w:sz w:val="20"/>
          <w:szCs w:val="20"/>
          <w:b w:val="1"/>
          <w:bCs w:val="1"/>
          <w:color w:val="auto"/>
        </w:rPr>
        <w:t xml:space="preserve"> </w:t>
      </w:r>
      <w:r>
        <w:rPr>
          <w:rFonts w:ascii="Arial" w:cs="Arial" w:eastAsia="Arial" w:hAnsi="Arial"/>
          <w:sz w:val="20"/>
          <w:szCs w:val="20"/>
          <w:color w:val="auto"/>
        </w:rPr>
        <w:t>SIEGFRIED the amounts set forth in the Technology Transfer Plan</w:t>
      </w:r>
      <w:r>
        <w:rPr>
          <w:rFonts w:ascii="Arial" w:cs="Arial" w:eastAsia="Arial" w:hAnsi="Arial"/>
          <w:sz w:val="21"/>
          <w:szCs w:val="21"/>
          <w:color w:val="auto"/>
        </w:rPr>
        <w:t>.</w:t>
      </w:r>
      <w:r>
        <w:rPr>
          <w:rFonts w:ascii="Arial" w:cs="Arial" w:eastAsia="Arial" w:hAnsi="Arial"/>
          <w:sz w:val="20"/>
          <w:szCs w:val="20"/>
          <w:color w:val="auto"/>
        </w:rPr>
        <w:t xml:space="preserve"> JAZZ PHARMACEUTICALS </w:t>
      </w:r>
      <w:r>
        <w:rPr>
          <w:rFonts w:ascii="Arial" w:cs="Arial" w:eastAsia="Arial" w:hAnsi="Arial"/>
          <w:sz w:val="21"/>
          <w:szCs w:val="21"/>
          <w:color w:val="auto"/>
        </w:rPr>
        <w:t>shall only pay</w:t>
      </w:r>
      <w:r>
        <w:rPr>
          <w:rFonts w:ascii="Arial" w:cs="Arial" w:eastAsia="Arial" w:hAnsi="Arial"/>
          <w:sz w:val="20"/>
          <w:szCs w:val="20"/>
          <w:color w:val="auto"/>
        </w:rPr>
        <w:t xml:space="preserve"> SIEGFRIED for milestones which are completed. A breakdown of costs for each milestone will be set forth in the Technology Transfer Plan. Payments </w:t>
      </w:r>
      <w:r>
        <w:rPr>
          <w:rFonts w:ascii="Arial" w:cs="Arial" w:eastAsia="Arial" w:hAnsi="Arial"/>
          <w:sz w:val="21"/>
          <w:szCs w:val="21"/>
          <w:color w:val="auto"/>
        </w:rPr>
        <w:t>for each milestone will be made within [ * ] of satisfactory completion, as determined by</w:t>
      </w:r>
      <w:r>
        <w:rPr>
          <w:rFonts w:ascii="Arial" w:cs="Arial" w:eastAsia="Arial" w:hAnsi="Arial"/>
          <w:sz w:val="20"/>
          <w:szCs w:val="20"/>
          <w:color w:val="auto"/>
        </w:rPr>
        <w:t xml:space="preserve"> JAZZ PHARMACEUTICALS </w:t>
      </w:r>
      <w:r>
        <w:rPr>
          <w:rFonts w:ascii="Arial" w:cs="Arial" w:eastAsia="Arial" w:hAnsi="Arial"/>
          <w:sz w:val="21"/>
          <w:szCs w:val="21"/>
          <w:color w:val="auto"/>
        </w:rPr>
        <w:t>after review of the associated milestone completion summary reports discussed in Section 2.2</w:t>
      </w:r>
      <w:r>
        <w:rPr>
          <w:rFonts w:ascii="Arial" w:cs="Arial" w:eastAsia="Arial" w:hAnsi="Arial"/>
          <w:sz w:val="20"/>
          <w:szCs w:val="20"/>
          <w:color w:val="auto"/>
        </w:rPr>
        <w:t xml:space="preserve"> </w:t>
      </w:r>
      <w:r>
        <w:rPr>
          <w:rFonts w:ascii="Arial" w:cs="Arial" w:eastAsia="Arial" w:hAnsi="Arial"/>
          <w:sz w:val="21"/>
          <w:szCs w:val="21"/>
          <w:color w:val="auto"/>
        </w:rPr>
        <w:t xml:space="preserve">above and any other data generated through execution of the Technology </w:t>
      </w:r>
      <w:r>
        <w:rPr>
          <w:rFonts w:ascii="Arial" w:cs="Arial" w:eastAsia="Arial" w:hAnsi="Arial"/>
          <w:sz w:val="19"/>
          <w:szCs w:val="19"/>
          <w:color w:val="auto"/>
        </w:rPr>
        <w:t>Transfer Plan. SIEGFRIED shall not incur any</w:t>
      </w:r>
      <w:r>
        <w:rPr>
          <w:rFonts w:ascii="Arial" w:cs="Arial" w:eastAsia="Arial" w:hAnsi="Arial"/>
          <w:sz w:val="21"/>
          <w:szCs w:val="21"/>
          <w:color w:val="auto"/>
        </w:rPr>
        <w:t xml:space="preserve"> </w:t>
      </w:r>
      <w:r>
        <w:rPr>
          <w:rFonts w:ascii="Arial" w:cs="Arial" w:eastAsia="Arial" w:hAnsi="Arial"/>
          <w:sz w:val="19"/>
          <w:szCs w:val="19"/>
          <w:color w:val="auto"/>
        </w:rPr>
        <w:t xml:space="preserve">costs in excess of the </w:t>
      </w:r>
      <w:r>
        <w:rPr>
          <w:rFonts w:ascii="Arial" w:cs="Arial" w:eastAsia="Arial" w:hAnsi="Arial"/>
          <w:sz w:val="21"/>
          <w:szCs w:val="21"/>
          <w:color w:val="auto"/>
        </w:rPr>
        <w:t>amounts set forth in the Technology Transfer Plan without the prior written consent of</w:t>
      </w:r>
      <w:r>
        <w:rPr>
          <w:rFonts w:ascii="Arial" w:cs="Arial" w:eastAsia="Arial" w:hAnsi="Arial"/>
          <w:sz w:val="19"/>
          <w:szCs w:val="19"/>
          <w:color w:val="auto"/>
        </w:rPr>
        <w:t xml:space="preserve"> JAZZ PHARMACEUTICALS</w:t>
      </w:r>
      <w:r>
        <w:rPr>
          <w:rFonts w:ascii="Arial" w:cs="Arial" w:eastAsia="Arial" w:hAnsi="Arial"/>
          <w:sz w:val="21"/>
          <w:szCs w:val="21"/>
          <w:color w:val="auto"/>
        </w:rPr>
        <w:t>.</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0"/>
          <w:szCs w:val="20"/>
          <w:color w:val="auto"/>
        </w:rPr>
        <w:t>Upon completion of the Technology Transfer Plan and subject to Section 2.5 below, SIEGFRIED shall Manufacture the</w:t>
      </w:r>
      <w:r>
        <w:rPr>
          <w:rFonts w:ascii="Arial" w:cs="Arial" w:eastAsia="Arial" w:hAnsi="Arial"/>
          <w:sz w:val="20"/>
          <w:szCs w:val="20"/>
          <w:b w:val="1"/>
          <w:bCs w:val="1"/>
          <w:color w:val="auto"/>
        </w:rPr>
        <w:t xml:space="preserve"> </w:t>
      </w:r>
      <w:r>
        <w:rPr>
          <w:rFonts w:ascii="Arial" w:cs="Arial" w:eastAsia="Arial" w:hAnsi="Arial"/>
          <w:sz w:val="20"/>
          <w:szCs w:val="20"/>
          <w:color w:val="auto"/>
        </w:rPr>
        <w:t>Active Material in accordance with the Specifications, cGMP, the Quality Agreement and all applicable Laws. All work specified hereunder shall be carried out by SIEGFRIED, or a subcontractor designated by SIEGFRIED in accordance with Section 10.2.</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2.5 </w:t>
      </w:r>
      <w:r>
        <w:rPr>
          <w:rFonts w:ascii="Arial" w:cs="Arial" w:eastAsia="Arial" w:hAnsi="Arial"/>
          <w:sz w:val="19"/>
          <w:szCs w:val="19"/>
          <w:color w:val="auto"/>
        </w:rPr>
        <w:t>JAZZ PHARMACEUTICALS shall specify the Manufacturing Commencement Date by written notice to SIEGFRIED within [ *</w:t>
      </w:r>
    </w:p>
    <w:p>
      <w:pPr>
        <w:spacing w:after="0" w:line="28" w:lineRule="exact"/>
        <w:rPr>
          <w:sz w:val="20"/>
          <w:szCs w:val="20"/>
          <w:color w:val="auto"/>
        </w:rPr>
      </w:pPr>
    </w:p>
    <w:p>
      <w:pPr>
        <w:jc w:val="both"/>
        <w:ind w:firstLine="8"/>
        <w:spacing w:after="0" w:line="235" w:lineRule="auto"/>
        <w:tabs>
          <w:tab w:leader="none" w:pos="164" w:val="left"/>
        </w:tabs>
        <w:numPr>
          <w:ilvl w:val="0"/>
          <w:numId w:val="23"/>
        </w:numPr>
        <w:rPr>
          <w:rFonts w:ascii="Arial" w:cs="Arial" w:eastAsia="Arial" w:hAnsi="Arial"/>
          <w:sz w:val="20"/>
          <w:szCs w:val="20"/>
          <w:color w:val="auto"/>
        </w:rPr>
      </w:pPr>
      <w:r>
        <w:rPr>
          <w:rFonts w:ascii="Arial" w:cs="Arial" w:eastAsia="Arial" w:hAnsi="Arial"/>
          <w:sz w:val="22"/>
          <w:szCs w:val="22"/>
          <w:color w:val="auto"/>
        </w:rPr>
        <w:t>following (i) the approval of SIEGFRIED as a manufacturer of the Active Material, including approval of the Manufacturing Site by the FDA, DEA and any other applicable Regulatory Authority, and (ii) receipt of appropriate Quota. SIEGFRIED will provide all Manufacturing Services at the Manufacturing Site; provided, however, SIEGFRIED may transfer the Manufacturing Services to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8"/>
        <w:spacing w:after="0" w:line="271" w:lineRule="auto"/>
        <w:tabs>
          <w:tab w:leader="none" w:pos="25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40" w:right="339" w:bottom="1440" w:gutter="0" w:footer="0" w:header="0"/>
        </w:sectPr>
      </w:pPr>
    </w:p>
    <w:bookmarkStart w:id="68" w:name="page69"/>
    <w:bookmarkEnd w:id="68"/>
    <w:p>
      <w:pPr>
        <w:jc w:val="both"/>
        <w:spacing w:after="0" w:line="244" w:lineRule="auto"/>
        <w:rPr>
          <w:sz w:val="20"/>
          <w:szCs w:val="20"/>
          <w:color w:val="auto"/>
        </w:rPr>
      </w:pPr>
      <w:r>
        <w:rPr>
          <w:rFonts w:ascii="Arial" w:cs="Arial" w:eastAsia="Arial" w:hAnsi="Arial"/>
          <w:sz w:val="21"/>
          <w:szCs w:val="21"/>
          <w:color w:val="auto"/>
        </w:rPr>
        <w:t>facility located in the United States and owned by Siegfried (the “</w:t>
      </w:r>
      <w:r>
        <w:rPr>
          <w:rFonts w:ascii="Arial" w:cs="Arial" w:eastAsia="Arial" w:hAnsi="Arial"/>
          <w:sz w:val="21"/>
          <w:szCs w:val="21"/>
          <w:b w:val="1"/>
          <w:bCs w:val="1"/>
          <w:color w:val="auto"/>
        </w:rPr>
        <w:t>New Manufacturing Site</w:t>
      </w:r>
      <w:r>
        <w:rPr>
          <w:rFonts w:ascii="Arial" w:cs="Arial" w:eastAsia="Arial" w:hAnsi="Arial"/>
          <w:sz w:val="21"/>
          <w:szCs w:val="21"/>
          <w:color w:val="auto"/>
        </w:rPr>
        <w:t>”) upon the written approval of JAZZ PHARMACEUTICALS, such approval not to be unreasonably withheld. If SIEGFRIED wishes to transfer the Manufacturing Services to a New Manufacturing Site, it will provide JAZZ PHARMACEUTICALS with a written request that indicates the location of the New Manufacturing Site and the proposed timeline for the transfer of Manufacturing Services to the New Manufacturing Site. All costs associated with the transfer of the Manufacturing Services to the New Manufacturing Site, including any costs incurred by JAZZ PHARMACEUTICALS, will be the sole responsibility of SIEGFRIED. SIEGFRIED will not be allowed to transfer the Manufacturing Services to the New Manufacturing Site and JAZZ PHARMACEUTICALS will not have to approve the transfer to the New Manufacturing Site until (a) approval of the New Manufacturing Site by the FDA, DEA and any other applicable Regulatory Authority to manufacture the Active Material and (b) receipt of appropriate Quota for the New Manufacturing Site.</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 xml:space="preserve">2.6 </w:t>
      </w:r>
      <w:r>
        <w:rPr>
          <w:rFonts w:ascii="Arial" w:cs="Arial" w:eastAsia="Arial" w:hAnsi="Arial"/>
          <w:sz w:val="20"/>
          <w:szCs w:val="20"/>
          <w:color w:val="auto"/>
        </w:rPr>
        <w:t>From and after the Manufacturing Commencement Date,</w:t>
      </w:r>
      <w:r>
        <w:rPr>
          <w:rFonts w:ascii="Arial" w:cs="Arial" w:eastAsia="Arial" w:hAnsi="Arial"/>
          <w:sz w:val="20"/>
          <w:szCs w:val="20"/>
          <w:b w:val="1"/>
          <w:bCs w:val="1"/>
          <w:color w:val="auto"/>
        </w:rPr>
        <w:t xml:space="preserve"> </w:t>
      </w:r>
      <w:r>
        <w:rPr>
          <w:rFonts w:ascii="Arial" w:cs="Arial" w:eastAsia="Arial" w:hAnsi="Arial"/>
          <w:sz w:val="21"/>
          <w:szCs w:val="21"/>
          <w:color w:val="auto"/>
        </w:rPr>
        <w:t>SIEGFRIED</w:t>
      </w:r>
      <w:r>
        <w:rPr>
          <w:rFonts w:ascii="Arial" w:cs="Arial" w:eastAsia="Arial" w:hAnsi="Arial"/>
          <w:sz w:val="20"/>
          <w:szCs w:val="20"/>
          <w:b w:val="1"/>
          <w:bCs w:val="1"/>
          <w:color w:val="auto"/>
        </w:rPr>
        <w:t xml:space="preserve"> </w:t>
      </w:r>
      <w:r>
        <w:rPr>
          <w:rFonts w:ascii="Arial" w:cs="Arial" w:eastAsia="Arial" w:hAnsi="Arial"/>
          <w:sz w:val="20"/>
          <w:szCs w:val="20"/>
          <w:color w:val="auto"/>
        </w:rPr>
        <w:t>shall perform the Manufacturing Services set forth on</w:t>
      </w:r>
      <w:r>
        <w:rPr>
          <w:rFonts w:ascii="Arial" w:cs="Arial" w:eastAsia="Arial" w:hAnsi="Arial"/>
          <w:sz w:val="20"/>
          <w:szCs w:val="20"/>
          <w:b w:val="1"/>
          <w:bCs w:val="1"/>
          <w:color w:val="auto"/>
        </w:rPr>
        <w:t xml:space="preserve"> </w:t>
      </w:r>
      <w:r>
        <w:rPr>
          <w:rFonts w:ascii="Arial" w:cs="Arial" w:eastAsia="Arial" w:hAnsi="Arial"/>
          <w:sz w:val="21"/>
          <w:szCs w:val="21"/>
          <w:u w:val="single" w:color="auto"/>
          <w:color w:val="auto"/>
        </w:rPr>
        <w:t>Schedule 3</w:t>
      </w:r>
      <w:r>
        <w:rPr>
          <w:rFonts w:ascii="Arial" w:cs="Arial" w:eastAsia="Arial" w:hAnsi="Arial"/>
          <w:sz w:val="21"/>
          <w:szCs w:val="21"/>
          <w:color w:val="auto"/>
        </w:rPr>
        <w:t xml:space="preserve"> </w:t>
      </w:r>
      <w:r>
        <w:rPr>
          <w:rFonts w:ascii="Arial" w:cs="Arial" w:eastAsia="Arial" w:hAnsi="Arial"/>
          <w:sz w:val="19"/>
          <w:szCs w:val="19"/>
          <w:color w:val="auto"/>
        </w:rPr>
        <w:t>attached hereto. JAZZ PHARMACEUTICALS shall purchase at least sixty percent (60%) of its requirements of</w:t>
      </w:r>
      <w:r>
        <w:rPr>
          <w:rFonts w:ascii="Arial" w:cs="Arial" w:eastAsia="Arial" w:hAnsi="Arial"/>
          <w:sz w:val="21"/>
          <w:szCs w:val="21"/>
          <w:color w:val="auto"/>
        </w:rPr>
        <w:t xml:space="preserve"> </w:t>
      </w:r>
      <w:r>
        <w:rPr>
          <w:rFonts w:ascii="Arial" w:cs="Arial" w:eastAsia="Arial" w:hAnsi="Arial"/>
          <w:sz w:val="19"/>
          <w:szCs w:val="19"/>
          <w:color w:val="auto"/>
        </w:rPr>
        <w:t xml:space="preserve">Active Material for the Territory from </w:t>
      </w:r>
      <w:r>
        <w:rPr>
          <w:rFonts w:ascii="Arial" w:cs="Arial" w:eastAsia="Arial" w:hAnsi="Arial"/>
          <w:sz w:val="21"/>
          <w:szCs w:val="21"/>
          <w:color w:val="auto"/>
        </w:rPr>
        <w:t>SIEGFRIED.</w:t>
      </w:r>
      <w:r>
        <w:rPr>
          <w:rFonts w:ascii="Arial" w:cs="Arial" w:eastAsia="Arial" w:hAnsi="Arial"/>
          <w:sz w:val="19"/>
          <w:szCs w:val="19"/>
          <w:color w:val="auto"/>
        </w:rPr>
        <w:t xml:space="preserve"> JAZZ PHARMACEUTICALS may establish other suppliers as additional manufacturers of up to forty percent (40%) of its requirements of Active Material. If </w:t>
      </w:r>
      <w:r>
        <w:rPr>
          <w:rFonts w:ascii="Arial" w:cs="Arial" w:eastAsia="Arial" w:hAnsi="Arial"/>
          <w:sz w:val="21"/>
          <w:szCs w:val="21"/>
          <w:color w:val="auto"/>
        </w:rPr>
        <w:t>SIEGFRIED</w:t>
      </w:r>
      <w:r>
        <w:rPr>
          <w:rFonts w:ascii="Arial" w:cs="Arial" w:eastAsia="Arial" w:hAnsi="Arial"/>
          <w:sz w:val="19"/>
          <w:szCs w:val="19"/>
          <w:color w:val="auto"/>
        </w:rPr>
        <w:t xml:space="preserve">, for reasons within its control, does not, or cannot, meet all of the JAZZ PHARMACEUTICALS’ Firm Orders (as herein below defined) for the Active Material submitted pursuant to the terms and conditions of this Agreement, JAZZ PHARMACEUTICALS may purchase more than forty percent (40%) of its requirements from such manufacturers, but only to the extent, and only for so long as, </w:t>
      </w:r>
      <w:r>
        <w:rPr>
          <w:rFonts w:ascii="Arial" w:cs="Arial" w:eastAsia="Arial" w:hAnsi="Arial"/>
          <w:sz w:val="21"/>
          <w:szCs w:val="21"/>
          <w:color w:val="auto"/>
        </w:rPr>
        <w:t>SIEGFRIED</w:t>
      </w:r>
      <w:r>
        <w:rPr>
          <w:rFonts w:ascii="Arial" w:cs="Arial" w:eastAsia="Arial" w:hAnsi="Arial"/>
          <w:sz w:val="19"/>
          <w:szCs w:val="19"/>
          <w:color w:val="auto"/>
        </w:rPr>
        <w:t xml:space="preserve"> does not, or cannot, meet all of the JAZZ PHARMACEUTICALS’ Firm Orders; provided, however, if SIEGFRIED cannot meet JAZZ PHARMACEUTICALS’ Firm Orders for a period of more than [ * ] for any reason or reasons not constituting a Force Majeure Event as defined in Article 13, JAZZ PHARMACEUTICALS will not be obligated to return any portion of its requirements that it has transferred to another manufacturer back to SIEGFRIED.</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2.7 </w:t>
      </w:r>
      <w:r>
        <w:rPr>
          <w:rFonts w:ascii="Arial" w:cs="Arial" w:eastAsia="Arial" w:hAnsi="Arial"/>
          <w:sz w:val="20"/>
          <w:szCs w:val="20"/>
          <w:color w:val="auto"/>
        </w:rPr>
        <w:t>No later than the [ * ] of each calendar month during the term of the Agreement, JAZZ PHARMACEUTICALS</w:t>
      </w:r>
      <w:r>
        <w:rPr>
          <w:rFonts w:ascii="Arial" w:cs="Arial" w:eastAsia="Arial" w:hAnsi="Arial"/>
          <w:sz w:val="20"/>
          <w:szCs w:val="20"/>
          <w:b w:val="1"/>
          <w:bCs w:val="1"/>
          <w:color w:val="auto"/>
        </w:rPr>
        <w:t xml:space="preserve"> </w:t>
      </w:r>
      <w:r>
        <w:rPr>
          <w:rFonts w:ascii="Arial" w:cs="Arial" w:eastAsia="Arial" w:hAnsi="Arial"/>
          <w:sz w:val="21"/>
          <w:szCs w:val="21"/>
          <w:color w:val="auto"/>
        </w:rPr>
        <w:t>shall furnish</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to SIEGFRIED a written rolling [ * ] forecast of </w:t>
      </w:r>
      <w:r>
        <w:rPr>
          <w:rFonts w:ascii="Arial" w:cs="Arial" w:eastAsia="Arial" w:hAnsi="Arial"/>
          <w:sz w:val="19"/>
          <w:szCs w:val="19"/>
          <w:color w:val="auto"/>
        </w:rPr>
        <w:t>JAZZ PHARMACEUTICALS</w:t>
      </w:r>
      <w:r>
        <w:rPr>
          <w:rFonts w:ascii="Arial" w:cs="Arial" w:eastAsia="Arial" w:hAnsi="Arial"/>
          <w:sz w:val="21"/>
          <w:szCs w:val="21"/>
          <w:color w:val="auto"/>
        </w:rPr>
        <w:t>' anticipated purchases, including shipment dates, of the Active Material (the "</w:t>
      </w:r>
      <w:r>
        <w:rPr>
          <w:rFonts w:ascii="Arial" w:cs="Arial" w:eastAsia="Arial" w:hAnsi="Arial"/>
          <w:sz w:val="21"/>
          <w:szCs w:val="21"/>
          <w:b w:val="1"/>
          <w:bCs w:val="1"/>
          <w:color w:val="auto"/>
        </w:rPr>
        <w:t>Forecast</w:t>
      </w:r>
      <w:r>
        <w:rPr>
          <w:rFonts w:ascii="Arial" w:cs="Arial" w:eastAsia="Arial" w:hAnsi="Arial"/>
          <w:sz w:val="21"/>
          <w:szCs w:val="21"/>
          <w:color w:val="auto"/>
        </w:rPr>
        <w:t>"). The first [ * ] covered in each [ * ] Forecast provided shall constitute a firm order (each, a "</w:t>
      </w:r>
      <w:r>
        <w:rPr>
          <w:rFonts w:ascii="Arial" w:cs="Arial" w:eastAsia="Arial" w:hAnsi="Arial"/>
          <w:sz w:val="21"/>
          <w:szCs w:val="21"/>
          <w:b w:val="1"/>
          <w:bCs w:val="1"/>
          <w:color w:val="auto"/>
        </w:rPr>
        <w:t>Firm Order</w:t>
      </w:r>
      <w:r>
        <w:rPr>
          <w:rFonts w:ascii="Arial" w:cs="Arial" w:eastAsia="Arial" w:hAnsi="Arial"/>
          <w:sz w:val="21"/>
          <w:szCs w:val="21"/>
          <w:color w:val="auto"/>
        </w:rPr>
        <w:t xml:space="preserve">"); the remaining [ * ] covered by each Forecast shall be a non-binding estimate only. Each Forecast shall cover a [ * ] forecast period starting the first (1st) day of the calendar month that is [ * ] in which </w:t>
      </w:r>
      <w:r>
        <w:rPr>
          <w:rFonts w:ascii="Arial" w:cs="Arial" w:eastAsia="Arial" w:hAnsi="Arial"/>
          <w:sz w:val="19"/>
          <w:szCs w:val="19"/>
          <w:color w:val="auto"/>
        </w:rPr>
        <w:t xml:space="preserve">JAZZ PHARMACEUTICALS </w:t>
      </w:r>
      <w:r>
        <w:rPr>
          <w:rFonts w:ascii="Arial" w:cs="Arial" w:eastAsia="Arial" w:hAnsi="Arial"/>
          <w:sz w:val="21"/>
          <w:szCs w:val="21"/>
          <w:color w:val="auto"/>
        </w:rPr>
        <w:t>provided such Forecast to SIEGFRIED. By way of example, the Forecast which</w:t>
      </w:r>
      <w:r>
        <w:rPr>
          <w:rFonts w:ascii="Arial" w:cs="Arial" w:eastAsia="Arial" w:hAnsi="Arial"/>
          <w:sz w:val="19"/>
          <w:szCs w:val="19"/>
          <w:color w:val="auto"/>
        </w:rPr>
        <w:t xml:space="preserve"> JAZZ PHARMACEUTICALS </w:t>
      </w:r>
      <w:r>
        <w:rPr>
          <w:rFonts w:ascii="Arial" w:cs="Arial" w:eastAsia="Arial" w:hAnsi="Arial"/>
          <w:sz w:val="21"/>
          <w:szCs w:val="21"/>
          <w:color w:val="auto"/>
        </w:rPr>
        <w:t>provides by [ * ] shall cover the period from [ * ]. For amounts of the Active Material set forth in</w:t>
      </w:r>
      <w:r>
        <w:rPr>
          <w:rFonts w:ascii="Arial" w:cs="Arial" w:eastAsia="Arial" w:hAnsi="Arial"/>
          <w:sz w:val="19"/>
          <w:szCs w:val="19"/>
          <w:color w:val="auto"/>
        </w:rPr>
        <w:t xml:space="preserve"> </w:t>
      </w:r>
      <w:r>
        <w:rPr>
          <w:rFonts w:ascii="Arial" w:cs="Arial" w:eastAsia="Arial" w:hAnsi="Arial"/>
          <w:sz w:val="21"/>
          <w:szCs w:val="21"/>
          <w:color w:val="auto"/>
        </w:rPr>
        <w:t xml:space="preserve">the Forecast, </w:t>
      </w:r>
      <w:r>
        <w:rPr>
          <w:rFonts w:ascii="Arial" w:cs="Arial" w:eastAsia="Arial" w:hAnsi="Arial"/>
          <w:sz w:val="19"/>
          <w:szCs w:val="19"/>
          <w:color w:val="auto"/>
        </w:rPr>
        <w:t>JAZZ PHARMACEUTICALS</w:t>
      </w:r>
      <w:r>
        <w:rPr>
          <w:rFonts w:ascii="Arial" w:cs="Arial" w:eastAsia="Arial" w:hAnsi="Arial"/>
          <w:sz w:val="21"/>
          <w:szCs w:val="21"/>
          <w:color w:val="auto"/>
        </w:rPr>
        <w:t xml:space="preserve"> and SIEGFRIED realize that the Quota may restrict manufacturing and hence delivery of shipments throughout the calendar year for which such Quota applies. If the Quota restricts, or is anticipated to restrict, SIEGFRIED’s ability to meet the manufacturing requirements set forth in the Forecast, SIEGFRIED will promptly notify </w:t>
      </w:r>
      <w:r>
        <w:rPr>
          <w:rFonts w:ascii="Arial" w:cs="Arial" w:eastAsia="Arial" w:hAnsi="Arial"/>
          <w:sz w:val="19"/>
          <w:szCs w:val="19"/>
          <w:color w:val="auto"/>
        </w:rPr>
        <w:t>JAZZ PHARMACEUTICALS</w:t>
      </w:r>
      <w:r>
        <w:rPr>
          <w:rFonts w:ascii="Arial" w:cs="Arial" w:eastAsia="Arial" w:hAnsi="Arial"/>
          <w:sz w:val="21"/>
          <w:szCs w:val="21"/>
          <w:color w:val="auto"/>
        </w:rPr>
        <w:t xml:space="preserve"> and the parties will meet and agree on a plan to resolve the anticipated shortfall in requested Active Material within [ * ]. </w:t>
      </w:r>
      <w:r>
        <w:rPr>
          <w:rFonts w:ascii="Arial" w:cs="Arial" w:eastAsia="Arial" w:hAnsi="Arial"/>
          <w:sz w:val="19"/>
          <w:szCs w:val="19"/>
          <w:color w:val="auto"/>
        </w:rPr>
        <w:t>Each Firm Order shall be in writing and shall specify the</w:t>
      </w:r>
      <w:r>
        <w:rPr>
          <w:rFonts w:ascii="Arial" w:cs="Arial" w:eastAsia="Arial" w:hAnsi="Arial"/>
          <w:sz w:val="21"/>
          <w:szCs w:val="21"/>
          <w:color w:val="auto"/>
        </w:rPr>
        <w:t xml:space="preserve"> </w:t>
      </w:r>
      <w:r>
        <w:rPr>
          <w:rFonts w:ascii="Arial" w:cs="Arial" w:eastAsia="Arial" w:hAnsi="Arial"/>
          <w:sz w:val="19"/>
          <w:szCs w:val="19"/>
          <w:color w:val="auto"/>
        </w:rPr>
        <w:t xml:space="preserve">Active Material ordered, the quantity ordered, the price pursuant to </w:t>
      </w:r>
      <w:r>
        <w:rPr>
          <w:rFonts w:ascii="Arial" w:cs="Arial" w:eastAsia="Arial" w:hAnsi="Arial"/>
          <w:sz w:val="21"/>
          <w:szCs w:val="21"/>
          <w:u w:val="single" w:color="auto"/>
          <w:color w:val="auto"/>
        </w:rPr>
        <w:t>Schedule 4</w:t>
      </w:r>
      <w:r>
        <w:rPr>
          <w:rFonts w:ascii="Arial" w:cs="Arial" w:eastAsia="Arial" w:hAnsi="Arial"/>
          <w:sz w:val="19"/>
          <w:szCs w:val="19"/>
          <w:color w:val="auto"/>
        </w:rPr>
        <w:t xml:space="preserve"> and the required delivery date, giving SIEGFRIED a lead time of [ * ]. Shorter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firstLine="8"/>
        <w:spacing w:after="0" w:line="271" w:lineRule="auto"/>
        <w:tabs>
          <w:tab w:leader="none" w:pos="25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07" w:right="339" w:bottom="1440" w:gutter="0" w:footer="0" w:header="0"/>
        </w:sectPr>
      </w:pPr>
    </w:p>
    <w:bookmarkStart w:id="69" w:name="page70"/>
    <w:bookmarkEnd w:id="69"/>
    <w:p>
      <w:pPr>
        <w:jc w:val="both"/>
        <w:spacing w:after="0" w:line="257" w:lineRule="auto"/>
        <w:rPr>
          <w:sz w:val="20"/>
          <w:szCs w:val="20"/>
          <w:color w:val="auto"/>
        </w:rPr>
      </w:pPr>
      <w:r>
        <w:rPr>
          <w:rFonts w:ascii="Arial" w:cs="Arial" w:eastAsia="Arial" w:hAnsi="Arial"/>
          <w:sz w:val="20"/>
          <w:szCs w:val="20"/>
          <w:color w:val="auto"/>
        </w:rPr>
        <w:t>lead times for Active Material deliveries, if deemed necessary by JAZZ PHARMACEUTICALS, may be agreed upon between the Parties in good faith.</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2.8 </w:t>
      </w:r>
      <w:r>
        <w:rPr>
          <w:rFonts w:ascii="Arial" w:cs="Arial" w:eastAsia="Arial" w:hAnsi="Arial"/>
          <w:sz w:val="20"/>
          <w:szCs w:val="20"/>
          <w:color w:val="auto"/>
        </w:rPr>
        <w:t>Firm Orders placed with SIEGFRIED by JAZZ PHARMACEUTICALS pursuant to the provisions of Section 2.7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acknowledged by SIEGFRIED in writing within [ * ] of receipt thereof. SIEGFRIED will use commercially reasonable efforts to ensure that all Active Material ordered by the JAZZ PHARMACEUTICALS in accordance with this Agreement will be shipped in accordance with the delivery dates specified in the JAZZ PHARMACEUTICALS’ Firm Order but in no event shall the actual delivery date be [ * ] from the date of delivery specified in the JAZZ PHARMACEUTICALS’ Firm Order, and SIEGFRIED will notify the JAZZ PHARMACEUTICALS promptly of any significant anticipated delay no later than [ * ] prior to such delivery date.</w:t>
      </w: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2.9 </w:t>
      </w:r>
      <w:r>
        <w:rPr>
          <w:rFonts w:ascii="Arial" w:cs="Arial" w:eastAsia="Arial" w:hAnsi="Arial"/>
          <w:sz w:val="20"/>
          <w:szCs w:val="20"/>
          <w:color w:val="auto"/>
        </w:rPr>
        <w:t>The Parties acknowledge that the Active Material is scheduled under the Federal Controlled Substances Act. SIEGFRIED is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obtain a Quota from the DEA before producing the Active Material. In that regard, throughout the term hereof, SIEGFRIED will submit to DEA in a timely manner all documents required by the DEA to obtain a Quota sufficient to meet JAZZ PHARMACEUTICALS’ Forecasts made pursuant to Section 2.7. Additional request(s) will be submitted by SIEGFRIED to DEA in a timely manner as necessary to reflect changes in JAZZ PHARMACEUTICALS’ Forecasts of Active Material. SIEGFRIED further agrees to use its commercially reasonable efforts to obtain a Quota from the DEA that allows SIEGFRIED to manufacture all Forecasts for the Active Material including cooperating with the JAZZ PHARMACEUTICALS in connection with any discussions with the DEA regarding a Quota. SIEGFRIED ACKNOWLEDGES THAT TIME IS OF THE ESSENCE IN PERFORMING ITS OBLIGATIONS UNDER THIS SECTION.</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auto"/>
        </w:rPr>
        <w:t xml:space="preserve">2.10 </w:t>
      </w:r>
      <w:r>
        <w:rPr>
          <w:rFonts w:ascii="Arial" w:cs="Arial" w:eastAsia="Arial" w:hAnsi="Arial"/>
          <w:sz w:val="20"/>
          <w:szCs w:val="20"/>
          <w:color w:val="auto"/>
        </w:rPr>
        <w:t>SIEGFRIED will use its commercially reasonable efforts to avoid any loss of Active Material. If and to the extent that Active</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is spilled, scrapped or otherwise unusable hereunder, SIEGFRIED will dispose of such Active Material in accordance with applicable regulations and will prepare all necessary disposal reporting documents and furnish such to DEA in accordance with applicable regulations and take such steps as are necessary to reclaim such lost amounts of Active Material for the Quota in the same Quota year any such loss occurs. In the event of any diversion of Active Material, SIEGFRIED will prepare all required diversion reports and will provide a copy to JAZZ PHARMACEUTICALS, if legally permissible, at least [ * ] prior to the filing thereof with the DEA in accordance with applicable regulations.</w:t>
      </w:r>
    </w:p>
    <w:p>
      <w:pPr>
        <w:spacing w:after="0" w:line="22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2.11 </w:t>
      </w:r>
      <w:r>
        <w:rPr>
          <w:rFonts w:ascii="Arial" w:cs="Arial" w:eastAsia="Arial" w:hAnsi="Arial"/>
          <w:sz w:val="20"/>
          <w:szCs w:val="20"/>
          <w:color w:val="auto"/>
        </w:rPr>
        <w:t>The Active Material ordered by JAZZ PHARMACEUTICALS pursuant to Firm Orders shall be delivered [ * ] (as per</w:t>
      </w:r>
      <w:r>
        <w:rPr>
          <w:rFonts w:ascii="Arial" w:cs="Arial" w:eastAsia="Arial" w:hAnsi="Arial"/>
          <w:sz w:val="20"/>
          <w:szCs w:val="20"/>
          <w:b w:val="1"/>
          <w:bCs w:val="1"/>
          <w:color w:val="auto"/>
        </w:rPr>
        <w:t xml:space="preserve"> </w:t>
      </w:r>
      <w:r>
        <w:rPr>
          <w:rFonts w:ascii="Arial" w:cs="Arial" w:eastAsia="Arial" w:hAnsi="Arial"/>
          <w:sz w:val="20"/>
          <w:szCs w:val="20"/>
          <w:color w:val="auto"/>
        </w:rPr>
        <w:t>INCOTERMS 2000, made a part hereof by reference)</w:t>
      </w:r>
      <w:r>
        <w:rPr>
          <w:rFonts w:ascii="Times New Roman" w:cs="Times New Roman" w:eastAsia="Times New Roman" w:hAnsi="Times New Roman"/>
          <w:sz w:val="21"/>
          <w:szCs w:val="21"/>
          <w:color w:val="auto"/>
        </w:rPr>
        <w:t>.</w:t>
      </w:r>
      <w:r>
        <w:rPr>
          <w:rFonts w:ascii="Arial" w:cs="Arial" w:eastAsia="Arial" w:hAnsi="Arial"/>
          <w:sz w:val="20"/>
          <w:szCs w:val="20"/>
          <w:color w:val="auto"/>
        </w:rPr>
        <w:t xml:space="preserve"> Risk of loss or of damage to the Active Material ordered by JAZZ PHARMACEUTICALS pursuant to Firm Orders shall remain with SIEGFRIED until the Active Material is made available for loading onto the carrier’s vehicle by SIEGFRIED for shipment at the shipping point at which time risk of loss or damage shall transfer to JAZZ PHARMACEUTICALS. SIEGFRIED shall, in accordance with the JAZZ PHARMACEUTICALS’ instructions and as agent for JAZZ PHARMACEUTICALS, arrange for shipping to be paid by JAZZ PHARMACEUTICALS. JAZZ PHARMACEUTICALS shall arrange for insurance and shall select the freight carrier used by SIEGFRIED to ship the Active Material and may monitor SIEGFRIED’s shipping and freight practices as they pertain to this Agreement. The Active Material</w:t>
      </w:r>
    </w:p>
    <w:p>
      <w:pPr>
        <w:spacing w:after="0" w:line="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shall be transported in accordance with the Specifications and all applicable Laws. Notwithstanding the foregoing, </w:t>
      </w:r>
      <w:r>
        <w:rPr>
          <w:rFonts w:ascii="Arial" w:cs="Arial" w:eastAsia="Arial" w:hAnsi="Arial"/>
          <w:sz w:val="21"/>
          <w:szCs w:val="21"/>
          <w:color w:val="auto"/>
        </w:rPr>
        <w:t>there will be</w:t>
      </w:r>
      <w:r>
        <w:rPr>
          <w:rFonts w:ascii="Arial" w:cs="Arial" w:eastAsia="Arial" w:hAnsi="Arial"/>
          <w:sz w:val="20"/>
          <w:szCs w:val="20"/>
          <w:color w:val="auto"/>
        </w:rPr>
        <w:t xml:space="preserve"> </w:t>
      </w:r>
      <w:r>
        <w:rPr>
          <w:rFonts w:ascii="Arial" w:cs="Arial" w:eastAsia="Arial" w:hAnsi="Arial"/>
          <w:sz w:val="21"/>
          <w:szCs w:val="21"/>
          <w:color w:val="auto"/>
        </w:rPr>
        <w:t>no additional charge by SIEGFRIED for storage for a period of up to [ * ] from the date of invoice of Firm Orders paid for by JAZZ PHARMACEUTICALS but held for shipment which Firm Orders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8"/>
        <w:spacing w:after="0" w:line="271" w:lineRule="auto"/>
        <w:tabs>
          <w:tab w:leader="none" w:pos="25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70" w:name="page71"/>
    <w:bookmarkEnd w:id="70"/>
    <w:p>
      <w:pPr>
        <w:jc w:val="both"/>
        <w:spacing w:after="0" w:line="241" w:lineRule="auto"/>
        <w:rPr>
          <w:sz w:val="20"/>
          <w:szCs w:val="20"/>
          <w:color w:val="auto"/>
        </w:rPr>
      </w:pPr>
      <w:r>
        <w:rPr>
          <w:rFonts w:ascii="Arial" w:cs="Arial" w:eastAsia="Arial" w:hAnsi="Arial"/>
          <w:sz w:val="22"/>
          <w:szCs w:val="22"/>
          <w:color w:val="auto"/>
        </w:rPr>
        <w:t xml:space="preserve">exceed at any given time [ * ] of the then-current Forecast; provided however that in no event will such stored Firm Orders exceed [ * ]. The storage quantities of </w:t>
      </w:r>
      <w:r>
        <w:rPr>
          <w:rFonts w:ascii="Arial" w:cs="Arial" w:eastAsia="Arial" w:hAnsi="Arial"/>
          <w:sz w:val="19"/>
          <w:szCs w:val="19"/>
          <w:color w:val="auto"/>
        </w:rPr>
        <w:t>Active Material in excess of the amounts provided for in the preceding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sentence must be mutually agreed-upon by the Parties.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 xml:space="preserve">2.12 </w:t>
      </w:r>
      <w:r>
        <w:rPr>
          <w:rFonts w:ascii="Arial" w:cs="Arial" w:eastAsia="Arial" w:hAnsi="Arial"/>
          <w:sz w:val="20"/>
          <w:szCs w:val="20"/>
          <w:color w:val="auto"/>
        </w:rPr>
        <w:t>During the term of this Agreement, JAZZ PHARMACEUTICALS shall disclose and deliver to SIEGFRIED all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in JAZZ PHARMACEUTICALS’ possession relating to the Manufacture, which may reasonably assist SIEGFRIED in performing its obligations hereunder.</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b w:val="1"/>
          <w:bCs w:val="1"/>
          <w:color w:val="auto"/>
        </w:rPr>
        <w:t xml:space="preserve">2.13 </w:t>
      </w:r>
      <w:r>
        <w:rPr>
          <w:rFonts w:ascii="Arial" w:cs="Arial" w:eastAsia="Arial" w:hAnsi="Arial"/>
          <w:sz w:val="20"/>
          <w:szCs w:val="20"/>
          <w:color w:val="auto"/>
        </w:rPr>
        <w:t>In connection with obtaining approval to manufacture the Active Material and Quota from the DEA, SIEGFRIED will deliver</w:t>
      </w:r>
      <w:r>
        <w:rPr>
          <w:rFonts w:ascii="Arial" w:cs="Arial" w:eastAsia="Arial" w:hAnsi="Arial"/>
          <w:sz w:val="20"/>
          <w:szCs w:val="20"/>
          <w:b w:val="1"/>
          <w:bCs w:val="1"/>
          <w:color w:val="auto"/>
        </w:rPr>
        <w:t xml:space="preserve"> </w:t>
      </w:r>
      <w:r>
        <w:rPr>
          <w:rFonts w:ascii="Arial" w:cs="Arial" w:eastAsia="Arial" w:hAnsi="Arial"/>
          <w:sz w:val="20"/>
          <w:szCs w:val="20"/>
          <w:color w:val="auto"/>
        </w:rPr>
        <w:t>a letter to the DEA authorizing the DEA to release to JAZZ PHARMACEUTICALS any and all information with respect to the Active Material that SIEGFRIED has provided directly to the DEA for the purposes of allowing DEA to communicate with SIEGFRIED regarding Quota in its capacity as a contract manufacturer for JAZZ PHARMACEUTICALS and to allow DEA to provide SIEGFRIED with preliminary estimates of the Quota to be issued to SIEGFRIED. SIEGFRIED will also authorize JAZZ PHARMACEUTICALS to interact directly with the DEA on SIEGFRIED’s behalf on all matters pertaining to the Quota and represent the Parties in all meetings with the DEA provided that SIEGFRIED will be allowed to participate in such meetings if it so desires.</w:t>
      </w:r>
    </w:p>
    <w:p>
      <w:pPr>
        <w:spacing w:after="0" w:line="194"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PRODUCT QUALITY</w:t>
      </w:r>
    </w:p>
    <w:p>
      <w:pPr>
        <w:spacing w:after="0" w:line="25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color w:val="auto"/>
        </w:rPr>
        <w:t>SIEGFRIED shall take reasonable best precautions and institute effective procedures to ensure that the Manufacture is and</w:t>
      </w:r>
      <w:r>
        <w:rPr>
          <w:rFonts w:ascii="Arial" w:cs="Arial" w:eastAsia="Arial" w:hAnsi="Arial"/>
          <w:sz w:val="20"/>
          <w:szCs w:val="20"/>
          <w:b w:val="1"/>
          <w:bCs w:val="1"/>
          <w:color w:val="auto"/>
        </w:rPr>
        <w:t xml:space="preserve"> </w:t>
      </w:r>
      <w:r>
        <w:rPr>
          <w:rFonts w:ascii="Arial" w:cs="Arial" w:eastAsia="Arial" w:hAnsi="Arial"/>
          <w:sz w:val="20"/>
          <w:szCs w:val="20"/>
          <w:color w:val="auto"/>
        </w:rPr>
        <w:t>remains fully compliant with the Quality Agreement, cGMP, the Specifications and all applicable Laws.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JAZZ PHARMACEUTICALS or its designee shall examine the Active Material produced by Siegfried within [ * ] of JAZZ</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PHARMACEUTICALS’ or its designee’s receipt thereof in order to determine compliance with the Specifications and cGMP. If, in JAZZ PHARMACEUTICALS' or its designee’s opinion, the Active Material delivered does not comply with the Specifications or cGMP, JAZZ PHARMACEUTICALS shall notify SIEGFRIED within [ * ] after JAZZ PHARMACEUTICALS’ or its designee’s determination made within the aforesaid [ * ] period that the Active Material delivered does not comply with the Specifications or cGMP (or, in the case of any Hidden Defects, within [ * ] after discovery by JAZZ PHARMACEUTICALS) in writing thereof. If JAZZ PHARMACEUTICALS does not notify SIEGFRIED accordingly within the specified time set forth above, the Active Material is deemed accepted, provided that JAZZ PHARMACEUTICALS retains the right to reject the Active Material at a later time in case of Hidden Defects, in which case JAZZ PHARMACEUTICALS shall inform SIEGFRIED within [ * ] in writing thereof. Any claims by JAZZ PHARMACEUTICALS regarding Active Material delivered shall specify in reasonable detail the nature and basis for the claim and cite SIEGFRIED’s relevant batch numbers or other information to enable specific identification of the Active Material involved. SIEGFRIED agrees to review any written claim made by JAZZ PHARMACEUTICALS regarding the quality of the Active Material and to provide JAZZ PHARMACEUTICALS with the results of such review in writing within [ * ] of receiving JAZZ PHARMACEUTICALS’ claim. If such review and testing by SIEGFRIED confirms that a certain quantity of Active Material did not meet the Specifications, JAZZ PHARMACEUTICALS shall have the right to reject such Batch of Active Material.</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3.3 </w:t>
      </w:r>
      <w:r>
        <w:rPr>
          <w:rFonts w:ascii="Arial" w:cs="Arial" w:eastAsia="Arial" w:hAnsi="Arial"/>
          <w:sz w:val="20"/>
          <w:szCs w:val="20"/>
          <w:color w:val="auto"/>
        </w:rPr>
        <w:t>If the Parties fail to agree as to whether a delivered quantity of Active Material complies with cGMP and the Specifications at</w:t>
      </w:r>
      <w:r>
        <w:rPr>
          <w:rFonts w:ascii="Arial" w:cs="Arial" w:eastAsia="Arial" w:hAnsi="Arial"/>
          <w:sz w:val="20"/>
          <w:szCs w:val="20"/>
          <w:b w:val="1"/>
          <w:bCs w:val="1"/>
          <w:color w:val="auto"/>
        </w:rPr>
        <w:t xml:space="preserve"> </w:t>
      </w:r>
      <w:r>
        <w:rPr>
          <w:rFonts w:ascii="Arial" w:cs="Arial" w:eastAsia="Arial" w:hAnsi="Arial"/>
          <w:sz w:val="20"/>
          <w:szCs w:val="20"/>
          <w:color w:val="auto"/>
        </w:rPr>
        <w:t>the time of delivery, the Parties agree to have the Batch in dispute tested and further analysed by an independent testing laboratory selected by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firstLine="8"/>
        <w:spacing w:after="0" w:line="271" w:lineRule="auto"/>
        <w:tabs>
          <w:tab w:leader="none" w:pos="25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09" w:right="339" w:bottom="1440" w:gutter="0" w:footer="0" w:header="0"/>
        </w:sectPr>
      </w:pPr>
    </w:p>
    <w:bookmarkStart w:id="71" w:name="page72"/>
    <w:bookmarkEnd w:id="71"/>
    <w:p>
      <w:pPr>
        <w:jc w:val="both"/>
        <w:spacing w:after="0" w:line="252" w:lineRule="auto"/>
        <w:rPr>
          <w:sz w:val="20"/>
          <w:szCs w:val="20"/>
          <w:color w:val="auto"/>
        </w:rPr>
      </w:pPr>
      <w:r>
        <w:rPr>
          <w:rFonts w:ascii="Arial" w:cs="Arial" w:eastAsia="Arial" w:hAnsi="Arial"/>
          <w:sz w:val="19"/>
          <w:szCs w:val="19"/>
          <w:color w:val="auto"/>
        </w:rPr>
        <w:t>between the Parties. The decision of the independent testing laboratory shall be deemed final as to any dispute over Active Material quality. Should the laboratory's testing determine that delivered Active Material does not comply with the Specifications or cGMP, SIEGFRIED shall bear all costs for the independent laboratory testing and JAZZ PHARMACEUTICALS shall have the right to reject such Batch of Active Material. If said quantity of Active Material is determined by the independent laboratory to have met the Specifications and cGMP, then JAZZ PHARMACEUTICALS shall bear all costs of the independent laboratory testing and compensate SIEGFRIED for the Batch in question as set out in this Agreement.</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color w:val="auto"/>
        </w:rPr>
        <w:t>In the event JAZZ PHARMACEUTICALS rejects Product in accordance with Section 3.2 above and SIEGFRIED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dispute such rejection, or if the independent testing laboratory selected by agreement between the Parties in accordance with Section 3.2 above determines that delivered Active Material does not comply with the Specifications or cGMP, and the deviation is determined to arise from SIEGFRIED’s failure to provide the Manufacturing Services in accordance with Specifications or cGMPs, SIEGFRIED shall promptly, at JAZZ PHARMACEUTICALS’ election, either: (i) offset such amount against other amounts due to SIEGFRIED hereunder; or (ii) replace such Active Material with conforming Active material without JAZZ</w:t>
      </w:r>
    </w:p>
    <w:p>
      <w:pPr>
        <w:spacing w:after="0" w:line="4"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PHARMACEUTICALS being liable for payment therefor under Section 6.1 below. Such credit or replacement will be </w:t>
      </w:r>
      <w:r>
        <w:rPr>
          <w:rFonts w:ascii="Arial" w:cs="Arial" w:eastAsia="Arial" w:hAnsi="Arial"/>
          <w:sz w:val="21"/>
          <w:szCs w:val="21"/>
          <w:color w:val="auto"/>
        </w:rPr>
        <w:t>JAZZ</w:t>
      </w:r>
      <w:r>
        <w:rPr>
          <w:rFonts w:ascii="Arial" w:cs="Arial" w:eastAsia="Arial" w:hAnsi="Arial"/>
          <w:sz w:val="20"/>
          <w:szCs w:val="20"/>
          <w:color w:val="auto"/>
        </w:rPr>
        <w:t xml:space="preserve"> </w:t>
      </w:r>
      <w:r>
        <w:rPr>
          <w:rFonts w:ascii="Arial" w:cs="Arial" w:eastAsia="Arial" w:hAnsi="Arial"/>
          <w:sz w:val="21"/>
          <w:szCs w:val="21"/>
          <w:color w:val="auto"/>
        </w:rPr>
        <w:t xml:space="preserve">PHARMACEUTICALS’ sole remedy for such rejected Active Material provided SIEGFRIED provides replacement </w:t>
      </w:r>
      <w:r>
        <w:rPr>
          <w:rFonts w:ascii="Arial" w:cs="Arial" w:eastAsia="Arial" w:hAnsi="Arial"/>
          <w:sz w:val="19"/>
          <w:szCs w:val="19"/>
          <w:color w:val="auto"/>
        </w:rPr>
        <w:t>or</w:t>
      </w:r>
      <w:r>
        <w:rPr>
          <w:rFonts w:ascii="Arial" w:cs="Arial" w:eastAsia="Arial" w:hAnsi="Arial"/>
          <w:sz w:val="21"/>
          <w:szCs w:val="21"/>
          <w:color w:val="auto"/>
        </w:rPr>
        <w:t xml:space="preserve"> </w:t>
      </w:r>
      <w:r>
        <w:rPr>
          <w:rFonts w:ascii="Arial" w:cs="Arial" w:eastAsia="Arial" w:hAnsi="Arial"/>
          <w:sz w:val="19"/>
          <w:szCs w:val="19"/>
          <w:color w:val="auto"/>
        </w:rPr>
        <w:t>credit within [ * ] of notice of rejection or, in the event of a dispute regarding compliance, within [ * ] of notice the independent testing laboratory selected by agreement between the Parties in accordance with Section 3.2 has determined that delivered Active Material did not comply with the Specifications or cGMP.</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3.5 </w:t>
      </w:r>
      <w:r>
        <w:rPr>
          <w:rFonts w:ascii="Arial" w:cs="Arial" w:eastAsia="Arial" w:hAnsi="Arial"/>
          <w:sz w:val="20"/>
          <w:szCs w:val="20"/>
          <w:color w:val="auto"/>
        </w:rPr>
        <w:t>Each Party shall promptly notify the other party if any</w:t>
      </w:r>
      <w:r>
        <w:rPr>
          <w:rFonts w:ascii="Arial" w:cs="Arial" w:eastAsia="Arial" w:hAnsi="Arial"/>
          <w:sz w:val="20"/>
          <w:szCs w:val="20"/>
          <w:b w:val="1"/>
          <w:bCs w:val="1"/>
          <w:color w:val="auto"/>
        </w:rPr>
        <w:t xml:space="preserve"> </w:t>
      </w:r>
      <w:r>
        <w:rPr>
          <w:rFonts w:ascii="Arial" w:cs="Arial" w:eastAsia="Arial" w:hAnsi="Arial"/>
          <w:sz w:val="21"/>
          <w:szCs w:val="21"/>
          <w:color w:val="auto"/>
        </w:rPr>
        <w:t>Batch of the Active Material is alleged or proven to be the</w:t>
      </w:r>
    </w:p>
    <w:p>
      <w:pPr>
        <w:spacing w:after="0" w:line="22" w:lineRule="exact"/>
        <w:rPr>
          <w:sz w:val="20"/>
          <w:szCs w:val="20"/>
          <w:color w:val="auto"/>
        </w:rPr>
      </w:pPr>
    </w:p>
    <w:p>
      <w:pPr>
        <w:jc w:val="both"/>
        <w:spacing w:after="0" w:line="242" w:lineRule="auto"/>
        <w:rPr>
          <w:sz w:val="20"/>
          <w:szCs w:val="20"/>
          <w:color w:val="auto"/>
        </w:rPr>
      </w:pPr>
      <w:r>
        <w:rPr>
          <w:rFonts w:ascii="Arial" w:cs="Arial" w:eastAsia="Arial" w:hAnsi="Arial"/>
          <w:sz w:val="22"/>
          <w:szCs w:val="22"/>
          <w:color w:val="auto"/>
        </w:rPr>
        <w:t xml:space="preserve">subject of a recall, market withdrawal or </w:t>
      </w:r>
      <w:r>
        <w:rPr>
          <w:rFonts w:ascii="Arial" w:cs="Arial" w:eastAsia="Arial" w:hAnsi="Arial"/>
          <w:sz w:val="19"/>
          <w:szCs w:val="19"/>
          <w:color w:val="auto"/>
        </w:rPr>
        <w:t>correction ordered by the FDA or any other Regulatory Authority in the Territory. The</w:t>
      </w:r>
      <w:r>
        <w:rPr>
          <w:rFonts w:ascii="Arial" w:cs="Arial" w:eastAsia="Arial" w:hAnsi="Arial"/>
          <w:sz w:val="22"/>
          <w:szCs w:val="22"/>
          <w:color w:val="auto"/>
        </w:rPr>
        <w:t xml:space="preserve"> </w:t>
      </w:r>
      <w:r>
        <w:rPr>
          <w:rFonts w:ascii="Arial" w:cs="Arial" w:eastAsia="Arial" w:hAnsi="Arial"/>
          <w:sz w:val="19"/>
          <w:szCs w:val="19"/>
          <w:color w:val="auto"/>
        </w:rPr>
        <w:t xml:space="preserve">Parties shall cooperate in good faith to handle and dispose of such recall, market </w:t>
      </w:r>
      <w:r>
        <w:rPr>
          <w:rFonts w:ascii="Arial" w:cs="Arial" w:eastAsia="Arial" w:hAnsi="Arial"/>
          <w:sz w:val="21"/>
          <w:szCs w:val="21"/>
          <w:color w:val="auto"/>
        </w:rPr>
        <w:t>withdrawal or correction; provided,</w:t>
      </w:r>
      <w:r>
        <w:rPr>
          <w:rFonts w:ascii="Arial" w:cs="Arial" w:eastAsia="Arial" w:hAnsi="Arial"/>
          <w:sz w:val="19"/>
          <w:szCs w:val="19"/>
          <w:color w:val="auto"/>
        </w:rPr>
        <w:t xml:space="preserve"> </w:t>
      </w:r>
      <w:r>
        <w:rPr>
          <w:rFonts w:ascii="Arial" w:cs="Arial" w:eastAsia="Arial" w:hAnsi="Arial"/>
          <w:sz w:val="21"/>
          <w:szCs w:val="21"/>
          <w:color w:val="auto"/>
        </w:rPr>
        <w:t xml:space="preserve">however, that in the event of a disagreement as to any matters related to such recall, market withdrawal or correction, JAZZ PHARMACEUTICALS’ decision shall </w:t>
      </w:r>
      <w:r>
        <w:rPr>
          <w:rFonts w:ascii="Arial" w:cs="Arial" w:eastAsia="Arial" w:hAnsi="Arial"/>
          <w:sz w:val="19"/>
          <w:szCs w:val="19"/>
          <w:color w:val="auto"/>
        </w:rPr>
        <w:t>prevail. JAZZ PHARMACEUTICALS shall bear all the costs of any such recall,</w:t>
      </w:r>
      <w:r>
        <w:rPr>
          <w:rFonts w:ascii="Arial" w:cs="Arial" w:eastAsia="Arial" w:hAnsi="Arial"/>
          <w:sz w:val="21"/>
          <w:szCs w:val="21"/>
          <w:color w:val="auto"/>
        </w:rPr>
        <w:t xml:space="preserve"> </w:t>
      </w:r>
      <w:r>
        <w:rPr>
          <w:rFonts w:ascii="Arial" w:cs="Arial" w:eastAsia="Arial" w:hAnsi="Arial"/>
          <w:sz w:val="19"/>
          <w:szCs w:val="19"/>
          <w:color w:val="auto"/>
        </w:rPr>
        <w:t xml:space="preserve">market withdrawal or </w:t>
      </w:r>
      <w:r>
        <w:rPr>
          <w:rFonts w:ascii="Arial" w:cs="Arial" w:eastAsia="Arial" w:hAnsi="Arial"/>
          <w:sz w:val="21"/>
          <w:szCs w:val="21"/>
          <w:color w:val="auto"/>
        </w:rPr>
        <w:t>correction unless such recall, market withdrawal or correction was the result of SIEGFRIED’S</w:t>
      </w:r>
      <w:r>
        <w:rPr>
          <w:rFonts w:ascii="Arial" w:cs="Arial" w:eastAsia="Arial" w:hAnsi="Arial"/>
          <w:sz w:val="19"/>
          <w:szCs w:val="19"/>
          <w:color w:val="auto"/>
        </w:rPr>
        <w:t xml:space="preserve"> </w:t>
      </w:r>
      <w:r>
        <w:rPr>
          <w:rFonts w:ascii="Arial" w:cs="Arial" w:eastAsia="Arial" w:hAnsi="Arial"/>
          <w:sz w:val="21"/>
          <w:szCs w:val="21"/>
          <w:color w:val="auto"/>
        </w:rPr>
        <w:t xml:space="preserve">breach of any of its representations and warranties set forth in Article 11 below, in which </w:t>
      </w:r>
      <w:r>
        <w:rPr>
          <w:rFonts w:ascii="Arial" w:cs="Arial" w:eastAsia="Arial" w:hAnsi="Arial"/>
          <w:sz w:val="19"/>
          <w:szCs w:val="19"/>
          <w:color w:val="auto"/>
        </w:rPr>
        <w:t>case</w:t>
      </w:r>
      <w:r>
        <w:rPr>
          <w:rFonts w:ascii="Arial" w:cs="Arial" w:eastAsia="Arial" w:hAnsi="Arial"/>
          <w:sz w:val="21"/>
          <w:szCs w:val="21"/>
          <w:color w:val="auto"/>
        </w:rPr>
        <w:t xml:space="preserve"> SIEGFRIED </w:t>
      </w:r>
      <w:r>
        <w:rPr>
          <w:rFonts w:ascii="Arial" w:cs="Arial" w:eastAsia="Arial" w:hAnsi="Arial"/>
          <w:sz w:val="19"/>
          <w:szCs w:val="19"/>
          <w:color w:val="auto"/>
        </w:rPr>
        <w:t>shall bear</w:t>
      </w:r>
      <w:r>
        <w:rPr>
          <w:rFonts w:ascii="Arial" w:cs="Arial" w:eastAsia="Arial" w:hAnsi="Arial"/>
          <w:sz w:val="21"/>
          <w:szCs w:val="21"/>
          <w:color w:val="auto"/>
        </w:rPr>
        <w:t xml:space="preserve"> </w:t>
      </w:r>
      <w:r>
        <w:rPr>
          <w:rFonts w:ascii="Arial" w:cs="Arial" w:eastAsia="Arial" w:hAnsi="Arial"/>
          <w:sz w:val="19"/>
          <w:szCs w:val="19"/>
          <w:color w:val="auto"/>
        </w:rPr>
        <w:t>all costs of such recall, market withdrawal, or correction subject to the limitations set forth in Article 12. If SIEGFRIED asks for a recall and provides written detail regarding the specific reasons for the request that would be sufficient to justify it to an individual familiar with the pharmaceutical industry, and JAZZ PHARMACEUTICALS declines to initiate a recall, SIEGFRIED shall not be liable for any consequences or damages arising after JAZZ PHARMACEUTICALS has had a period of time reasonable under the circumstances (which period shall in no event exceed [ * ], and is referred to as the “</w:t>
      </w:r>
      <w:r>
        <w:rPr>
          <w:rFonts w:ascii="Arial" w:cs="Arial" w:eastAsia="Arial" w:hAnsi="Arial"/>
          <w:sz w:val="21"/>
          <w:szCs w:val="21"/>
          <w:b w:val="1"/>
          <w:bCs w:val="1"/>
          <w:color w:val="auto"/>
        </w:rPr>
        <w:t>Evaluation Period</w:t>
      </w:r>
      <w:r>
        <w:rPr>
          <w:rFonts w:ascii="Arial" w:cs="Arial" w:eastAsia="Arial" w:hAnsi="Arial"/>
          <w:sz w:val="19"/>
          <w:szCs w:val="19"/>
          <w:color w:val="auto"/>
        </w:rPr>
        <w:t xml:space="preserve">”) to assess the requested recall, and JAZZ PHARMACEUTICALS shall defend, indemnify and hold SIEGFRIED harmless with respect to any liability arising after the end of the Evaluation Period and resulting from </w:t>
      </w:r>
      <w:r>
        <w:rPr>
          <w:rFonts w:ascii="Arial" w:cs="Arial" w:eastAsia="Arial" w:hAnsi="Arial"/>
          <w:sz w:val="21"/>
          <w:szCs w:val="21"/>
          <w:color w:val="auto"/>
        </w:rPr>
        <w:t>JAZZ PHARMACEUTICALS’ decision not to</w:t>
      </w:r>
      <w:r>
        <w:rPr>
          <w:rFonts w:ascii="Arial" w:cs="Arial" w:eastAsia="Arial" w:hAnsi="Arial"/>
          <w:sz w:val="19"/>
          <w:szCs w:val="19"/>
          <w:color w:val="auto"/>
        </w:rPr>
        <w:t xml:space="preserve"> initiate a recall, regardless of any other provisions of this Agreement.</w:t>
      </w:r>
    </w:p>
    <w:p>
      <w:pPr>
        <w:spacing w:after="0" w:line="209"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AUDITS AND INSPECTIONS</w:t>
      </w:r>
    </w:p>
    <w:p>
      <w:pPr>
        <w:spacing w:after="0" w:line="28"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Each party shall forthwith upon execution of this Agreement appoint one of its employees to be a relationship manager</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responsible for liaison between the parties. The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8"/>
        <w:spacing w:after="0" w:line="271" w:lineRule="auto"/>
        <w:tabs>
          <w:tab w:leader="none" w:pos="25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72" w:name="page73"/>
    <w:bookmarkEnd w:id="72"/>
    <w:p>
      <w:pPr>
        <w:jc w:val="both"/>
        <w:spacing w:after="0"/>
        <w:rPr>
          <w:sz w:val="20"/>
          <w:szCs w:val="20"/>
          <w:color w:val="auto"/>
        </w:rPr>
      </w:pPr>
      <w:r>
        <w:rPr>
          <w:rFonts w:ascii="Arial" w:cs="Arial" w:eastAsia="Arial" w:hAnsi="Arial"/>
          <w:sz w:val="20"/>
          <w:szCs w:val="20"/>
          <w:color w:val="auto"/>
        </w:rPr>
        <w:t>managers shall meet not less than quarterly to review the current status of the business relationship, including, but not limited to, equipment and facilities updates, current and anticipated manufacturing capacity, planned work or changes to the Manufacturing Site where the Active Material is being produced and anticipated shut downs of such site, and manage any issues that have arisen.</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color w:val="auto"/>
        </w:rPr>
        <w:t>SIEGFRIED shall keep records of the manufacture, testing and shipping of the Active Material, and retain samples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Active Material as are necessary to comply with the Specifications and all manufacturing regulatory requirements and Laws applicable to SIEGFRIED, as well as to assist with resolving Active Material complaints and other similar investigations. Copies of such records and samples shall be retained for a period of seven (7) years, or longer if required by Law, after which SIEGFRIED may destroy such records </w:t>
      </w:r>
      <w:r>
        <w:rPr>
          <w:rFonts w:ascii="Arial" w:cs="Arial" w:eastAsia="Arial" w:hAnsi="Arial"/>
          <w:sz w:val="21"/>
          <w:szCs w:val="21"/>
          <w:color w:val="auto"/>
        </w:rPr>
        <w:t>unless JAZZ PHARMACEUTICALS specifies otherwise in advance</w:t>
      </w:r>
      <w:r>
        <w:rPr>
          <w:rFonts w:ascii="Arial" w:cs="Arial" w:eastAsia="Arial" w:hAnsi="Arial"/>
          <w:sz w:val="20"/>
          <w:szCs w:val="20"/>
          <w:color w:val="auto"/>
        </w:rPr>
        <w:t>.</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color w:val="auto"/>
        </w:rPr>
        <w:t>JAZZ PHARMACEUTICALS may inspect SIEGFRIED reports and records relating to this Agreement during normal</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hours and with reasonable advance notice, provided a SIEGFRIED representative is present during any such</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inspection. Furthermore, JAZZ PHARMACEUTICALS shall have the right, if JAZZ PHARMACEUTICALS reasonably deems it necessary, to request additional documentation from SIEGFRIED to verify SIEGFRIED’s calculation of any pass-through costs and cost increases.</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color w:val="auto"/>
        </w:rPr>
        <w:t>SIEGFRIED shall provide JAZZ PHARMACEUTICALS and its licensees with reasonable access at mutually agreeable times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its Manufacturing Site in which the Active Material is manufactured, stored, handled or shipped in order to permit the JAZZ PHARMACEUTICALS’ and its licensees verification of SIEGFRIED's compliance with the Agreement and with all applicable Laws. </w:t>
      </w:r>
      <w:r>
        <w:rPr>
          <w:rFonts w:ascii="Arial" w:cs="Arial" w:eastAsia="Arial" w:hAnsi="Arial"/>
          <w:sz w:val="21"/>
          <w:szCs w:val="21"/>
          <w:color w:val="auto"/>
        </w:rPr>
        <w:t>SIEGFRIED agrees to permit</w:t>
      </w:r>
      <w:r>
        <w:rPr>
          <w:rFonts w:ascii="Arial" w:cs="Arial" w:eastAsia="Arial" w:hAnsi="Arial"/>
          <w:sz w:val="20"/>
          <w:szCs w:val="20"/>
          <w:color w:val="auto"/>
        </w:rPr>
        <w:t xml:space="preserve"> JAZZ PHARMACEUTICALS or its licensee to review SIEGFRIED’s standard operating procedures for the manufacture of the Active Material and those associated with the general facilities, equipment, or procedures required for compliance with cGMPs or DEA requirements. SIEGFRIED shall use commercially reasonable efforts to obtain the right for JAZZ PHARMACEUTICALS and its licensees to have similar inspection rights with respect to all third party suppliers used by SIEGFRIED to provide components to manufacture the Active Material. If deficiencies are found by JAZZ PHARMACEUTICALS or its licensees during the course of such inspections, the Parties will promptly meet to discuss and resolve them, and JAZZ PHARMACEUTICALS and its licensees will be entitled to make reasonable follow up inspections to monitor correction of the deficiencies. SIEGFRIED shall notify JAZZ PHARMACEUTICALS of any inspections by, or communications with, any governmental agency involving the Active Material. SIEGFRIED shall furnish to JAZZ PHARMACEUTICALS all material information supplied to, or supplied by, such Regulatory Authority or third party supplier to the extent that such report relates to the Active Material, or the ability of SIEGFRIED to supply such Active Material, within [ * ] of their receipt of such information or delivery of such information, as the case may be. SIEGFRIED will promptly correct any deficiencies noted by governmental agencies in any such inspections. Any licensee of JAZZ PHARMACEUTICALS permitted access to SIEGFRIED’s Manufacturing Site and records pursuant to this Section 4.4 will be bound by obligations of confidentiality at least as stringent as those set forth in Article 7 of this Agreement.</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4.5 </w:t>
      </w:r>
      <w:r>
        <w:rPr>
          <w:rFonts w:ascii="Arial" w:cs="Arial" w:eastAsia="Arial" w:hAnsi="Arial"/>
          <w:sz w:val="20"/>
          <w:szCs w:val="20"/>
          <w:color w:val="auto"/>
        </w:rPr>
        <w:t>SIEGFRIED will supply on an annual basis an annual Manufacturing Services review which includes release test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complaint test results, investigations in manufacturing, testing and storage, and the like, that JAZZ PHARMACEUTICALS reasonably requires in order to complete any filing under any applicable Law, including any annual product report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firstLine="8"/>
        <w:spacing w:after="0" w:line="271" w:lineRule="auto"/>
        <w:tabs>
          <w:tab w:leader="none" w:pos="2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73" w:name="page74"/>
    <w:bookmarkEnd w:id="73"/>
    <w:p>
      <w:pPr>
        <w:spacing w:after="0"/>
        <w:rPr>
          <w:sz w:val="20"/>
          <w:szCs w:val="20"/>
          <w:color w:val="auto"/>
        </w:rPr>
      </w:pPr>
      <w:r>
        <w:rPr>
          <w:rFonts w:ascii="Arial" w:cs="Arial" w:eastAsia="Arial" w:hAnsi="Arial"/>
          <w:sz w:val="19"/>
          <w:szCs w:val="19"/>
          <w:color w:val="auto"/>
        </w:rPr>
        <w:t>JAZZ PHARMACEUTICALS is required to file with the FDA. SIEGFRIED will supply JAZZ PHARMACEUTICALS, no later than [</w:t>
      </w:r>
    </w:p>
    <w:p>
      <w:pPr>
        <w:spacing w:after="0" w:line="29" w:lineRule="exact"/>
        <w:rPr>
          <w:sz w:val="20"/>
          <w:szCs w:val="20"/>
          <w:color w:val="auto"/>
        </w:rPr>
      </w:pPr>
    </w:p>
    <w:p>
      <w:pPr>
        <w:jc w:val="both"/>
        <w:ind w:firstLine="8"/>
        <w:spacing w:after="0" w:line="242" w:lineRule="auto"/>
        <w:tabs>
          <w:tab w:leader="none" w:pos="150" w:val="left"/>
        </w:tabs>
        <w:numPr>
          <w:ilvl w:val="0"/>
          <w:numId w:val="32"/>
        </w:numPr>
        <w:rPr>
          <w:rFonts w:ascii="Arial" w:cs="Arial" w:eastAsia="Arial" w:hAnsi="Arial"/>
          <w:sz w:val="20"/>
          <w:szCs w:val="20"/>
          <w:color w:val="auto"/>
        </w:rPr>
      </w:pPr>
      <w:r>
        <w:rPr>
          <w:rFonts w:ascii="Arial" w:cs="Arial" w:eastAsia="Arial" w:hAnsi="Arial"/>
          <w:sz w:val="20"/>
          <w:szCs w:val="20"/>
          <w:color w:val="auto"/>
        </w:rPr>
        <w:t>] following the last day of the preceding month, with a written summary report of the Active Material inventory for such prior month, in such detail requested and satisfactory to JAZZ PHARMACEUTICALS, in order that JAZZ PHARMACEUTICALS may properly account for the Active Material held by SIEGFRIED pursuant to this Agreement. At the JAZZ PHARMACEUTICALS’ request, SIEGFRIED will prepare on behalf of JAZZ PHARMACEUTICALS additional specialized annual product reports in accordance with the JAZZ PHARMACEUTICALS’ instructions. At the JAZZ PHARMACEUTICALS’ request and expense, SIEGFRIED will provide the data described in this Section 4.5 on a quarterly basis.</w:t>
      </w:r>
    </w:p>
    <w:p>
      <w:pPr>
        <w:spacing w:after="0" w:line="190" w:lineRule="exact"/>
        <w:rPr>
          <w:sz w:val="20"/>
          <w:szCs w:val="20"/>
          <w:color w:val="auto"/>
        </w:rPr>
      </w:pPr>
    </w:p>
    <w:p>
      <w:pPr>
        <w:ind w:left="240" w:hanging="232"/>
        <w:spacing w:after="0"/>
        <w:tabs>
          <w:tab w:leader="none" w:pos="240" w:val="left"/>
        </w:tabs>
        <w:numPr>
          <w:ilvl w:val="0"/>
          <w:numId w:val="3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REGULATORY</w:t>
      </w: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color w:val="auto"/>
        </w:rPr>
        <w:t>SIEGFRIED shall have the sole responsibility to obtain and maintain any required local, federal or other permits or</w:t>
      </w:r>
      <w:r>
        <w:rPr>
          <w:rFonts w:ascii="Arial" w:cs="Arial" w:eastAsia="Arial" w:hAnsi="Arial"/>
          <w:sz w:val="19"/>
          <w:szCs w:val="19"/>
          <w:b w:val="1"/>
          <w:bCs w:val="1"/>
          <w:color w:val="auto"/>
        </w:rPr>
        <w:t xml:space="preserve"> </w:t>
      </w:r>
      <w:r>
        <w:rPr>
          <w:rFonts w:ascii="Arial" w:cs="Arial" w:eastAsia="Arial" w:hAnsi="Arial"/>
          <w:sz w:val="19"/>
          <w:szCs w:val="19"/>
          <w:color w:val="auto"/>
        </w:rPr>
        <w:t>approvals, including DEA approval, to allow SIEGFRIED to perform Manufacturing Services hereunder. JAZZ PHARMACEUTICALS shall use commercially reasonable efforts to assist SIEGFRIED, to the extent consistent with JAZZ PHARMACEUTICALS’ obligations under this Agreement, to obtain FDA and other regulatory approval for the manufacture of the Active Material by SIEGFRIED as quickly as reasonably possible. Copies of all relevant Chemistry and Manufacturing Controls ("</w:t>
      </w:r>
      <w:r>
        <w:rPr>
          <w:rFonts w:ascii="Arial" w:cs="Arial" w:eastAsia="Arial" w:hAnsi="Arial"/>
          <w:sz w:val="20"/>
          <w:szCs w:val="20"/>
          <w:b w:val="1"/>
          <w:bCs w:val="1"/>
          <w:color w:val="auto"/>
        </w:rPr>
        <w:t>CMC</w:t>
      </w:r>
      <w:r>
        <w:rPr>
          <w:rFonts w:ascii="Arial" w:cs="Arial" w:eastAsia="Arial" w:hAnsi="Arial"/>
          <w:sz w:val="19"/>
          <w:szCs w:val="19"/>
          <w:color w:val="auto"/>
        </w:rPr>
        <w:t>") submissions and any related FDA correspondence are to be provided to SIEGFRIED by JAZZ PHARMACEUTICALS.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5.2 </w:t>
      </w:r>
      <w:r>
        <w:rPr>
          <w:rFonts w:ascii="Arial" w:cs="Arial" w:eastAsia="Arial" w:hAnsi="Arial"/>
          <w:sz w:val="20"/>
          <w:szCs w:val="20"/>
          <w:color w:val="auto"/>
        </w:rPr>
        <w:t>Prior to filing any CMC-related documents with the FDA or other Regulatory Authority that incorporate data generated by</w:t>
      </w:r>
      <w:r>
        <w:rPr>
          <w:rFonts w:ascii="Arial" w:cs="Arial" w:eastAsia="Arial" w:hAnsi="Arial"/>
          <w:sz w:val="20"/>
          <w:szCs w:val="20"/>
          <w:b w:val="1"/>
          <w:bCs w:val="1"/>
          <w:color w:val="auto"/>
        </w:rPr>
        <w:t xml:space="preserve"> </w:t>
      </w:r>
      <w:r>
        <w:rPr>
          <w:rFonts w:ascii="Arial" w:cs="Arial" w:eastAsia="Arial" w:hAnsi="Arial"/>
          <w:sz w:val="20"/>
          <w:szCs w:val="20"/>
          <w:color w:val="auto"/>
        </w:rPr>
        <w:t>SIEGFRIED, JAZZ PHARMACEUTICALS shall provide SIEGFRIED with a copy of the documents incorporating such data so as to give SIEGFRIED a reasonable opportunity to verify the accuracy and regulatory validity of such documents as they relate to the SIEGFRIED generated data.</w:t>
      </w:r>
    </w:p>
    <w:p>
      <w:pPr>
        <w:spacing w:after="0" w:line="2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5.3 </w:t>
      </w:r>
      <w:r>
        <w:rPr>
          <w:rFonts w:ascii="Arial" w:cs="Arial" w:eastAsia="Arial" w:hAnsi="Arial"/>
          <w:sz w:val="20"/>
          <w:szCs w:val="20"/>
          <w:color w:val="auto"/>
        </w:rPr>
        <w:t>At least [ * ] prior to filing with the FDA the CMC section of a NDA covering manufacture of the Active Material by</w:t>
      </w:r>
      <w:r>
        <w:rPr>
          <w:rFonts w:ascii="Arial" w:cs="Arial" w:eastAsia="Arial" w:hAnsi="Arial"/>
          <w:sz w:val="20"/>
          <w:szCs w:val="20"/>
          <w:b w:val="1"/>
          <w:bCs w:val="1"/>
          <w:color w:val="auto"/>
        </w:rPr>
        <w:t xml:space="preserve"> </w:t>
      </w:r>
      <w:r>
        <w:rPr>
          <w:rFonts w:ascii="Arial" w:cs="Arial" w:eastAsia="Arial" w:hAnsi="Arial"/>
          <w:sz w:val="20"/>
          <w:szCs w:val="20"/>
          <w:color w:val="auto"/>
        </w:rPr>
        <w:t>SIEGFRIED, JAZZ PHARMACEUTICALS shall provide SIEGFRIED with a copy of the CMC portion as well as all supporting documents which have been relied upon to prepare the CMC portion so as to permit SIEGFRIED to verify that the CMC portion accurately describes the work that SIEGFRIED has performed and the manufacturing processes that SIEGFRIED will perform pursuant to this Agreement.</w:t>
      </w:r>
    </w:p>
    <w:p>
      <w:pPr>
        <w:spacing w:after="0" w:line="2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5.4 </w:t>
      </w:r>
      <w:r>
        <w:rPr>
          <w:rFonts w:ascii="Arial" w:cs="Arial" w:eastAsia="Arial" w:hAnsi="Arial"/>
          <w:sz w:val="20"/>
          <w:szCs w:val="20"/>
          <w:color w:val="auto"/>
        </w:rPr>
        <w:t>Subject to Section 5.5 below, if JAZZ PHARMACEUTICALS does not provide SIEGFRIED with the documentation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requested under paragraph (c) above within the time stipulated in these paragraphs and if SIEGFRIED reasonably believes that SIEGFRIED’s standing with the FDA may be jeopardized, SIEGFRIED may, in its reasonable, good faith discretion, delay or postpone the FDA pre-approval inspection ("</w:t>
      </w:r>
      <w:r>
        <w:rPr>
          <w:rFonts w:ascii="Arial" w:cs="Arial" w:eastAsia="Arial" w:hAnsi="Arial"/>
          <w:sz w:val="21"/>
          <w:szCs w:val="21"/>
          <w:b w:val="1"/>
          <w:bCs w:val="1"/>
          <w:color w:val="auto"/>
        </w:rPr>
        <w:t>PAI</w:t>
      </w:r>
      <w:r>
        <w:rPr>
          <w:rFonts w:ascii="Arial" w:cs="Arial" w:eastAsia="Arial" w:hAnsi="Arial"/>
          <w:sz w:val="20"/>
          <w:szCs w:val="20"/>
          <w:color w:val="auto"/>
        </w:rPr>
        <w:t>") until such time SIEGFRIED has reviewed the requested documentation and is satisfied with its contents provided that such review will be completed within [ * ] of SIEGFRIED’s receipt of such documentation from JAZZ PHARMACEUTICALS.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 xml:space="preserve">5.5 </w:t>
      </w:r>
      <w:r>
        <w:rPr>
          <w:rFonts w:ascii="Arial" w:cs="Arial" w:eastAsia="Arial" w:hAnsi="Arial"/>
          <w:sz w:val="19"/>
          <w:szCs w:val="19"/>
          <w:color w:val="auto"/>
        </w:rPr>
        <w:t>If in SIEGFRIED’s good faith discretion, acting reasonably, SIEGFRIED determines that any of the information provided by</w:t>
      </w:r>
      <w:r>
        <w:rPr>
          <w:rFonts w:ascii="Arial" w:cs="Arial" w:eastAsia="Arial" w:hAnsi="Arial"/>
          <w:sz w:val="19"/>
          <w:szCs w:val="19"/>
          <w:b w:val="1"/>
          <w:bCs w:val="1"/>
          <w:color w:val="auto"/>
        </w:rPr>
        <w:t xml:space="preserve"> </w:t>
      </w:r>
      <w:r>
        <w:rPr>
          <w:rFonts w:ascii="Arial" w:cs="Arial" w:eastAsia="Arial" w:hAnsi="Arial"/>
          <w:sz w:val="19"/>
          <w:szCs w:val="19"/>
          <w:color w:val="auto"/>
        </w:rPr>
        <w:t>JAZZ PHARMACEUTICALS in accordance with Sections 5.2 and 5.3 above is inaccurate or deficient in any material manner (the "</w:t>
      </w:r>
      <w:r>
        <w:rPr>
          <w:rFonts w:ascii="Arial" w:cs="Arial" w:eastAsia="Arial" w:hAnsi="Arial"/>
          <w:sz w:val="20"/>
          <w:szCs w:val="20"/>
          <w:b w:val="1"/>
          <w:bCs w:val="1"/>
          <w:color w:val="auto"/>
        </w:rPr>
        <w:t>Deficiencies</w:t>
      </w:r>
      <w:r>
        <w:rPr>
          <w:rFonts w:ascii="Arial" w:cs="Arial" w:eastAsia="Arial" w:hAnsi="Arial"/>
          <w:sz w:val="19"/>
          <w:szCs w:val="19"/>
          <w:color w:val="auto"/>
        </w:rPr>
        <w:t>"), SIEGFRIED shall notify JAZZ PHARMACEUTICALS in writing of such Deficiencies within [ * ] of receipt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information from JAZZ PHARMACEUTICALS. Failure to notify JAZZ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firstLine="8"/>
        <w:spacing w:after="0" w:line="271" w:lineRule="auto"/>
        <w:tabs>
          <w:tab w:leader="none" w:pos="25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27" w:right="339" w:bottom="1440" w:gutter="0" w:footer="0" w:header="0"/>
        </w:sectPr>
      </w:pPr>
    </w:p>
    <w:bookmarkStart w:id="74" w:name="page75"/>
    <w:bookmarkEnd w:id="74"/>
    <w:p>
      <w:pPr>
        <w:jc w:val="both"/>
        <w:spacing w:after="0" w:line="254" w:lineRule="auto"/>
        <w:rPr>
          <w:sz w:val="20"/>
          <w:szCs w:val="20"/>
          <w:color w:val="auto"/>
        </w:rPr>
      </w:pPr>
      <w:r>
        <w:rPr>
          <w:rFonts w:ascii="Arial" w:cs="Arial" w:eastAsia="Arial" w:hAnsi="Arial"/>
          <w:sz w:val="20"/>
          <w:szCs w:val="20"/>
          <w:color w:val="auto"/>
        </w:rPr>
        <w:t>PHARMACEUTICALS within the applicable period set forth above will constitute SIEGFRIED’s acceptance of the documentation provided in accordance with Sections 5.2 and 5.3 above. Until such Deficiencies have been resolved or agreement has been reached with JAZZ PHARMACEUTICALS, SIEGFRIED reserves the right not to participate in the PAI. In such event, SIEGFRIED’s non-participation in the PAI shall not be construed as a breach of any of its obligations under this Agreement. Any such PAI that is delayed shall be rescheduled as soon as reasonably practicable.</w:t>
      </w:r>
    </w:p>
    <w:p>
      <w:pPr>
        <w:spacing w:after="0" w:line="194"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COMPENSATION AND TERMS OF PAYMENT</w:t>
      </w:r>
    </w:p>
    <w:p>
      <w:pPr>
        <w:spacing w:after="0" w:line="23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6.1 </w:t>
      </w:r>
      <w:r>
        <w:rPr>
          <w:rFonts w:ascii="Arial" w:cs="Arial" w:eastAsia="Arial" w:hAnsi="Arial"/>
          <w:sz w:val="20"/>
          <w:szCs w:val="20"/>
          <w:color w:val="auto"/>
        </w:rPr>
        <w:t>In consideration for the supply of the Active Material by SIEGFRIED to JAZZ PHARMACEUTICALS under the terms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JAZZ PHARMACEUTICALS shall pay SIEGFRIED the amounts as set out in </w:t>
      </w:r>
      <w:r>
        <w:rPr>
          <w:rFonts w:ascii="Arial" w:cs="Arial" w:eastAsia="Arial" w:hAnsi="Arial"/>
          <w:sz w:val="21"/>
          <w:szCs w:val="21"/>
          <w:u w:val="single" w:color="auto"/>
          <w:color w:val="auto"/>
        </w:rPr>
        <w:t>Schedule 4</w:t>
      </w:r>
      <w:r>
        <w:rPr>
          <w:rFonts w:ascii="Arial" w:cs="Arial" w:eastAsia="Arial" w:hAnsi="Arial"/>
          <w:sz w:val="20"/>
          <w:szCs w:val="20"/>
          <w:color w:val="auto"/>
        </w:rPr>
        <w:t xml:space="preserve">, subject to such adjustments as set forth in Section 6.2 below. The fees that are payable by JAZZ PHARMACEUTICALS for the Active Material as set forth on </w:t>
      </w:r>
      <w:r>
        <w:rPr>
          <w:rFonts w:ascii="Arial" w:cs="Arial" w:eastAsia="Arial" w:hAnsi="Arial"/>
          <w:sz w:val="21"/>
          <w:szCs w:val="21"/>
          <w:u w:val="single" w:color="auto"/>
          <w:color w:val="auto"/>
        </w:rPr>
        <w:t>Schedule 4</w:t>
      </w:r>
      <w:r>
        <w:rPr>
          <w:rFonts w:ascii="Arial" w:cs="Arial" w:eastAsia="Arial" w:hAnsi="Arial"/>
          <w:sz w:val="20"/>
          <w:szCs w:val="20"/>
          <w:color w:val="auto"/>
        </w:rPr>
        <w:t xml:space="preserve"> are based on the actual annual volume of Active Material ordered by JAZZ PHARMACEUTICALS in any Year (“</w:t>
      </w:r>
      <w:r>
        <w:rPr>
          <w:rFonts w:ascii="Arial" w:cs="Arial" w:eastAsia="Arial" w:hAnsi="Arial"/>
          <w:sz w:val="21"/>
          <w:szCs w:val="21"/>
          <w:b w:val="1"/>
          <w:bCs w:val="1"/>
          <w:color w:val="auto"/>
        </w:rPr>
        <w:t>Actual Ordered Product</w:t>
      </w:r>
      <w:r>
        <w:rPr>
          <w:rFonts w:ascii="Arial" w:cs="Arial" w:eastAsia="Arial" w:hAnsi="Arial"/>
          <w:sz w:val="20"/>
          <w:szCs w:val="20"/>
          <w:color w:val="auto"/>
        </w:rPr>
        <w:t>”). The Parties shall estimate the fees payable by JAZZ PHARMACEUTICALS in any Year based on the Forecasts provided by JAZZ PHARMACEUTICALS under Section 2.7 above. Within [ * ] of the end of the each Year, the Parties shall reconcile the difference which may be payable by either Party based on the Actual Ordered Product for such Year. If the Actual Ordered Product for such Year is in a tier with a higher cost than that used to calculate the fees for such Year, JAZZ PHARMACEUTICALS shall pay SIEGFRIED the difference owed in accordance with Section 6.4 below. If the Actual Ordered Product for such Year is in a tier with a lower cost than that used by the Parties to estimate the fees for such Year, SIEGFRIED shall credit or refund, at JAZZ PHARMACEUTICALS’ option, JAZZ PHARMACEUTICALS for such overpayment.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0"/>
          <w:szCs w:val="20"/>
          <w:color w:val="auto"/>
        </w:rPr>
        <w:t>On the first day of the applicable Year during the term of this Agreement, SIEGFRIED shall be entitled to an adjustment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fees set forth on </w:t>
      </w:r>
      <w:r>
        <w:rPr>
          <w:rFonts w:ascii="Arial" w:cs="Arial" w:eastAsia="Arial" w:hAnsi="Arial"/>
          <w:sz w:val="21"/>
          <w:szCs w:val="21"/>
          <w:u w:val="single" w:color="auto"/>
          <w:color w:val="auto"/>
        </w:rPr>
        <w:t>Schedule 4</w:t>
      </w:r>
      <w:r>
        <w:rPr>
          <w:rFonts w:ascii="Arial" w:cs="Arial" w:eastAsia="Arial" w:hAnsi="Arial"/>
          <w:sz w:val="20"/>
          <w:szCs w:val="20"/>
          <w:color w:val="auto"/>
        </w:rPr>
        <w:t xml:space="preserve"> (i) for Manufacturing Services in respect of the Active Material other than raw materials costs (“</w:t>
      </w:r>
      <w:r>
        <w:rPr>
          <w:rFonts w:ascii="Arial" w:cs="Arial" w:eastAsia="Arial" w:hAnsi="Arial"/>
          <w:sz w:val="21"/>
          <w:szCs w:val="21"/>
          <w:b w:val="1"/>
          <w:bCs w:val="1"/>
          <w:color w:val="auto"/>
        </w:rPr>
        <w:t>Conversion Costs</w:t>
      </w:r>
      <w:r>
        <w:rPr>
          <w:rFonts w:ascii="Arial" w:cs="Arial" w:eastAsia="Arial" w:hAnsi="Arial"/>
          <w:sz w:val="20"/>
          <w:szCs w:val="20"/>
          <w:color w:val="auto"/>
        </w:rPr>
        <w:t>”) to reflect increases in manufacturing costs, which adjustment shall not exceed the increase in the Producers' Price Index, Pharmaceuticals Preparations, NAICS 325412 (“</w:t>
      </w:r>
      <w:r>
        <w:rPr>
          <w:rFonts w:ascii="Arial" w:cs="Arial" w:eastAsia="Arial" w:hAnsi="Arial"/>
          <w:sz w:val="21"/>
          <w:szCs w:val="21"/>
          <w:b w:val="1"/>
          <w:bCs w:val="1"/>
          <w:color w:val="auto"/>
        </w:rPr>
        <w:t>PPI</w:t>
      </w:r>
      <w:r>
        <w:rPr>
          <w:rFonts w:ascii="Arial" w:cs="Arial" w:eastAsia="Arial" w:hAnsi="Arial"/>
          <w:sz w:val="20"/>
          <w:szCs w:val="20"/>
          <w:color w:val="auto"/>
        </w:rPr>
        <w:t xml:space="preserve">”) of the immediately preceding month compared to the same month of the preceding Year, unless the parties otherwise agree in writing; and (ii) for raw material costs to pass on the actual documented amount of any increase or decrease in such costs. SIEGFRIED will use commercially reasonable efforts to minimize raw material costs. Notwithstanding the foregoing, if at any time market conditions result in SIEGFRIED's cost of raw materials being materially greater than or less than the raw material costs anticipated for the current Year when pricing was determined in January of such year, then there shall be an adjustment to the raw material costs used in the calculation of the fees set forth on </w:t>
      </w:r>
      <w:r>
        <w:rPr>
          <w:rFonts w:ascii="Arial" w:cs="Arial" w:eastAsia="Arial" w:hAnsi="Arial"/>
          <w:sz w:val="21"/>
          <w:szCs w:val="21"/>
          <w:u w:val="single" w:color="auto"/>
          <w:color w:val="auto"/>
        </w:rPr>
        <w:t>Schedule 4</w:t>
      </w:r>
      <w:r>
        <w:rPr>
          <w:rFonts w:ascii="Arial" w:cs="Arial" w:eastAsia="Arial" w:hAnsi="Arial"/>
          <w:sz w:val="20"/>
          <w:szCs w:val="20"/>
          <w:color w:val="auto"/>
        </w:rPr>
        <w:t xml:space="preserve"> to reflect such increase or decrease in costs for the period of such material increase or decrease in costs. For the purpose of this Section 6.2, the threshold for materially greater than or less than shall be defined as [ * ] for the Active Material in the relevant Year.</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6.3 </w:t>
      </w:r>
      <w:r>
        <w:rPr>
          <w:rFonts w:ascii="Arial" w:cs="Arial" w:eastAsia="Arial" w:hAnsi="Arial"/>
          <w:sz w:val="20"/>
          <w:szCs w:val="20"/>
          <w:color w:val="auto"/>
        </w:rPr>
        <w:t>For changes to the Specifications or manufacturing processes that are required by applicable Laws ("</w:t>
      </w:r>
      <w:r>
        <w:rPr>
          <w:rFonts w:ascii="Arial" w:cs="Arial" w:eastAsia="Arial" w:hAnsi="Arial"/>
          <w:sz w:val="21"/>
          <w:szCs w:val="21"/>
          <w:b w:val="1"/>
          <w:bCs w:val="1"/>
          <w:color w:val="auto"/>
        </w:rPr>
        <w:t>Required</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Manufacturing Changes</w:t>
      </w:r>
      <w:r>
        <w:rPr>
          <w:rFonts w:ascii="Arial" w:cs="Arial" w:eastAsia="Arial" w:hAnsi="Arial"/>
          <w:sz w:val="19"/>
          <w:szCs w:val="19"/>
          <w:color w:val="auto"/>
        </w:rPr>
        <w:t>"), SIEGFRIED and the JAZZ PHARMACEUTICALS shall cooperate in making such changes and</w:t>
      </w:r>
      <w:r>
        <w:rPr>
          <w:rFonts w:ascii="Arial" w:cs="Arial" w:eastAsia="Arial" w:hAnsi="Arial"/>
          <w:sz w:val="21"/>
          <w:szCs w:val="21"/>
          <w:b w:val="1"/>
          <w:bCs w:val="1"/>
          <w:color w:val="auto"/>
        </w:rPr>
        <w:t xml:space="preserve"> </w:t>
      </w:r>
      <w:r>
        <w:rPr>
          <w:rFonts w:ascii="Arial" w:cs="Arial" w:eastAsia="Arial" w:hAnsi="Arial"/>
          <w:sz w:val="19"/>
          <w:szCs w:val="19"/>
          <w:color w:val="auto"/>
        </w:rPr>
        <w:t>use commercially reasonable efforts to implement such changes promptly in a manner that minimizes any effect on the supply</w:t>
      </w:r>
    </w:p>
    <w:p>
      <w:pPr>
        <w:spacing w:after="0" w:line="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hereunder to JAZZ PHARMACEUTICALS of the Active Material meeting Specifications. All costs associated with Required Manufacturing Changes directly related to the Manufacturing Site that are not required solely to permit SIEGFRIED to Manufacture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8"/>
        <w:spacing w:after="0" w:line="271" w:lineRule="auto"/>
        <w:tabs>
          <w:tab w:leader="none" w:pos="25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75" w:name="page76"/>
    <w:bookmarkEnd w:id="75"/>
    <w:p>
      <w:pPr>
        <w:jc w:val="both"/>
        <w:spacing w:after="0" w:line="247" w:lineRule="auto"/>
        <w:rPr>
          <w:sz w:val="20"/>
          <w:szCs w:val="20"/>
          <w:color w:val="auto"/>
        </w:rPr>
      </w:pPr>
      <w:r>
        <w:rPr>
          <w:rFonts w:ascii="Arial" w:cs="Arial" w:eastAsia="Arial" w:hAnsi="Arial"/>
          <w:sz w:val="20"/>
          <w:szCs w:val="20"/>
          <w:color w:val="auto"/>
        </w:rPr>
        <w:t>Active Material shall be borne by SIEGFRIED. All other costs associated with Required Manufacturing Changes under this Agreement, including, without limitation, obsolete raw material, regulatory filings, work in process, equipment and Active Material shall be borne by JAZZ PHARMACEUTICALS. Amendments to the Specifications or the Quality Agreement requested by JAZZ PHARMACEUTICALS that are not Required Manufacturing Changes ("</w:t>
      </w:r>
      <w:r>
        <w:rPr>
          <w:rFonts w:ascii="Arial" w:cs="Arial" w:eastAsia="Arial" w:hAnsi="Arial"/>
          <w:sz w:val="21"/>
          <w:szCs w:val="21"/>
          <w:b w:val="1"/>
          <w:bCs w:val="1"/>
          <w:color w:val="auto"/>
        </w:rPr>
        <w:t>JAZZ PHARMACEUTICALS Requested</w:t>
      </w:r>
      <w:r>
        <w:rPr>
          <w:rFonts w:ascii="Arial" w:cs="Arial" w:eastAsia="Arial" w:hAnsi="Arial"/>
          <w:sz w:val="20"/>
          <w:szCs w:val="20"/>
          <w:color w:val="auto"/>
        </w:rPr>
        <w:t xml:space="preserve"> </w:t>
      </w:r>
      <w:r>
        <w:rPr>
          <w:rFonts w:ascii="Arial" w:cs="Arial" w:eastAsia="Arial" w:hAnsi="Arial"/>
          <w:sz w:val="21"/>
          <w:szCs w:val="21"/>
          <w:b w:val="1"/>
          <w:bCs w:val="1"/>
          <w:color w:val="auto"/>
        </w:rPr>
        <w:t>Changes</w:t>
      </w:r>
      <w:r>
        <w:rPr>
          <w:rFonts w:ascii="Arial" w:cs="Arial" w:eastAsia="Arial" w:hAnsi="Arial"/>
          <w:sz w:val="19"/>
          <w:szCs w:val="19"/>
          <w:color w:val="auto"/>
        </w:rPr>
        <w:t>") will only be implemented following a technical and cost review by SIEGFRIED and are subject to JAZZ</w:t>
      </w:r>
      <w:r>
        <w:rPr>
          <w:rFonts w:ascii="Arial" w:cs="Arial" w:eastAsia="Arial" w:hAnsi="Arial"/>
          <w:sz w:val="21"/>
          <w:szCs w:val="21"/>
          <w:b w:val="1"/>
          <w:bCs w:val="1"/>
          <w:color w:val="auto"/>
        </w:rPr>
        <w:t xml:space="preserve"> </w:t>
      </w:r>
      <w:r>
        <w:rPr>
          <w:rFonts w:ascii="Arial" w:cs="Arial" w:eastAsia="Arial" w:hAnsi="Arial"/>
          <w:sz w:val="19"/>
          <w:szCs w:val="19"/>
          <w:color w:val="auto"/>
        </w:rPr>
        <w:t>PHARMACEUTICALS and SIEGFRIED reaching agreement as to revisions, if any, to the fees specified in Schedules 4 necessitated by any such amendment. Amendments to the Specifications, the Quality Agreement or the Manufacturing Site requested by SIEGFRIED that are not Required Manufacturing Changes ("</w:t>
      </w:r>
      <w:r>
        <w:rPr>
          <w:rFonts w:ascii="Arial" w:cs="Arial" w:eastAsia="Arial" w:hAnsi="Arial"/>
          <w:sz w:val="21"/>
          <w:szCs w:val="21"/>
          <w:b w:val="1"/>
          <w:bCs w:val="1"/>
          <w:color w:val="auto"/>
        </w:rPr>
        <w:t>SIEGFRIED Requested Changes</w:t>
      </w:r>
      <w:r>
        <w:rPr>
          <w:rFonts w:ascii="Arial" w:cs="Arial" w:eastAsia="Arial" w:hAnsi="Arial"/>
          <w:sz w:val="19"/>
          <w:szCs w:val="19"/>
          <w:color w:val="auto"/>
        </w:rPr>
        <w:t>") will only be implemented following the approval of JAZZ PHARMACEUTICALS, such approval not to be unreasonably withheld, and the costs of the SIEGFRIED Requested Changes will be borne by SIEGFRIED. If JAZZ PHARMACEUTICALS accepts a proposed fee change, the proposed change in the Specifications shall be implemented, and the fee change shall become effective only with respect to those orders of the Active Material that are manufactured in accordance with the revised Specifications. In addition, with respect to JAZZ PHARMACEUTICALS Requested Changes, JAZZ PHARMACEUTICALS agrees to purchase, at SIEGFRIED's cost therefor (including all costs incurred by SIEGFRIED in connection with the purchase and handling of such inventory), all Inventory utilized under the "old" Specifications and purchased or maintained by SIEGFRIED in order to fill Firm Orders or in accordance with Section 2.7 above, to the extent that such inventory can no longer be utilized under the revised Specifications. Open purchase orders for raw materials no longer required under any revised Specifications that were placed by SIEGFRIED in accordance with this Agreement with suppliers in order to fill Firm Orders or in accordance with Section 2.7 shall be cancelled where possible, and where such orders are not subject to cancellation without penalty, shall be assigned to and satisfied by JAZZ PHARMACEUTICALS.</w:t>
      </w:r>
    </w:p>
    <w:p>
      <w:pPr>
        <w:spacing w:after="0" w:line="200" w:lineRule="exact"/>
        <w:rPr>
          <w:sz w:val="20"/>
          <w:szCs w:val="20"/>
          <w:color w:val="auto"/>
        </w:rPr>
      </w:pPr>
    </w:p>
    <w:p>
      <w:pPr>
        <w:spacing w:after="0" w:line="25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color w:val="auto"/>
        </w:rPr>
        <w:t>Invoices will be issued by SIEGFRIED and sent to JAZZ PHARMACEUTICALS upon shipment of the Active Material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2.11 of this Agreement. Each such invoice shall, to the extent applicable, identify the JAZZ PHARMACEUTICALS purchase order number, Active Material quantities, unit price, freight charges and the total amount to be remitted by JAZZ PHARMACEUTICALS. JAZZ PHARMACEUTICALS shall pay all such invoices within [ * ] of the date thereof by wire transfer. Notwithstanding the foregoing, JAZZ PHARMACEUTICALS may withhold any amounts invoiced by SIEGFRIED that it disputes in good faith. If JAZZ PHARMACEUTICALS disputes any invoice, JAZZ PHARMACEUTICALS shall within [ * ] after such invoice is furnished to it notify SIEGFRIED that it disputes the accuracy or appropriateness of such invoice and specify the particular respects in which such invoice is inaccurate or inappropriate. JAZZ PHARMACEUTICALS and SIEGFRIED will make good faith efforts to resolve any disputes within [ * ] thereafter. Any amounts that are disputed by JAZZ PHARMACEUTICALS shall not be due until [ * ] following the resolution of such dispute.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 xml:space="preserve">6.5 </w:t>
      </w:r>
      <w:r>
        <w:rPr>
          <w:rFonts w:ascii="Arial" w:cs="Arial" w:eastAsia="Arial" w:hAnsi="Arial"/>
          <w:sz w:val="20"/>
          <w:szCs w:val="20"/>
          <w:color w:val="auto"/>
        </w:rPr>
        <w:t>The Parties agree that, unless set out otherwise in this Agreement, all payments made to SIEGFRIED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be non-refundable and that the expiration or termination of this Agreement shall not relieve JAZZ PHARMACEUTICALS of its obligation to pay any outstanding balances due.</w:t>
      </w:r>
    </w:p>
    <w:p>
      <w:pPr>
        <w:spacing w:after="0" w:line="196"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8"/>
        <w:spacing w:after="0" w:line="271" w:lineRule="auto"/>
        <w:tabs>
          <w:tab w:leader="none" w:pos="25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27" w:right="339" w:bottom="1440" w:gutter="0" w:footer="0" w:header="0"/>
        </w:sectPr>
      </w:pPr>
    </w:p>
    <w:bookmarkStart w:id="76" w:name="page77"/>
    <w:bookmarkEnd w:id="76"/>
    <w:p>
      <w:pPr>
        <w:jc w:val="both"/>
        <w:spacing w:after="0" w:line="237" w:lineRule="auto"/>
        <w:rPr>
          <w:sz w:val="20"/>
          <w:szCs w:val="20"/>
          <w:color w:val="auto"/>
        </w:rPr>
      </w:pPr>
      <w:r>
        <w:rPr>
          <w:rFonts w:ascii="Arial" w:cs="Arial" w:eastAsia="Arial" w:hAnsi="Arial"/>
          <w:sz w:val="20"/>
          <w:szCs w:val="20"/>
          <w:b w:val="1"/>
          <w:bCs w:val="1"/>
          <w:color w:val="auto"/>
        </w:rPr>
        <w:t xml:space="preserve">7.1 </w:t>
      </w:r>
      <w:r>
        <w:rPr>
          <w:rFonts w:ascii="Arial" w:cs="Arial" w:eastAsia="Arial" w:hAnsi="Arial"/>
          <w:sz w:val="20"/>
          <w:szCs w:val="20"/>
          <w:color w:val="auto"/>
        </w:rPr>
        <w:t>Each Party agrees to retain in strict confidence and not to disclose, divulge or otherwise communicate to any third party or</w:t>
      </w:r>
      <w:r>
        <w:rPr>
          <w:rFonts w:ascii="Arial" w:cs="Arial" w:eastAsia="Arial" w:hAnsi="Arial"/>
          <w:sz w:val="20"/>
          <w:szCs w:val="20"/>
          <w:b w:val="1"/>
          <w:bCs w:val="1"/>
          <w:color w:val="auto"/>
        </w:rPr>
        <w:t xml:space="preserve"> </w:t>
      </w:r>
      <w:r>
        <w:rPr>
          <w:rFonts w:ascii="Arial" w:cs="Arial" w:eastAsia="Arial" w:hAnsi="Arial"/>
          <w:sz w:val="20"/>
          <w:szCs w:val="20"/>
          <w:color w:val="auto"/>
        </w:rPr>
        <w:t>entity any Confidential Information of the other Party (or its Affiliate), whether disclosed prior to, or after the date of signature of this Agreement or of prior secrecy agreements. The Parties further agree not to use any such Confidential Information for any other purpose, except pursuant to, and in order to carry out, the terms and objectives of this Agreement, except that each Party may disclose Confidential Information of the other Party to its (or its Affiliate's) officers, directors, employees, agents, consultants, subcontractors or representatives (the "</w:t>
      </w:r>
      <w:r>
        <w:rPr>
          <w:rFonts w:ascii="Arial" w:cs="Arial" w:eastAsia="Arial" w:hAnsi="Arial"/>
          <w:sz w:val="21"/>
          <w:szCs w:val="21"/>
          <w:b w:val="1"/>
          <w:bCs w:val="1"/>
          <w:color w:val="auto"/>
        </w:rPr>
        <w:t>Entitled Persons</w:t>
      </w:r>
      <w:r>
        <w:rPr>
          <w:rFonts w:ascii="Arial" w:cs="Arial" w:eastAsia="Arial" w:hAnsi="Arial"/>
          <w:sz w:val="20"/>
          <w:szCs w:val="20"/>
          <w:color w:val="auto"/>
        </w:rPr>
        <w:t>"), who, in each case, need to know such information for purposes of the implementation and performance by the Receiving Party of this Agreement, who will use the Information only for such limited purposes and who are bound by obligations of confidentiality at least as stringent as those set forth in this Agreement.</w:t>
      </w: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color w:val="auto"/>
        </w:rPr>
        <w:t>Each Party agrees to use with respect to Confidential Information of the other Party at least the same standard of care as it</w:t>
      </w:r>
      <w:r>
        <w:rPr>
          <w:rFonts w:ascii="Arial" w:cs="Arial" w:eastAsia="Arial" w:hAnsi="Arial"/>
          <w:sz w:val="20"/>
          <w:szCs w:val="20"/>
          <w:b w:val="1"/>
          <w:bCs w:val="1"/>
          <w:color w:val="auto"/>
        </w:rPr>
        <w:t xml:space="preserve"> </w:t>
      </w:r>
      <w:r>
        <w:rPr>
          <w:rFonts w:ascii="Arial" w:cs="Arial" w:eastAsia="Arial" w:hAnsi="Arial"/>
          <w:sz w:val="20"/>
          <w:szCs w:val="20"/>
          <w:color w:val="auto"/>
        </w:rPr>
        <w:t>uses to protect proprietary or confidential information of its own of comparable sensitivity and to exercise every reasonable precaution to prevent and restrain the unauthorized disclosure of such Confidential Information by any of its Entitled Persons.</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color w:val="auto"/>
        </w:rPr>
        <w:t>Each Party warrants that each of its Entitled Persons to whom any Confidential Information is revealed shall previously have</w:t>
      </w:r>
      <w:r>
        <w:rPr>
          <w:rFonts w:ascii="Arial" w:cs="Arial" w:eastAsia="Arial" w:hAnsi="Arial"/>
          <w:sz w:val="20"/>
          <w:szCs w:val="20"/>
          <w:b w:val="1"/>
          <w:bCs w:val="1"/>
          <w:color w:val="auto"/>
        </w:rPr>
        <w:t xml:space="preserve"> </w:t>
      </w:r>
      <w:r>
        <w:rPr>
          <w:rFonts w:ascii="Arial" w:cs="Arial" w:eastAsia="Arial" w:hAnsi="Arial"/>
          <w:sz w:val="20"/>
          <w:szCs w:val="20"/>
          <w:color w:val="auto"/>
        </w:rPr>
        <w:t>been informed of the confidential nature of the Confidential Information and shall be under professional secrecy or shall have agreed to be bound by the terms and conditions of this Article 6 or by confidentiality obligations equal to this Article 6.</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7.4 </w:t>
      </w:r>
      <w:r>
        <w:rPr>
          <w:rFonts w:ascii="Arial" w:cs="Arial" w:eastAsia="Arial" w:hAnsi="Arial"/>
          <w:sz w:val="20"/>
          <w:szCs w:val="20"/>
          <w:color w:val="auto"/>
        </w:rPr>
        <w:t>The provisions of this Article 7 shall not apply to any Confidential Information disclosed hereunder which was either (a)</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independently developed or known by the Receiving Party prior to its disclosure to the Receiving Party by the Disclosing Party, as evidenced by written records; or (b) before or after the date of disclosure to the Receiving Party by the Disclosing Party is in the public domain or lawfully disclosed to the Receiving Party by an independent, unaffiliated third party rightfully in possession of the Confidential Information and not under any confidentiality obligation towards the Disclosing Party with regard to such Confidential Information; or (c) is required to be disclosed by the Receiving Party to the officials of a Regulatory Authority or to comply with applicable laws, to defend or prosecute litigation or to comply with governmental laws or regulations, judicial orders or valid subpoenas, provided that the Receiving Party provides prior written notice of such intended disclosure to the Disclosing Party and takes reasonable and lawful actions to avoid and/or minimize the degree of such disclosure. The burden of proof lies with the Party alleging one of the above exceptions. Nonetheless, such Party shall not disclose that the same Confidential Information was also acquired from the other Party.</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7.5 </w:t>
      </w:r>
      <w:r>
        <w:rPr>
          <w:rFonts w:ascii="Arial" w:cs="Arial" w:eastAsia="Arial" w:hAnsi="Arial"/>
          <w:sz w:val="20"/>
          <w:szCs w:val="20"/>
          <w:color w:val="auto"/>
        </w:rPr>
        <w:t>Except as otherwise provided for under this Agreement, nothing herein shall be construed as giving either Party any right,</w:t>
      </w:r>
      <w:r>
        <w:rPr>
          <w:rFonts w:ascii="Arial" w:cs="Arial" w:eastAsia="Arial" w:hAnsi="Arial"/>
          <w:sz w:val="20"/>
          <w:szCs w:val="20"/>
          <w:b w:val="1"/>
          <w:bCs w:val="1"/>
          <w:color w:val="auto"/>
        </w:rPr>
        <w:t xml:space="preserve"> </w:t>
      </w:r>
      <w:r>
        <w:rPr>
          <w:rFonts w:ascii="Arial" w:cs="Arial" w:eastAsia="Arial" w:hAnsi="Arial"/>
          <w:sz w:val="20"/>
          <w:szCs w:val="20"/>
          <w:color w:val="auto"/>
        </w:rPr>
        <w:t>title or interest in or ownership of the Confidential Information of the other Party. For the purposes of this Agreement, specific information disclosed as part of the Confidential Information shall not be deemed to be in the public domain or in prior possession of the Receiving Party merely because it is embraced by more general information in the public domain or by more general information in the prior possession of the Receiving Party.</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7.6 </w:t>
      </w:r>
      <w:r>
        <w:rPr>
          <w:rFonts w:ascii="Arial" w:cs="Arial" w:eastAsia="Arial" w:hAnsi="Arial"/>
          <w:sz w:val="20"/>
          <w:szCs w:val="20"/>
          <w:color w:val="auto"/>
        </w:rPr>
        <w:t>Except as may be required by law or regulation, or in response to a valid subpoena or other judicial order, neither Party shall</w:t>
      </w:r>
      <w:r>
        <w:rPr>
          <w:rFonts w:ascii="Arial" w:cs="Arial" w:eastAsia="Arial" w:hAnsi="Arial"/>
          <w:sz w:val="20"/>
          <w:szCs w:val="20"/>
          <w:b w:val="1"/>
          <w:bCs w:val="1"/>
          <w:color w:val="auto"/>
        </w:rPr>
        <w:t xml:space="preserve"> </w:t>
      </w:r>
      <w:r>
        <w:rPr>
          <w:rFonts w:ascii="Arial" w:cs="Arial" w:eastAsia="Arial" w:hAnsi="Arial"/>
          <w:sz w:val="20"/>
          <w:szCs w:val="20"/>
          <w:color w:val="auto"/>
        </w:rPr>
        <w:t>disclose the terms of this Agreement without the prior written consent of the other Party, which consent shall not be unreasonably withheld, except that the Parties may disclose the terms of this Agreement to the Parties' or third parties'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firstLine="8"/>
        <w:spacing w:after="0" w:line="271" w:lineRule="auto"/>
        <w:tabs>
          <w:tab w:leader="none" w:pos="25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25" w:right="339" w:bottom="1440" w:gutter="0" w:footer="0" w:header="0"/>
        </w:sectPr>
      </w:pPr>
    </w:p>
    <w:bookmarkStart w:id="77" w:name="page78"/>
    <w:bookmarkEnd w:id="77"/>
    <w:p>
      <w:pPr>
        <w:jc w:val="both"/>
        <w:spacing w:after="0" w:line="248" w:lineRule="auto"/>
        <w:rPr>
          <w:sz w:val="20"/>
          <w:szCs w:val="20"/>
          <w:color w:val="auto"/>
        </w:rPr>
      </w:pPr>
      <w:r>
        <w:rPr>
          <w:rFonts w:ascii="Arial" w:cs="Arial" w:eastAsia="Arial" w:hAnsi="Arial"/>
          <w:sz w:val="20"/>
          <w:szCs w:val="20"/>
          <w:color w:val="auto"/>
        </w:rPr>
        <w:t>and attorneys, provided any such attorney or accountant receiving information concerning the terms of this Agreement is either bound by professional secrecy or agrees to be bound by confidentiality obligations equal to this Article 7 with respect to such information.</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7.7 </w:t>
      </w:r>
      <w:r>
        <w:rPr>
          <w:rFonts w:ascii="Arial" w:cs="Arial" w:eastAsia="Arial" w:hAnsi="Arial"/>
          <w:sz w:val="20"/>
          <w:szCs w:val="20"/>
          <w:color w:val="auto"/>
        </w:rPr>
        <w:t>The confidentiality obligations of the Parties contained in this Article 7 shall remain binding upon both Parties during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and for a period of ten (10) years after the termination or expiry of this Agreement, regardless of the cause of such termination. The Parties acknowledge that any breach of this Article 7 will constitute irreparable harm, and that the non-breaching Party shall be entitled to specific performance or injunctive relief to enforce this Article 6 in addition to whatever remedies such Party may otherwise be entitled to at law or in equity.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7.8 </w:t>
      </w:r>
      <w:r>
        <w:rPr>
          <w:rFonts w:ascii="Arial" w:cs="Arial" w:eastAsia="Arial" w:hAnsi="Arial"/>
          <w:sz w:val="20"/>
          <w:szCs w:val="20"/>
          <w:color w:val="auto"/>
        </w:rPr>
        <w:t>The confidentiality provisions of this Agreement extend to the Parties and their Affiliates.</w:t>
      </w:r>
    </w:p>
    <w:p>
      <w:pPr>
        <w:spacing w:after="0" w:line="238"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INTELLECTUAL PROPERTY</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color w:val="auto"/>
        </w:rPr>
        <w:t>SIEGFRIED hereby assigns, releases, and transfers to JAZZ PHARMACEUTICALS its entire right, title and interest in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any invention, discovery or improvement to the extent it is specific to the development, manufacture and use of the Active Material that is the subject of the Manufacturing Services </w:t>
      </w:r>
      <w:r>
        <w:rPr>
          <w:rFonts w:ascii="Arial" w:cs="Arial" w:eastAsia="Arial" w:hAnsi="Arial"/>
          <w:sz w:val="20"/>
          <w:szCs w:val="20"/>
          <w:color w:val="auto"/>
        </w:rPr>
        <w:t>(whether patentable or not) made or conceived by</w:t>
      </w:r>
      <w:r>
        <w:rPr>
          <w:rFonts w:ascii="Arial" w:cs="Arial" w:eastAsia="Arial" w:hAnsi="Arial"/>
          <w:sz w:val="19"/>
          <w:szCs w:val="19"/>
          <w:color w:val="auto"/>
        </w:rPr>
        <w:t xml:space="preserve"> SIEGFRIED’s employees or contractors, including, without limitation, manufacturing, manufacturing processes and procedures, analytical process, procedure or method, analytical results, and any route(s) of synthesis provided, however, JAZZ PHARMACEUTICALS hereby </w:t>
      </w:r>
      <w:r>
        <w:rPr>
          <w:rFonts w:ascii="Arial" w:cs="Arial" w:eastAsia="Arial" w:hAnsi="Arial"/>
          <w:sz w:val="20"/>
          <w:szCs w:val="20"/>
          <w:color w:val="auto"/>
        </w:rPr>
        <w:t>grants to</w:t>
      </w:r>
      <w:r>
        <w:rPr>
          <w:rFonts w:ascii="Arial" w:cs="Arial" w:eastAsia="Arial" w:hAnsi="Arial"/>
          <w:sz w:val="19"/>
          <w:szCs w:val="19"/>
          <w:color w:val="auto"/>
        </w:rPr>
        <w:t xml:space="preserve"> SIEGFRIED a paid-up, worldwide, nonexclusive, nontransferable license to use patented inventions, discoveries, or improvements solely for purposes of providing Manufacturing Services pursuant to this Agreement.</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8.2 </w:t>
      </w:r>
      <w:r>
        <w:rPr>
          <w:rFonts w:ascii="Arial" w:cs="Arial" w:eastAsia="Arial" w:hAnsi="Arial"/>
          <w:sz w:val="20"/>
          <w:szCs w:val="20"/>
          <w:color w:val="auto"/>
        </w:rPr>
        <w:t>JAZZ PHARMACEUTICALS shall own all right, title and interest in</w:t>
      </w:r>
      <w:r>
        <w:rPr>
          <w:rFonts w:ascii="Arial" w:cs="Arial" w:eastAsia="Arial" w:hAnsi="Arial"/>
          <w:sz w:val="20"/>
          <w:szCs w:val="20"/>
          <w:b w:val="1"/>
          <w:bCs w:val="1"/>
          <w:color w:val="auto"/>
        </w:rPr>
        <w:t xml:space="preserve"> </w:t>
      </w:r>
      <w:r>
        <w:rPr>
          <w:rFonts w:ascii="Arial" w:cs="Arial" w:eastAsia="Arial" w:hAnsi="Arial"/>
          <w:sz w:val="21"/>
          <w:szCs w:val="21"/>
          <w:color w:val="auto"/>
        </w:rPr>
        <w:t>and to any Intellectual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specific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development, manufacture and use of </w:t>
      </w:r>
      <w:r>
        <w:rPr>
          <w:rFonts w:ascii="Arial" w:cs="Arial" w:eastAsia="Arial" w:hAnsi="Arial"/>
          <w:sz w:val="21"/>
          <w:szCs w:val="21"/>
          <w:color w:val="auto"/>
        </w:rPr>
        <w:t>the Active Material (whether patentable or not) made or conceived by</w:t>
      </w:r>
      <w:r>
        <w:rPr>
          <w:rFonts w:ascii="Arial" w:cs="Arial" w:eastAsia="Arial" w:hAnsi="Arial"/>
          <w:sz w:val="20"/>
          <w:szCs w:val="20"/>
          <w:color w:val="auto"/>
        </w:rPr>
        <w:t xml:space="preserve"> JAZZ PHARMACEUTICALS employees or by any JAZZ PHARMACEUTICALS contractor, including, without limitation, any manufacturing or analytical process, procedure or method or any source of synthesis given to SIEGFRIED.</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auto"/>
        </w:rPr>
        <w:t xml:space="preserve">8.3 </w:t>
      </w:r>
      <w:r>
        <w:rPr>
          <w:rFonts w:ascii="Arial" w:cs="Arial" w:eastAsia="Arial" w:hAnsi="Arial"/>
          <w:sz w:val="20"/>
          <w:szCs w:val="20"/>
          <w:color w:val="auto"/>
        </w:rPr>
        <w:t>All Intellectual Property generated or derived by SIEGFRIED in the course of performing the Manufacturing Services which</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related to or derived from the JAZZ PHARMACEUTICALS’ Intellectual Property or specific to, or dependent upon, the Active Material and which have general application to manufacturing processes or formulation development of drug product or drug delivery systems shall be the exclusive property of SIEGFRIED (the “SIEGFRIED Intellectual Property Rights”). SIEGFRIED hereby grants to JAZZ PHARMACEUTICALS, a non-exclusive, paid-up, royalty-free, transferable license of the SIEGFRIED Intellectual Property Rights which JAZZ PHARMACEUTICALS may use for the manufacture of the Active Material pursuant to this Agreement.</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 xml:space="preserve">8.4 </w:t>
      </w:r>
      <w:r>
        <w:rPr>
          <w:rFonts w:ascii="Arial" w:cs="Arial" w:eastAsia="Arial" w:hAnsi="Arial"/>
          <w:sz w:val="19"/>
          <w:szCs w:val="19"/>
          <w:color w:val="auto"/>
        </w:rPr>
        <w:t>SIEGFRIED shall promptly disclose to JAZZ PHARMACEUTICALS any and all inventions, discoveries and improvements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specific to the development, manufacture and use of </w:t>
      </w:r>
      <w:r>
        <w:rPr>
          <w:rFonts w:ascii="Arial" w:cs="Arial" w:eastAsia="Arial" w:hAnsi="Arial"/>
          <w:sz w:val="20"/>
          <w:szCs w:val="20"/>
          <w:color w:val="auto"/>
        </w:rPr>
        <w:t>the Active Material (collectively "</w:t>
      </w:r>
      <w:r>
        <w:rPr>
          <w:rFonts w:ascii="Arial" w:cs="Arial" w:eastAsia="Arial" w:hAnsi="Arial"/>
          <w:sz w:val="20"/>
          <w:szCs w:val="20"/>
          <w:b w:val="1"/>
          <w:bCs w:val="1"/>
          <w:color w:val="auto"/>
        </w:rPr>
        <w:t>Inventions</w:t>
      </w:r>
      <w:r>
        <w:rPr>
          <w:rFonts w:ascii="Arial" w:cs="Arial" w:eastAsia="Arial" w:hAnsi="Arial"/>
          <w:sz w:val="20"/>
          <w:szCs w:val="20"/>
          <w:color w:val="auto"/>
        </w:rPr>
        <w:t>"), by</w:t>
      </w:r>
      <w:r>
        <w:rPr>
          <w:rFonts w:ascii="Arial" w:cs="Arial" w:eastAsia="Arial" w:hAnsi="Arial"/>
          <w:sz w:val="19"/>
          <w:szCs w:val="19"/>
          <w:color w:val="auto"/>
        </w:rPr>
        <w:t xml:space="preserve"> SIEGFRIED's employees or contractors, either alone or together with JAZZ PHARMACEUTICALS’ employees or contractors, and shall assign all its interests to JAZZ PHARMACEUTICALS or its designee in accordance with Section 8.1. SIEGFRIED shall execute at JAZZ</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PHARMACEUTICALS’ expense any assignments, </w:t>
      </w:r>
      <w:r>
        <w:rPr>
          <w:rFonts w:ascii="Arial" w:cs="Arial" w:eastAsia="Arial" w:hAnsi="Arial"/>
          <w:sz w:val="21"/>
          <w:szCs w:val="21"/>
          <w:color w:val="auto"/>
        </w:rPr>
        <w:t>applications or other instruments or documents reasonably requested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color w:val="auto"/>
        </w:rPr>
        <w:t>JAZZ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8"/>
        <w:spacing w:after="0" w:line="271" w:lineRule="auto"/>
        <w:tabs>
          <w:tab w:leader="none" w:pos="25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78" w:name="page79"/>
    <w:bookmarkEnd w:id="78"/>
    <w:p>
      <w:pPr>
        <w:spacing w:after="0" w:line="253" w:lineRule="auto"/>
        <w:rPr>
          <w:sz w:val="20"/>
          <w:szCs w:val="20"/>
          <w:color w:val="auto"/>
        </w:rPr>
      </w:pPr>
      <w:r>
        <w:rPr>
          <w:rFonts w:ascii="Arial" w:cs="Arial" w:eastAsia="Arial" w:hAnsi="Arial"/>
          <w:sz w:val="19"/>
          <w:szCs w:val="19"/>
          <w:color w:val="auto"/>
        </w:rPr>
        <w:t xml:space="preserve">PHARMACEUTICALS in accordance with this Article 8 and, at JAZZ PHARMACEUTICALS’ expense, give testimony which shall be deemed necessary to apply for and obtain Letters Patent of the United States or of </w:t>
      </w:r>
      <w:r>
        <w:rPr>
          <w:rFonts w:ascii="Arial" w:cs="Arial" w:eastAsia="Arial" w:hAnsi="Arial"/>
          <w:sz w:val="20"/>
          <w:szCs w:val="20"/>
          <w:color w:val="auto"/>
        </w:rPr>
        <w:t>any other country and otherwise to</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 xml:space="preserve">perfect </w:t>
      </w:r>
      <w:r>
        <w:rPr>
          <w:rFonts w:ascii="Arial" w:cs="Arial" w:eastAsia="Arial" w:hAnsi="Arial"/>
          <w:sz w:val="19"/>
          <w:szCs w:val="19"/>
          <w:color w:val="auto"/>
        </w:rPr>
        <w:t>JAZZ PHARMACEUTICALS’ interest therein. SIEGFRIED’s and JAZZ PHARMACEUTICALS’ obligations hereunder</w:t>
      </w:r>
      <w:r>
        <w:rPr>
          <w:rFonts w:ascii="Arial" w:cs="Arial" w:eastAsia="Arial" w:hAnsi="Arial"/>
          <w:sz w:val="22"/>
          <w:szCs w:val="22"/>
          <w:color w:val="auto"/>
        </w:rPr>
        <w:t xml:space="preserve"> </w:t>
      </w:r>
      <w:r>
        <w:rPr>
          <w:rFonts w:ascii="Arial" w:cs="Arial" w:eastAsia="Arial" w:hAnsi="Arial"/>
          <w:sz w:val="19"/>
          <w:szCs w:val="19"/>
          <w:color w:val="auto"/>
        </w:rPr>
        <w:t>shall survive termination of this Agreement.</w:t>
      </w:r>
    </w:p>
    <w:p>
      <w:pPr>
        <w:spacing w:after="0" w:line="187"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20"/>
          <w:szCs w:val="20"/>
          <w:color w:val="auto"/>
        </w:rPr>
      </w:pPr>
      <w:r>
        <w:rPr>
          <w:rFonts w:ascii="Arial" w:cs="Arial" w:eastAsia="Arial" w:hAnsi="Arial"/>
          <w:sz w:val="22"/>
          <w:szCs w:val="22"/>
          <w:u w:val="single" w:color="auto"/>
          <w:color w:val="auto"/>
        </w:rPr>
        <w:t xml:space="preserve">TERM AND </w:t>
      </w:r>
      <w:r>
        <w:rPr>
          <w:rFonts w:ascii="Arial" w:cs="Arial" w:eastAsia="Arial" w:hAnsi="Arial"/>
          <w:sz w:val="19"/>
          <w:szCs w:val="19"/>
          <w:u w:val="single" w:color="auto"/>
          <w:color w:val="auto"/>
        </w:rPr>
        <w:t>TERMINATION</w:t>
      </w:r>
    </w:p>
    <w:p>
      <w:pPr>
        <w:spacing w:after="0" w:line="24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0"/>
          <w:szCs w:val="20"/>
          <w:color w:val="auto"/>
        </w:rPr>
        <w:t>Subject to earlier termination pursuant to this Article 9 or as stipulated for elsewhere in this Agreement,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become effective on the date when signed by the second Party and continue in full force and effect for an initial period of five (5) years (hereinafter “</w:t>
      </w:r>
      <w:r>
        <w:rPr>
          <w:rFonts w:ascii="Arial" w:cs="Arial" w:eastAsia="Arial" w:hAnsi="Arial"/>
          <w:sz w:val="21"/>
          <w:szCs w:val="21"/>
          <w:b w:val="1"/>
          <w:bCs w:val="1"/>
          <w:color w:val="auto"/>
        </w:rPr>
        <w:t>Initial Period</w:t>
      </w:r>
      <w:r>
        <w:rPr>
          <w:rFonts w:ascii="Arial" w:cs="Arial" w:eastAsia="Arial" w:hAnsi="Arial"/>
          <w:sz w:val="20"/>
          <w:szCs w:val="20"/>
          <w:color w:val="auto"/>
        </w:rPr>
        <w:t>”), to be automatically renewed for three (3) year periods at a time, subject to the right of either Party to terminate this Agreement at any time at the end of the Initial Period or any subsequent three (3) year period with at least eighteen (18) months prior written notice to the other Party.</w:t>
      </w:r>
    </w:p>
    <w:p>
      <w:pPr>
        <w:spacing w:after="0" w:line="2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0"/>
          <w:szCs w:val="20"/>
          <w:color w:val="auto"/>
        </w:rPr>
        <w:t>Either Party at its sole option may immediately terminate this Agreement upon written notice, but without prior advance</w:t>
      </w:r>
      <w:r>
        <w:rPr>
          <w:rFonts w:ascii="Arial" w:cs="Arial" w:eastAsia="Arial" w:hAnsi="Arial"/>
          <w:sz w:val="20"/>
          <w:szCs w:val="20"/>
          <w:b w:val="1"/>
          <w:bCs w:val="1"/>
          <w:color w:val="auto"/>
        </w:rPr>
        <w:t xml:space="preserve"> </w:t>
      </w:r>
      <w:r>
        <w:rPr>
          <w:rFonts w:ascii="Arial" w:cs="Arial" w:eastAsia="Arial" w:hAnsi="Arial"/>
          <w:sz w:val="20"/>
          <w:szCs w:val="20"/>
          <w:color w:val="auto"/>
        </w:rPr>
        <w:t>notice, to the other Party in the event that: (i) the other Party is declared insolvent or bankrupt by a court of competent jurisdiction; (ii) a voluntary petition of bankruptcy is filed in any court of competent jurisdiction by such other Party; or (iii) this Agreement is assigned by such other Party for the benefit of creditors.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9.3 </w:t>
      </w:r>
      <w:r>
        <w:rPr>
          <w:rFonts w:ascii="Arial" w:cs="Arial" w:eastAsia="Arial" w:hAnsi="Arial"/>
          <w:sz w:val="20"/>
          <w:szCs w:val="20"/>
          <w:color w:val="auto"/>
        </w:rPr>
        <w:t>Either Party at its sole option may terminate this Agreement upon written notice in circumstances where the other Party has</w:t>
      </w:r>
      <w:r>
        <w:rPr>
          <w:rFonts w:ascii="Arial" w:cs="Arial" w:eastAsia="Arial" w:hAnsi="Arial"/>
          <w:sz w:val="20"/>
          <w:szCs w:val="20"/>
          <w:b w:val="1"/>
          <w:bCs w:val="1"/>
          <w:color w:val="auto"/>
        </w:rPr>
        <w:t xml:space="preserve"> </w:t>
      </w:r>
      <w:r>
        <w:rPr>
          <w:rFonts w:ascii="Arial" w:cs="Arial" w:eastAsia="Arial" w:hAnsi="Arial"/>
          <w:sz w:val="20"/>
          <w:szCs w:val="20"/>
          <w:color w:val="auto"/>
        </w:rPr>
        <w:t>failed to remedy a material breach of any of its representations, warranties or other obligations under this Agreement within [ * ] following receipt of a written notice (the "</w:t>
      </w:r>
      <w:r>
        <w:rPr>
          <w:rFonts w:ascii="Arial" w:cs="Arial" w:eastAsia="Arial" w:hAnsi="Arial"/>
          <w:sz w:val="21"/>
          <w:szCs w:val="21"/>
          <w:b w:val="1"/>
          <w:bCs w:val="1"/>
          <w:color w:val="auto"/>
        </w:rPr>
        <w:t>Remediation Period</w:t>
      </w:r>
      <w:r>
        <w:rPr>
          <w:rFonts w:ascii="Arial" w:cs="Arial" w:eastAsia="Arial" w:hAnsi="Arial"/>
          <w:sz w:val="20"/>
          <w:szCs w:val="20"/>
          <w:color w:val="auto"/>
        </w:rPr>
        <w:t>") of said breach that expressly states that it is a notice under this Section 9.3 (a "</w:t>
      </w:r>
      <w:r>
        <w:rPr>
          <w:rFonts w:ascii="Arial" w:cs="Arial" w:eastAsia="Arial" w:hAnsi="Arial"/>
          <w:sz w:val="21"/>
          <w:szCs w:val="21"/>
          <w:b w:val="1"/>
          <w:bCs w:val="1"/>
          <w:color w:val="auto"/>
        </w:rPr>
        <w:t>Breach Notice</w:t>
      </w:r>
      <w:r>
        <w:rPr>
          <w:rFonts w:ascii="Arial" w:cs="Arial" w:eastAsia="Arial" w:hAnsi="Arial"/>
          <w:sz w:val="20"/>
          <w:szCs w:val="20"/>
          <w:color w:val="auto"/>
        </w:rPr>
        <w:t>"). The aggrieved Party's right to terminate this Agreement pursuant to this Section 9.3 may only be exercised for a period of [ * ] following the expiry of the Remediation Period (in circumstances where the breach has not been remedied) and if the termination right is not exercised during this period then the aggrieved Party shall be deemed to have waived the breach of the representation, warranty or obligation described in the Breach Notice; provided, however, that such waiver shall only apply to the specific occurrence of the breach described in the Breach Notice.</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9.4 </w:t>
      </w:r>
      <w:r>
        <w:rPr>
          <w:rFonts w:ascii="Arial" w:cs="Arial" w:eastAsia="Arial" w:hAnsi="Arial"/>
          <w:sz w:val="20"/>
          <w:szCs w:val="20"/>
          <w:color w:val="auto"/>
        </w:rPr>
        <w:t>JAZZ PHARMACEUTICALS may terminate this Agreement at any time on or after December 31, 2011 upon [ * ] notice if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SIEGFRIED has not (i) </w:t>
      </w:r>
      <w:r>
        <w:rPr>
          <w:rFonts w:ascii="Arial" w:cs="Arial" w:eastAsia="Arial" w:hAnsi="Arial"/>
          <w:sz w:val="21"/>
          <w:szCs w:val="21"/>
          <w:color w:val="auto"/>
        </w:rPr>
        <w:t>obtained approval as a manufacturer of the Active Material, including approval of</w:t>
      </w:r>
      <w:r>
        <w:rPr>
          <w:rFonts w:ascii="Arial" w:cs="Arial" w:eastAsia="Arial" w:hAnsi="Arial"/>
          <w:sz w:val="20"/>
          <w:szCs w:val="20"/>
          <w:color w:val="auto"/>
        </w:rPr>
        <w:t xml:space="preserve"> SIEGFRIED’s facility by the FDA, DEA and any other applicable Regulatory Authority or (ii) obtained a Quota for the Active Material for calendar year 2011.</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9.5 </w:t>
      </w:r>
      <w:r>
        <w:rPr>
          <w:rFonts w:ascii="Arial" w:cs="Arial" w:eastAsia="Arial" w:hAnsi="Arial"/>
          <w:sz w:val="20"/>
          <w:szCs w:val="20"/>
          <w:color w:val="auto"/>
        </w:rPr>
        <w:t>JAZZ PHARMACEUTICALS may terminate this Agreement upon [ * ] prior written notice if it intends to no longer order the</w:t>
      </w:r>
      <w:r>
        <w:rPr>
          <w:rFonts w:ascii="Arial" w:cs="Arial" w:eastAsia="Arial" w:hAnsi="Arial"/>
          <w:sz w:val="20"/>
          <w:szCs w:val="20"/>
          <w:b w:val="1"/>
          <w:bCs w:val="1"/>
          <w:color w:val="auto"/>
        </w:rPr>
        <w:t xml:space="preserve"> </w:t>
      </w:r>
      <w:r>
        <w:rPr>
          <w:rFonts w:ascii="Arial" w:cs="Arial" w:eastAsia="Arial" w:hAnsi="Arial"/>
          <w:sz w:val="20"/>
          <w:szCs w:val="20"/>
          <w:color w:val="auto"/>
        </w:rPr>
        <w:t>Active Material due to its decision to discontinue the use of the Active Material in its commercial pharmaceutical products.</w:t>
      </w:r>
    </w:p>
    <w:p>
      <w:pPr>
        <w:spacing w:after="0" w:line="174" w:lineRule="exact"/>
        <w:rPr>
          <w:sz w:val="20"/>
          <w:szCs w:val="20"/>
          <w:color w:val="auto"/>
        </w:rPr>
      </w:pPr>
    </w:p>
    <w:p>
      <w:pPr>
        <w:jc w:val="both"/>
        <w:ind w:right="20"/>
        <w:spacing w:after="0" w:line="279" w:lineRule="auto"/>
        <w:rPr>
          <w:sz w:val="20"/>
          <w:szCs w:val="20"/>
          <w:color w:val="auto"/>
        </w:rPr>
      </w:pPr>
      <w:r>
        <w:rPr>
          <w:rFonts w:ascii="Arial" w:cs="Arial" w:eastAsia="Arial" w:hAnsi="Arial"/>
          <w:sz w:val="20"/>
          <w:szCs w:val="20"/>
          <w:b w:val="1"/>
          <w:bCs w:val="1"/>
          <w:color w:val="auto"/>
        </w:rPr>
        <w:t xml:space="preserve">9.6 </w:t>
      </w:r>
      <w:r>
        <w:rPr>
          <w:rFonts w:ascii="Arial" w:cs="Arial" w:eastAsia="Arial" w:hAnsi="Arial"/>
          <w:sz w:val="20"/>
          <w:szCs w:val="20"/>
          <w:color w:val="auto"/>
        </w:rPr>
        <w:t>If this Agreement expires or is terminated for any reason (including a termination in the event of a Force Majeure Event</w:t>
      </w:r>
      <w:r>
        <w:rPr>
          <w:rFonts w:ascii="Arial" w:cs="Arial" w:eastAsia="Arial" w:hAnsi="Arial"/>
          <w:sz w:val="21"/>
          <w:szCs w:val="21"/>
          <w:u w:val="single" w:color="auto"/>
          <w:color w:val="auto"/>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then (in addition to any other remedies either Party may have in the event of default by the other Party):</w:t>
      </w:r>
    </w:p>
    <w:p>
      <w:pPr>
        <w:spacing w:after="0" w:line="159" w:lineRule="exact"/>
        <w:rPr>
          <w:sz w:val="20"/>
          <w:szCs w:val="20"/>
          <w:color w:val="auto"/>
        </w:rPr>
      </w:pPr>
    </w:p>
    <w:p>
      <w:pPr>
        <w:ind w:left="1960" w:right="20" w:hanging="575"/>
        <w:spacing w:after="0" w:line="257" w:lineRule="auto"/>
        <w:tabs>
          <w:tab w:leader="none" w:pos="1857" w:val="left"/>
        </w:tabs>
        <w:numPr>
          <w:ilvl w:val="1"/>
          <w:numId w:val="43"/>
        </w:numPr>
        <w:rPr>
          <w:rFonts w:ascii="Arial" w:cs="Arial" w:eastAsia="Arial" w:hAnsi="Arial"/>
          <w:sz w:val="20"/>
          <w:szCs w:val="20"/>
          <w:color w:val="auto"/>
        </w:rPr>
      </w:pPr>
      <w:r>
        <w:rPr>
          <w:rFonts w:ascii="Arial" w:cs="Arial" w:eastAsia="Arial" w:hAnsi="Arial"/>
          <w:sz w:val="20"/>
          <w:szCs w:val="20"/>
          <w:color w:val="auto"/>
        </w:rPr>
        <w:t>subject to the terms of the Agreement, the JAZZ PHARMACEUTICALS shall take delivery of and pay for all undelivered Active Material (i) (A) that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right="20" w:firstLine="8"/>
        <w:spacing w:after="0" w:line="271" w:lineRule="auto"/>
        <w:tabs>
          <w:tab w:leader="none" w:pos="25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79" w:name="page80"/>
    <w:bookmarkEnd w:id="79"/>
    <w:p>
      <w:pPr>
        <w:jc w:val="both"/>
        <w:ind w:left="1960"/>
        <w:spacing w:after="0"/>
        <w:rPr>
          <w:sz w:val="20"/>
          <w:szCs w:val="20"/>
          <w:color w:val="auto"/>
        </w:rPr>
      </w:pPr>
      <w:r>
        <w:rPr>
          <w:rFonts w:ascii="Arial" w:cs="Arial" w:eastAsia="Arial" w:hAnsi="Arial"/>
          <w:sz w:val="20"/>
          <w:szCs w:val="20"/>
          <w:color w:val="auto"/>
        </w:rPr>
        <w:t>is manufactured pursuant to a Firm Order and (B) that meets the Specifications and (C) was manufactured in accordance with the Quality Agreement and cGMPs at the price in effect at the time the Firm Order was placed and (ii) all raw materials identified to the Active Material acquired or produced by SIEGFRIED in good faith reliance on the Forecasts delivered by JAZZ PHARMACEUTICALS hereunder;</w:t>
      </w:r>
    </w:p>
    <w:p>
      <w:pPr>
        <w:spacing w:after="0" w:line="209" w:lineRule="exact"/>
        <w:rPr>
          <w:sz w:val="20"/>
          <w:szCs w:val="20"/>
          <w:color w:val="auto"/>
        </w:rPr>
      </w:pPr>
    </w:p>
    <w:p>
      <w:pPr>
        <w:jc w:val="both"/>
        <w:ind w:left="1960" w:hanging="575"/>
        <w:spacing w:after="0" w:line="242" w:lineRule="auto"/>
        <w:tabs>
          <w:tab w:leader="none" w:pos="1917"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SIEGFRIED shall continue to provide manufacturing and quality assurance </w:t>
      </w:r>
      <w:r>
        <w:rPr>
          <w:rFonts w:ascii="Arial" w:cs="Arial" w:eastAsia="Arial" w:hAnsi="Arial"/>
          <w:sz w:val="21"/>
          <w:szCs w:val="21"/>
          <w:color w:val="auto"/>
        </w:rPr>
        <w:t>support and support of the</w:t>
      </w:r>
      <w:r>
        <w:rPr>
          <w:rFonts w:ascii="Arial" w:cs="Arial" w:eastAsia="Arial" w:hAnsi="Arial"/>
          <w:sz w:val="20"/>
          <w:szCs w:val="20"/>
          <w:color w:val="auto"/>
        </w:rPr>
        <w:t xml:space="preserve"> </w:t>
      </w:r>
      <w:r>
        <w:rPr>
          <w:rFonts w:ascii="Arial" w:cs="Arial" w:eastAsia="Arial" w:hAnsi="Arial"/>
          <w:sz w:val="21"/>
          <w:szCs w:val="21"/>
          <w:color w:val="auto"/>
        </w:rPr>
        <w:t xml:space="preserve">stability studies for the Active Material until the expiration </w:t>
      </w:r>
      <w:r>
        <w:rPr>
          <w:rFonts w:ascii="Arial" w:cs="Arial" w:eastAsia="Arial" w:hAnsi="Arial"/>
          <w:sz w:val="19"/>
          <w:szCs w:val="19"/>
          <w:color w:val="auto"/>
        </w:rPr>
        <w:t>date of the last production Batch of the</w:t>
      </w:r>
      <w:r>
        <w:rPr>
          <w:rFonts w:ascii="Arial" w:cs="Arial" w:eastAsia="Arial" w:hAnsi="Arial"/>
          <w:sz w:val="21"/>
          <w:szCs w:val="21"/>
          <w:color w:val="auto"/>
        </w:rPr>
        <w:t xml:space="preserve"> </w:t>
      </w:r>
      <w:r>
        <w:rPr>
          <w:rFonts w:ascii="Arial" w:cs="Arial" w:eastAsia="Arial" w:hAnsi="Arial"/>
          <w:sz w:val="19"/>
          <w:szCs w:val="19"/>
          <w:color w:val="auto"/>
        </w:rPr>
        <w:t xml:space="preserve">Active Material purchased by JAZZ PHARMACEUTICALS </w:t>
      </w:r>
      <w:r>
        <w:rPr>
          <w:rFonts w:ascii="Arial" w:cs="Arial" w:eastAsia="Arial" w:hAnsi="Arial"/>
          <w:sz w:val="21"/>
          <w:szCs w:val="21"/>
          <w:color w:val="auto"/>
        </w:rPr>
        <w:t>hereunder or the date required by any</w:t>
      </w:r>
      <w:r>
        <w:rPr>
          <w:rFonts w:ascii="Arial" w:cs="Arial" w:eastAsia="Arial" w:hAnsi="Arial"/>
          <w:sz w:val="19"/>
          <w:szCs w:val="19"/>
          <w:color w:val="auto"/>
        </w:rPr>
        <w:t xml:space="preserve"> </w:t>
      </w:r>
      <w:r>
        <w:rPr>
          <w:rFonts w:ascii="Arial" w:cs="Arial" w:eastAsia="Arial" w:hAnsi="Arial"/>
          <w:sz w:val="21"/>
          <w:szCs w:val="21"/>
          <w:color w:val="auto"/>
        </w:rPr>
        <w:t xml:space="preserve">applicable Law or Regulatory Authority in the Territory, whichever is later, provided, however, if </w:t>
      </w:r>
      <w:r>
        <w:rPr>
          <w:rFonts w:ascii="Arial" w:cs="Arial" w:eastAsia="Arial" w:hAnsi="Arial"/>
          <w:sz w:val="19"/>
          <w:szCs w:val="19"/>
          <w:color w:val="auto"/>
        </w:rPr>
        <w:t xml:space="preserve">JAZZ PHARMACEUTICALS </w:t>
      </w:r>
      <w:r>
        <w:rPr>
          <w:rFonts w:ascii="Arial" w:cs="Arial" w:eastAsia="Arial" w:hAnsi="Arial"/>
          <w:sz w:val="21"/>
          <w:szCs w:val="21"/>
          <w:color w:val="auto"/>
        </w:rPr>
        <w:t>terminates this Agreement other than pursuant to Section 9.2 or 9.3,</w:t>
      </w:r>
    </w:p>
    <w:p>
      <w:pPr>
        <w:spacing w:after="0" w:line="4" w:lineRule="exact"/>
        <w:rPr>
          <w:rFonts w:ascii="Arial" w:cs="Arial" w:eastAsia="Arial" w:hAnsi="Arial"/>
          <w:sz w:val="20"/>
          <w:szCs w:val="20"/>
          <w:color w:val="auto"/>
        </w:rPr>
      </w:pPr>
    </w:p>
    <w:p>
      <w:pPr>
        <w:ind w:left="1960"/>
        <w:spacing w:after="0" w:line="258" w:lineRule="auto"/>
        <w:rPr>
          <w:rFonts w:ascii="Arial" w:cs="Arial" w:eastAsia="Arial" w:hAnsi="Arial"/>
          <w:sz w:val="20"/>
          <w:szCs w:val="20"/>
          <w:color w:val="auto"/>
        </w:rPr>
      </w:pPr>
      <w:r>
        <w:rPr>
          <w:rFonts w:ascii="Arial" w:cs="Arial" w:eastAsia="Arial" w:hAnsi="Arial"/>
          <w:sz w:val="20"/>
          <w:szCs w:val="20"/>
          <w:color w:val="auto"/>
        </w:rPr>
        <w:t xml:space="preserve">JAZZ PHARMACEUTICALS </w:t>
      </w:r>
      <w:r>
        <w:rPr>
          <w:rFonts w:ascii="Arial" w:cs="Arial" w:eastAsia="Arial" w:hAnsi="Arial"/>
          <w:sz w:val="21"/>
          <w:szCs w:val="21"/>
          <w:color w:val="auto"/>
        </w:rPr>
        <w:t>shall reimburse</w:t>
      </w:r>
      <w:r>
        <w:rPr>
          <w:rFonts w:ascii="Arial" w:cs="Arial" w:eastAsia="Arial" w:hAnsi="Arial"/>
          <w:sz w:val="20"/>
          <w:szCs w:val="20"/>
          <w:color w:val="auto"/>
        </w:rPr>
        <w:t xml:space="preserve"> SIEGFRIED for the actual costs of any required support of the stability studies;</w:t>
      </w:r>
    </w:p>
    <w:p>
      <w:pPr>
        <w:spacing w:after="0" w:line="193" w:lineRule="exact"/>
        <w:rPr>
          <w:rFonts w:ascii="Arial" w:cs="Arial" w:eastAsia="Arial" w:hAnsi="Arial"/>
          <w:sz w:val="20"/>
          <w:szCs w:val="20"/>
          <w:color w:val="auto"/>
        </w:rPr>
      </w:pPr>
    </w:p>
    <w:p>
      <w:pPr>
        <w:jc w:val="both"/>
        <w:ind w:left="1960" w:hanging="575"/>
        <w:spacing w:after="0" w:line="241" w:lineRule="auto"/>
        <w:tabs>
          <w:tab w:leader="none" w:pos="2006"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SIEGFRIED shall take all steps reasonably requested by JAZZ PHARMACEUTICALS to confirm the assignment to JAZZ PHARMACEUTICALS </w:t>
      </w:r>
      <w:r>
        <w:rPr>
          <w:rFonts w:ascii="Arial" w:cs="Arial" w:eastAsia="Arial" w:hAnsi="Arial"/>
          <w:sz w:val="21"/>
          <w:szCs w:val="21"/>
          <w:color w:val="auto"/>
        </w:rPr>
        <w:t>all of</w:t>
      </w:r>
      <w:r>
        <w:rPr>
          <w:rFonts w:ascii="Arial" w:cs="Arial" w:eastAsia="Arial" w:hAnsi="Arial"/>
          <w:sz w:val="20"/>
          <w:szCs w:val="20"/>
          <w:color w:val="auto"/>
        </w:rPr>
        <w:t xml:space="preserve"> SIEGFRIED's right, title and interest in the </w:t>
      </w:r>
      <w:r>
        <w:rPr>
          <w:rFonts w:ascii="Arial" w:cs="Arial" w:eastAsia="Arial" w:hAnsi="Arial"/>
          <w:sz w:val="21"/>
          <w:szCs w:val="21"/>
          <w:color w:val="auto"/>
        </w:rPr>
        <w:t>Inventions,</w:t>
      </w:r>
      <w:r>
        <w:rPr>
          <w:rFonts w:ascii="Arial" w:cs="Arial" w:eastAsia="Arial" w:hAnsi="Arial"/>
          <w:sz w:val="20"/>
          <w:szCs w:val="20"/>
          <w:color w:val="auto"/>
        </w:rPr>
        <w:t xml:space="preserve"> </w:t>
      </w:r>
      <w:r>
        <w:rPr>
          <w:rFonts w:ascii="Arial" w:cs="Arial" w:eastAsia="Arial" w:hAnsi="Arial"/>
          <w:sz w:val="21"/>
          <w:szCs w:val="21"/>
          <w:color w:val="auto"/>
        </w:rPr>
        <w:t xml:space="preserve">including, without limitation, to execute or cause its employees or contractors to execute such documents as may be reasonably requested by </w:t>
      </w:r>
      <w:r>
        <w:rPr>
          <w:rFonts w:ascii="Arial" w:cs="Arial" w:eastAsia="Arial" w:hAnsi="Arial"/>
          <w:sz w:val="19"/>
          <w:szCs w:val="19"/>
          <w:color w:val="auto"/>
        </w:rPr>
        <w:t>JAZZ PHARMACEUTICALS</w:t>
      </w:r>
      <w:r>
        <w:rPr>
          <w:rFonts w:ascii="Arial" w:cs="Arial" w:eastAsia="Arial" w:hAnsi="Arial"/>
          <w:sz w:val="21"/>
          <w:szCs w:val="21"/>
          <w:color w:val="auto"/>
        </w:rPr>
        <w:t xml:space="preserve"> to vest all such right, title and interest in such Inventions in </w:t>
      </w:r>
      <w:r>
        <w:rPr>
          <w:rFonts w:ascii="Arial" w:cs="Arial" w:eastAsia="Arial" w:hAnsi="Arial"/>
          <w:sz w:val="19"/>
          <w:szCs w:val="19"/>
          <w:color w:val="auto"/>
        </w:rPr>
        <w:t>JAZZ PHARMACEUTICALS</w:t>
      </w:r>
      <w:r>
        <w:rPr>
          <w:rFonts w:ascii="Arial" w:cs="Arial" w:eastAsia="Arial" w:hAnsi="Arial"/>
          <w:sz w:val="21"/>
          <w:szCs w:val="21"/>
          <w:color w:val="auto"/>
        </w:rPr>
        <w:t xml:space="preserve">, provided </w:t>
      </w:r>
      <w:r>
        <w:rPr>
          <w:rFonts w:ascii="Arial" w:cs="Arial" w:eastAsia="Arial" w:hAnsi="Arial"/>
          <w:sz w:val="19"/>
          <w:szCs w:val="19"/>
          <w:color w:val="auto"/>
        </w:rPr>
        <w:t>JAZZ</w:t>
      </w:r>
      <w:r>
        <w:rPr>
          <w:rFonts w:ascii="Arial" w:cs="Arial" w:eastAsia="Arial" w:hAnsi="Arial"/>
          <w:sz w:val="21"/>
          <w:szCs w:val="21"/>
          <w:color w:val="auto"/>
        </w:rPr>
        <w:t xml:space="preserve"> </w:t>
      </w:r>
      <w:r>
        <w:rPr>
          <w:rFonts w:ascii="Arial" w:cs="Arial" w:eastAsia="Arial" w:hAnsi="Arial"/>
          <w:sz w:val="19"/>
          <w:szCs w:val="19"/>
          <w:color w:val="auto"/>
        </w:rPr>
        <w:t xml:space="preserve">PHARMACEUTICALS </w:t>
      </w:r>
      <w:r>
        <w:rPr>
          <w:rFonts w:ascii="Arial" w:cs="Arial" w:eastAsia="Arial" w:hAnsi="Arial"/>
          <w:sz w:val="21"/>
          <w:szCs w:val="21"/>
          <w:color w:val="auto"/>
        </w:rPr>
        <w:t>shall pay all reasonable expenses, including any of time and travel of</w:t>
      </w:r>
    </w:p>
    <w:p>
      <w:pPr>
        <w:spacing w:after="0" w:line="5" w:lineRule="exact"/>
        <w:rPr>
          <w:rFonts w:ascii="Arial" w:cs="Arial" w:eastAsia="Arial" w:hAnsi="Arial"/>
          <w:sz w:val="20"/>
          <w:szCs w:val="20"/>
          <w:color w:val="auto"/>
        </w:rPr>
      </w:pPr>
    </w:p>
    <w:p>
      <w:pPr>
        <w:ind w:left="1960"/>
        <w:spacing w:after="0"/>
        <w:rPr>
          <w:rFonts w:ascii="Arial" w:cs="Arial" w:eastAsia="Arial" w:hAnsi="Arial"/>
          <w:sz w:val="20"/>
          <w:szCs w:val="20"/>
          <w:color w:val="auto"/>
        </w:rPr>
      </w:pPr>
      <w:r>
        <w:rPr>
          <w:rFonts w:ascii="Arial" w:cs="Arial" w:eastAsia="Arial" w:hAnsi="Arial"/>
          <w:sz w:val="20"/>
          <w:szCs w:val="20"/>
          <w:color w:val="auto"/>
        </w:rPr>
        <w:t>SIEGFRIED 's employees, in connection with steps; and</w:t>
      </w:r>
    </w:p>
    <w:p>
      <w:pPr>
        <w:spacing w:after="0" w:line="211" w:lineRule="exact"/>
        <w:rPr>
          <w:rFonts w:ascii="Arial" w:cs="Arial" w:eastAsia="Arial" w:hAnsi="Arial"/>
          <w:sz w:val="20"/>
          <w:szCs w:val="20"/>
          <w:color w:val="auto"/>
        </w:rPr>
      </w:pPr>
    </w:p>
    <w:p>
      <w:pPr>
        <w:ind w:left="1960" w:hanging="575"/>
        <w:spacing w:after="0" w:line="252" w:lineRule="auto"/>
        <w:tabs>
          <w:tab w:leader="none" w:pos="1879"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Each Party shall return to the other party any Confidential Information of the other Party except for one (1) archival copy as may be required for </w:t>
      </w:r>
      <w:r>
        <w:rPr>
          <w:rFonts w:ascii="Arial" w:cs="Arial" w:eastAsia="Arial" w:hAnsi="Arial"/>
          <w:sz w:val="21"/>
          <w:szCs w:val="21"/>
          <w:color w:val="auto"/>
        </w:rPr>
        <w:t>purposes of compliance with any FDA regulation or other</w:t>
      </w:r>
      <w:r>
        <w:rPr>
          <w:rFonts w:ascii="Arial" w:cs="Arial" w:eastAsia="Arial" w:hAnsi="Arial"/>
          <w:sz w:val="20"/>
          <w:szCs w:val="20"/>
          <w:color w:val="auto"/>
        </w:rPr>
        <w:t xml:space="preserve"> </w:t>
      </w:r>
      <w:r>
        <w:rPr>
          <w:rFonts w:ascii="Arial" w:cs="Arial" w:eastAsia="Arial" w:hAnsi="Arial"/>
          <w:sz w:val="21"/>
          <w:szCs w:val="21"/>
          <w:color w:val="auto"/>
        </w:rPr>
        <w:t xml:space="preserve">applicable Law or </w:t>
      </w:r>
      <w:r>
        <w:rPr>
          <w:rFonts w:ascii="Arial" w:cs="Arial" w:eastAsia="Arial" w:hAnsi="Arial"/>
          <w:sz w:val="19"/>
          <w:szCs w:val="19"/>
          <w:color w:val="auto"/>
        </w:rPr>
        <w:t>Regulatory Authority in the Territory.</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Any termination or expiration of this Agreement shall not affect any outstanding obligations or payments due hereunder prior to such termination or expiration, nor shall it prejudice any other remedies that the parties may have under this Agreement.</w:t>
      </w:r>
    </w:p>
    <w:p>
      <w:pPr>
        <w:spacing w:after="0" w:line="214"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color w:val="auto"/>
        </w:rPr>
        <w:t xml:space="preserve">9.7 </w:t>
      </w:r>
      <w:r>
        <w:rPr>
          <w:rFonts w:ascii="Arial" w:cs="Arial" w:eastAsia="Arial" w:hAnsi="Arial"/>
          <w:sz w:val="20"/>
          <w:szCs w:val="20"/>
          <w:color w:val="auto"/>
        </w:rPr>
        <w:t>The provisions of Articles 1, 7, 8, 11, 12, 16, 18, 19 and 20, and Sections 4.2, 9.6 and 9.7 shall survive the termination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for any reason.</w:t>
      </w:r>
    </w:p>
    <w:p>
      <w:pPr>
        <w:spacing w:after="0" w:line="15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 xml:space="preserve">ASSIGNMENT </w:t>
      </w:r>
      <w:r>
        <w:rPr>
          <w:rFonts w:ascii="Arial" w:cs="Arial" w:eastAsia="Arial" w:hAnsi="Arial"/>
          <w:sz w:val="19"/>
          <w:szCs w:val="19"/>
          <w:b w:val="1"/>
          <w:bCs w:val="1"/>
          <w:u w:val="single" w:color="auto"/>
          <w:color w:val="auto"/>
        </w:rPr>
        <w:t>AND SUBCONTRACTING</w:t>
      </w:r>
    </w:p>
    <w:p>
      <w:pPr>
        <w:spacing w:after="0" w:line="25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10.1 </w:t>
      </w:r>
      <w:r>
        <w:rPr>
          <w:rFonts w:ascii="Arial" w:cs="Arial" w:eastAsia="Arial" w:hAnsi="Arial"/>
          <w:sz w:val="20"/>
          <w:szCs w:val="20"/>
          <w:color w:val="auto"/>
        </w:rPr>
        <w:t>This Agreement is binding upon and shall inure to the benefit of the Parties hereto and their successors and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assigns. This Agreement and any rights or obligations hereunder may be assigned or delegated only (i) with the consent of the other Party, or (ii) to the successor to all or substantially all of the business of a Party (whether by merger, consolidation, asset transfer or similar transaction) to which this Agreement relates, or (iii) to an Affiliate of either Party. Any other assignment or delegation by either Party without the prior written consent of the other Party is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8"/>
        <w:spacing w:after="0" w:line="271" w:lineRule="auto"/>
        <w:tabs>
          <w:tab w:leader="none" w:pos="2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80" w:name="page81"/>
    <w:bookmarkEnd w:id="80"/>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color w:val="auto"/>
        </w:rPr>
        <w:t xml:space="preserve">10.2 </w:t>
      </w:r>
      <w:r>
        <w:rPr>
          <w:rFonts w:ascii="Arial" w:cs="Arial" w:eastAsia="Arial" w:hAnsi="Arial"/>
          <w:sz w:val="20"/>
          <w:szCs w:val="20"/>
          <w:color w:val="auto"/>
        </w:rPr>
        <w:t>SIEGFRIED is not entitled to engage any subcontractor for conducting the work under this Agreement without the prior</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consent of JAZZ PHARMACEUTICALS provided such subcontractor agrees in writing to all the terms and conditions of this agreement including the terms of Article 16 below. If a subcontractor is appointed, SIEGFRIED shall be responsible for all work performed by such subcontractor as if performed by itself.</w:t>
      </w:r>
    </w:p>
    <w:p>
      <w:pPr>
        <w:spacing w:after="0" w:line="194"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REPRESENTATIONS AND WARRANTIES</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 xml:space="preserve">11.1 </w:t>
      </w:r>
      <w:r>
        <w:rPr>
          <w:rFonts w:ascii="Arial" w:cs="Arial" w:eastAsia="Arial" w:hAnsi="Arial"/>
          <w:sz w:val="20"/>
          <w:szCs w:val="20"/>
          <w:color w:val="auto"/>
        </w:rPr>
        <w:t>Warranties by Each Party. Each of JAZZ PHARMACEUTICALS and SIEGFRIED hereby represents, warrants and</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to the other Party as follows:</w:t>
      </w:r>
    </w:p>
    <w:p>
      <w:pPr>
        <w:spacing w:after="0" w:line="208" w:lineRule="exact"/>
        <w:rPr>
          <w:sz w:val="20"/>
          <w:szCs w:val="20"/>
          <w:color w:val="auto"/>
        </w:rPr>
      </w:pPr>
    </w:p>
    <w:p>
      <w:pPr>
        <w:ind w:left="660" w:hanging="328"/>
        <w:spacing w:after="0" w:line="247" w:lineRule="auto"/>
        <w:tabs>
          <w:tab w:leader="none" w:pos="657" w:val="left"/>
        </w:tabs>
        <w:numPr>
          <w:ilvl w:val="0"/>
          <w:numId w:val="48"/>
        </w:numPr>
        <w:rPr>
          <w:rFonts w:ascii="Times New Roman" w:cs="Times New Roman" w:eastAsia="Times New Roman" w:hAnsi="Times New Roman"/>
          <w:sz w:val="22"/>
          <w:szCs w:val="22"/>
          <w:color w:val="auto"/>
        </w:rPr>
      </w:pPr>
      <w:r>
        <w:rPr>
          <w:rFonts w:ascii="Arial" w:cs="Arial" w:eastAsia="Arial" w:hAnsi="Arial"/>
          <w:sz w:val="20"/>
          <w:szCs w:val="20"/>
          <w:color w:val="auto"/>
        </w:rPr>
        <w:t>it is a corporation duly organized and validly existing under the laws of the state or other jurisdiction in which it is incorporated;</w:t>
      </w:r>
    </w:p>
    <w:p>
      <w:pPr>
        <w:spacing w:after="0" w:line="191"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execution, delivery and performance of this Agreement by such Party has been duly authorized by all requisite corporate action;</w:t>
      </w:r>
    </w:p>
    <w:p>
      <w:pPr>
        <w:spacing w:after="0" w:line="169" w:lineRule="exact"/>
        <w:rPr>
          <w:rFonts w:ascii="Arial" w:cs="Arial" w:eastAsia="Arial" w:hAnsi="Arial"/>
          <w:sz w:val="20"/>
          <w:szCs w:val="20"/>
          <w:color w:val="auto"/>
        </w:rPr>
      </w:pPr>
    </w:p>
    <w:p>
      <w:pPr>
        <w:ind w:left="620" w:hanging="288"/>
        <w:spacing w:after="0"/>
        <w:tabs>
          <w:tab w:leader="none" w:pos="6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it has the power and authority to execute and deliver this Agreement and to perform its obligations hereunder;</w:t>
      </w:r>
    </w:p>
    <w:p>
      <w:pPr>
        <w:spacing w:after="0" w:line="229" w:lineRule="exact"/>
        <w:rPr>
          <w:rFonts w:ascii="Arial" w:cs="Arial" w:eastAsia="Arial" w:hAnsi="Arial"/>
          <w:sz w:val="20"/>
          <w:szCs w:val="20"/>
          <w:color w:val="auto"/>
        </w:rPr>
      </w:pPr>
    </w:p>
    <w:p>
      <w:pPr>
        <w:jc w:val="both"/>
        <w:ind w:left="660" w:hanging="328"/>
        <w:spacing w:after="0" w:line="245" w:lineRule="auto"/>
        <w:tabs>
          <w:tab w:leader="none" w:pos="641"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execution, delivery and performance by such Party of this Agreement and its compliance with the terms hereof does not and will not conflict with or result in a breach of any term of, or constitute a default under (i) any agreement or instrument binding or affecting it or its property; (ii) its charter documents or bylaws; or (iii) any order, writ, injunction or decree of any court or governmental authority entered against it or by which any of its property is bound;</w:t>
      </w:r>
    </w:p>
    <w:p>
      <w:pPr>
        <w:spacing w:after="0" w:line="194" w:lineRule="exact"/>
        <w:rPr>
          <w:rFonts w:ascii="Arial" w:cs="Arial" w:eastAsia="Arial" w:hAnsi="Arial"/>
          <w:sz w:val="20"/>
          <w:szCs w:val="20"/>
          <w:color w:val="auto"/>
        </w:rPr>
      </w:pPr>
    </w:p>
    <w:p>
      <w:pPr>
        <w:jc w:val="both"/>
        <w:ind w:left="660" w:hanging="328"/>
        <w:spacing w:after="0"/>
        <w:tabs>
          <w:tab w:leader="none" w:pos="642" w:val="left"/>
        </w:tabs>
        <w:numPr>
          <w:ilvl w:val="0"/>
          <w:numId w:val="48"/>
        </w:numPr>
        <w:rPr>
          <w:rFonts w:ascii="Arial" w:cs="Arial" w:eastAsia="Arial" w:hAnsi="Arial"/>
          <w:sz w:val="20"/>
          <w:szCs w:val="20"/>
          <w:color w:val="auto"/>
        </w:rPr>
      </w:pPr>
      <w:r>
        <w:rPr>
          <w:rFonts w:ascii="Arial" w:cs="Arial" w:eastAsia="Arial" w:hAnsi="Arial"/>
          <w:sz w:val="20"/>
          <w:szCs w:val="20"/>
          <w:color w:val="auto"/>
        </w:rPr>
        <w:t>subject in the case of SIEGFRIED to the receipt of the Quota, it has obtained any consent, approval or authorization of, or notice, declaration, filing or registration with, any governmental or Regulatory Authorities required for the execution, delivery and performance of this Agreement by such Party, and the execution, delivery and performance of this Agreement will not violate any law, rule or regulation applicable to such Party;</w:t>
      </w:r>
    </w:p>
    <w:p>
      <w:pPr>
        <w:spacing w:after="0" w:line="214" w:lineRule="exact"/>
        <w:rPr>
          <w:rFonts w:ascii="Arial" w:cs="Arial" w:eastAsia="Arial" w:hAnsi="Arial"/>
          <w:sz w:val="20"/>
          <w:szCs w:val="20"/>
          <w:color w:val="auto"/>
        </w:rPr>
      </w:pPr>
    </w:p>
    <w:p>
      <w:pPr>
        <w:jc w:val="both"/>
        <w:ind w:left="660" w:hanging="328"/>
        <w:spacing w:after="0"/>
        <w:tabs>
          <w:tab w:leader="none" w:pos="605"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and constitutes such Party’s legal, valid and binding obligation enforceable against it in accordance with its terms subject, as to enforcement, to bankruptcy, insolvency, reorganization and other laws of general applicability relating to or affecting creditors’ rights and to the availability of particular remedies under general equity principles; and</w:t>
      </w:r>
    </w:p>
    <w:p>
      <w:pPr>
        <w:spacing w:after="0" w:line="214" w:lineRule="exact"/>
        <w:rPr>
          <w:rFonts w:ascii="Arial" w:cs="Arial" w:eastAsia="Arial" w:hAnsi="Arial"/>
          <w:sz w:val="20"/>
          <w:szCs w:val="20"/>
          <w:color w:val="auto"/>
        </w:rPr>
      </w:pPr>
    </w:p>
    <w:p>
      <w:pPr>
        <w:ind w:left="620" w:hanging="288"/>
        <w:spacing w:after="0"/>
        <w:tabs>
          <w:tab w:leader="none" w:pos="6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it shall comply with all applicable Laws, rules and regulations relating to its activities under this Agreement.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11.2 </w:t>
      </w:r>
      <w:r>
        <w:rPr>
          <w:rFonts w:ascii="Arial" w:cs="Arial" w:eastAsia="Arial" w:hAnsi="Arial"/>
          <w:sz w:val="20"/>
          <w:szCs w:val="20"/>
          <w:color w:val="auto"/>
        </w:rPr>
        <w:t>Warranties by SIEGFRIED. SIEGFRIED represents, warrants and covenants to JAZZ PHARMACEUTICALS that:</w:t>
      </w:r>
    </w:p>
    <w:p>
      <w:pPr>
        <w:spacing w:after="0" w:line="258" w:lineRule="exact"/>
        <w:rPr>
          <w:sz w:val="20"/>
          <w:szCs w:val="20"/>
          <w:color w:val="auto"/>
        </w:rPr>
      </w:pPr>
    </w:p>
    <w:p>
      <w:pPr>
        <w:ind w:left="660" w:hanging="328"/>
        <w:spacing w:after="0" w:line="247" w:lineRule="auto"/>
        <w:tabs>
          <w:tab w:leader="none" w:pos="657" w:val="left"/>
        </w:tabs>
        <w:numPr>
          <w:ilvl w:val="1"/>
          <w:numId w:val="49"/>
        </w:numPr>
        <w:rPr>
          <w:rFonts w:ascii="Times New Roman" w:cs="Times New Roman" w:eastAsia="Times New Roman" w:hAnsi="Times New Roman"/>
          <w:sz w:val="22"/>
          <w:szCs w:val="22"/>
          <w:color w:val="auto"/>
        </w:rPr>
      </w:pPr>
      <w:r>
        <w:rPr>
          <w:rFonts w:ascii="Arial" w:cs="Arial" w:eastAsia="Arial" w:hAnsi="Arial"/>
          <w:sz w:val="20"/>
          <w:szCs w:val="20"/>
          <w:color w:val="auto"/>
        </w:rPr>
        <w:t>all Active Material delivered to JAZZ PHARMACEUTICALS or its designated Affiliates pursuant to this Agreement shall conform at the time of delivery with cGMP, applicable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5" w:lineRule="exact"/>
        <w:rPr>
          <w:rFonts w:ascii="Times New Roman" w:cs="Times New Roman" w:eastAsia="Times New Roman" w:hAnsi="Times New Roman"/>
          <w:sz w:val="22"/>
          <w:szCs w:val="22"/>
          <w:color w:val="auto"/>
        </w:rPr>
      </w:pPr>
    </w:p>
    <w:p>
      <w:pPr>
        <w:ind w:right="20" w:firstLine="8"/>
        <w:spacing w:after="0" w:line="271" w:lineRule="auto"/>
        <w:tabs>
          <w:tab w:leader="none" w:pos="25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40" w:right="339" w:bottom="1440" w:gutter="0" w:footer="0" w:header="0"/>
        </w:sectPr>
      </w:pPr>
    </w:p>
    <w:bookmarkStart w:id="81" w:name="page82"/>
    <w:bookmarkEnd w:id="81"/>
    <w:p>
      <w:pPr>
        <w:ind w:left="660"/>
        <w:spacing w:after="0" w:line="257" w:lineRule="auto"/>
        <w:rPr>
          <w:sz w:val="20"/>
          <w:szCs w:val="20"/>
          <w:color w:val="auto"/>
        </w:rPr>
      </w:pPr>
      <w:r>
        <w:rPr>
          <w:rFonts w:ascii="Arial" w:cs="Arial" w:eastAsia="Arial" w:hAnsi="Arial"/>
          <w:sz w:val="20"/>
          <w:szCs w:val="20"/>
          <w:color w:val="auto"/>
        </w:rPr>
        <w:t>Laws and the Specifications and that such Active Material shall be manufactured in accordance with Article 2 hereof and the Quality Agreement;</w:t>
      </w:r>
    </w:p>
    <w:p>
      <w:pPr>
        <w:spacing w:after="0" w:line="196" w:lineRule="exact"/>
        <w:rPr>
          <w:sz w:val="20"/>
          <w:szCs w:val="20"/>
          <w:color w:val="auto"/>
        </w:rPr>
      </w:pPr>
    </w:p>
    <w:p>
      <w:pPr>
        <w:ind w:left="660" w:right="20" w:hanging="328"/>
        <w:spacing w:after="0" w:line="257" w:lineRule="auto"/>
        <w:tabs>
          <w:tab w:leader="none" w:pos="657" w:val="left"/>
        </w:tabs>
        <w:numPr>
          <w:ilvl w:val="0"/>
          <w:numId w:val="50"/>
        </w:numPr>
        <w:rPr>
          <w:rFonts w:ascii="Arial" w:cs="Arial" w:eastAsia="Arial" w:hAnsi="Arial"/>
          <w:sz w:val="20"/>
          <w:szCs w:val="20"/>
          <w:color w:val="auto"/>
        </w:rPr>
      </w:pPr>
      <w:r>
        <w:rPr>
          <w:rFonts w:ascii="Arial" w:cs="Arial" w:eastAsia="Arial" w:hAnsi="Arial"/>
          <w:sz w:val="20"/>
          <w:szCs w:val="20"/>
          <w:color w:val="auto"/>
        </w:rPr>
        <w:t>to its knowledge, no third party patents, copyrights, trademarks, trade secrets or other third party intellectual property rights will be infringed by SIEGFRIED's performance of its obligations under this Agreement;</w:t>
      </w:r>
    </w:p>
    <w:p>
      <w:pPr>
        <w:spacing w:after="0" w:line="195" w:lineRule="exact"/>
        <w:rPr>
          <w:rFonts w:ascii="Arial" w:cs="Arial" w:eastAsia="Arial" w:hAnsi="Arial"/>
          <w:sz w:val="20"/>
          <w:szCs w:val="20"/>
          <w:color w:val="auto"/>
        </w:rPr>
      </w:pPr>
    </w:p>
    <w:p>
      <w:pPr>
        <w:jc w:val="both"/>
        <w:ind w:left="660" w:hanging="328"/>
        <w:spacing w:after="0" w:line="245" w:lineRule="auto"/>
        <w:tabs>
          <w:tab w:leader="none" w:pos="632" w:val="left"/>
        </w:tabs>
        <w:numPr>
          <w:ilvl w:val="0"/>
          <w:numId w:val="50"/>
        </w:numPr>
        <w:rPr>
          <w:rFonts w:ascii="Arial" w:cs="Arial" w:eastAsia="Arial" w:hAnsi="Arial"/>
          <w:sz w:val="20"/>
          <w:szCs w:val="20"/>
          <w:color w:val="auto"/>
        </w:rPr>
      </w:pPr>
      <w:r>
        <w:rPr>
          <w:rFonts w:ascii="Arial" w:cs="Arial" w:eastAsia="Arial" w:hAnsi="Arial"/>
          <w:sz w:val="20"/>
          <w:szCs w:val="20"/>
          <w:color w:val="auto"/>
        </w:rPr>
        <w:t>it will not use in any capacity, in connection with the Manufacturing Services to be performed under this Agreement, the services of any person debarred or suspended under 21 U.S.C. §335(a) or (b). SIEGFRIED represents that it does not currently have, and covenants that it will not hire, as an officer or an employee any person who has been convicted of a felony under the laws of the United States for conduct relating to the regulation of any drug product under the Act; and</w:t>
      </w:r>
    </w:p>
    <w:p>
      <w:pPr>
        <w:spacing w:after="0" w:line="208" w:lineRule="exact"/>
        <w:rPr>
          <w:rFonts w:ascii="Arial" w:cs="Arial" w:eastAsia="Arial" w:hAnsi="Arial"/>
          <w:sz w:val="20"/>
          <w:szCs w:val="20"/>
          <w:color w:val="auto"/>
        </w:rPr>
      </w:pPr>
    </w:p>
    <w:p>
      <w:pPr>
        <w:ind w:left="640" w:hanging="308"/>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at the time of its delivery at the Manufacturing Site, each Batch of the Active Material manufactured by SIEGFRIED will:</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1"/>
          <w:numId w:val="50"/>
        </w:numPr>
        <w:rPr>
          <w:rFonts w:ascii="Arial" w:cs="Arial" w:eastAsia="Arial" w:hAnsi="Arial"/>
          <w:sz w:val="20"/>
          <w:szCs w:val="20"/>
          <w:color w:val="auto"/>
        </w:rPr>
      </w:pPr>
      <w:r>
        <w:rPr>
          <w:rFonts w:ascii="Arial" w:cs="Arial" w:eastAsia="Arial" w:hAnsi="Arial"/>
          <w:sz w:val="20"/>
          <w:szCs w:val="20"/>
          <w:color w:val="auto"/>
        </w:rPr>
        <w:t xml:space="preserve">have an expiration date at the time of shipment equal </w:t>
      </w:r>
      <w:r>
        <w:rPr>
          <w:rFonts w:ascii="Arial" w:cs="Arial" w:eastAsia="Arial" w:hAnsi="Arial"/>
          <w:sz w:val="21"/>
          <w:szCs w:val="21"/>
          <w:color w:val="auto"/>
        </w:rPr>
        <w:t>to that approved by the FDA, (ii) conform to the</w:t>
      </w:r>
    </w:p>
    <w:p>
      <w:pPr>
        <w:spacing w:after="0" w:line="2" w:lineRule="exact"/>
        <w:rPr>
          <w:sz w:val="20"/>
          <w:szCs w:val="20"/>
          <w:color w:val="auto"/>
        </w:rPr>
      </w:pPr>
    </w:p>
    <w:p>
      <w:pPr>
        <w:jc w:val="both"/>
        <w:ind w:left="660"/>
        <w:spacing w:after="0" w:line="241" w:lineRule="auto"/>
        <w:rPr>
          <w:sz w:val="20"/>
          <w:szCs w:val="20"/>
          <w:color w:val="auto"/>
        </w:rPr>
      </w:pPr>
      <w:r>
        <w:rPr>
          <w:rFonts w:ascii="Arial" w:cs="Arial" w:eastAsia="Arial" w:hAnsi="Arial"/>
          <w:sz w:val="22"/>
          <w:szCs w:val="22"/>
          <w:color w:val="auto"/>
        </w:rPr>
        <w:t xml:space="preserve">Specifications and will be stored under </w:t>
      </w:r>
      <w:r>
        <w:rPr>
          <w:rFonts w:ascii="Arial" w:cs="Arial" w:eastAsia="Arial" w:hAnsi="Arial"/>
          <w:sz w:val="19"/>
          <w:szCs w:val="19"/>
          <w:color w:val="auto"/>
        </w:rPr>
        <w:t>proper conditions; and (iii) not be adulterated or misbranded by SIEGFRIED</w:t>
      </w:r>
      <w:r>
        <w:rPr>
          <w:rFonts w:ascii="Arial" w:cs="Arial" w:eastAsia="Arial" w:hAnsi="Arial"/>
          <w:sz w:val="22"/>
          <w:szCs w:val="22"/>
          <w:color w:val="auto"/>
        </w:rPr>
        <w:t xml:space="preserve"> </w:t>
      </w:r>
      <w:r>
        <w:rPr>
          <w:rFonts w:ascii="Arial" w:cs="Arial" w:eastAsia="Arial" w:hAnsi="Arial"/>
          <w:sz w:val="19"/>
          <w:szCs w:val="19"/>
          <w:color w:val="auto"/>
        </w:rPr>
        <w:t xml:space="preserve">within the meaning of the Act, or be an article which </w:t>
      </w:r>
      <w:r>
        <w:rPr>
          <w:rFonts w:ascii="Arial" w:cs="Arial" w:eastAsia="Arial" w:hAnsi="Arial"/>
          <w:sz w:val="21"/>
          <w:szCs w:val="21"/>
          <w:color w:val="auto"/>
        </w:rPr>
        <w:t>may not be introduced into interstate commerce under</w:t>
      </w:r>
      <w:r>
        <w:rPr>
          <w:rFonts w:ascii="Arial" w:cs="Arial" w:eastAsia="Arial" w:hAnsi="Arial"/>
          <w:sz w:val="19"/>
          <w:szCs w:val="19"/>
          <w:color w:val="auto"/>
        </w:rPr>
        <w:t xml:space="preserve"> </w:t>
      </w:r>
      <w:r>
        <w:rPr>
          <w:rFonts w:ascii="Arial" w:cs="Arial" w:eastAsia="Arial" w:hAnsi="Arial"/>
          <w:sz w:val="21"/>
          <w:szCs w:val="21"/>
          <w:color w:val="auto"/>
        </w:rPr>
        <w:t>Sections 404 or 505 of such Act.</w:t>
      </w:r>
    </w:p>
    <w:p>
      <w:pPr>
        <w:spacing w:after="0" w:line="21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11.3 </w:t>
      </w:r>
      <w:r>
        <w:rPr>
          <w:rFonts w:ascii="Arial" w:cs="Arial" w:eastAsia="Arial" w:hAnsi="Arial"/>
          <w:sz w:val="20"/>
          <w:szCs w:val="20"/>
          <w:color w:val="auto"/>
        </w:rPr>
        <w:t>EXCEPT AS EXPRESSLY WARRANTED IN THIS AGREEMENT, SIEGFRIED EXTENDS NO OTHER WARRANTIES OR</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REPRESENTATIONS COVERING THE PRODUCT, EXPRESS OR IMPLIED, AND SIEGFRIED EXPRESSLY DISCLAIMS ALL IMPLIED WARRANTIES, INCLUDING THE WARRANTY OF MERCHANTABILITY AND FITNESS FOR A PARTICULAR PURPOSE. SIEGFRIED'S LIABILITY UNDER THESE WARRANTY PROVISIONS SHALL BE STRICTLY LIMITED TO THE REMEDIES PROVIDED FOR UNDER THIS AGREEMENT.</w:t>
      </w:r>
    </w:p>
    <w:p>
      <w:pPr>
        <w:spacing w:after="0" w:line="20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 xml:space="preserve">LIABILITY </w:t>
      </w:r>
      <w:r>
        <w:rPr>
          <w:rFonts w:ascii="Arial" w:cs="Arial" w:eastAsia="Arial" w:hAnsi="Arial"/>
          <w:sz w:val="19"/>
          <w:szCs w:val="19"/>
          <w:b w:val="1"/>
          <w:bCs w:val="1"/>
          <w:u w:val="single" w:color="auto"/>
          <w:color w:val="auto"/>
        </w:rPr>
        <w:t>AND INDEMNITY</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auto"/>
        </w:rPr>
        <w:t xml:space="preserve">12.1 </w:t>
      </w:r>
      <w:r>
        <w:rPr>
          <w:rFonts w:ascii="Arial" w:cs="Arial" w:eastAsia="Arial" w:hAnsi="Arial"/>
          <w:sz w:val="20"/>
          <w:szCs w:val="20"/>
          <w:color w:val="auto"/>
        </w:rPr>
        <w:t>Indemnification by JAZZ PHARMACEUTICALS. Subject to SIEGFRIED 's compliance with its obligations in Section 12.3</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hereof, JAZZ PHARMACEUTICALS hereby indemnifies, defends, and holds SIEGFRIED and its directors, officers, employees, agents and Affiliates harmless against any and all claims, losses, damages, expenses, reasonable attorneys' fees (regardless of outcome), settlement costs and judgments (a) to which SIEGFRIED may be subject with respect to the Active Material or any Finished Dosage Form, (b) arising out of or resulting from any Finished Dosage Form or any other subsequent formulation, repackaging, distribution or other use of the Active Material supplied hereunder, including third party liability claims relating thereto. or (c) relating to or arising from any claim that the Manufacturing Services infringed a patent, copyright, trademark, trade secret or other intellectual property right of a third party, except to the extent </w:t>
      </w:r>
      <w:r>
        <w:rPr>
          <w:rFonts w:ascii="Arial" w:cs="Arial" w:eastAsia="Arial" w:hAnsi="Arial"/>
          <w:sz w:val="21"/>
          <w:szCs w:val="21"/>
          <w:color w:val="auto"/>
        </w:rPr>
        <w:t>that such losses, damages, expenses, fees,</w:t>
      </w:r>
      <w:r>
        <w:rPr>
          <w:rFonts w:ascii="Arial" w:cs="Arial" w:eastAsia="Arial" w:hAnsi="Arial"/>
          <w:sz w:val="20"/>
          <w:szCs w:val="20"/>
          <w:color w:val="auto"/>
        </w:rPr>
        <w:t xml:space="preserve"> </w:t>
      </w:r>
      <w:r>
        <w:rPr>
          <w:rFonts w:ascii="Arial" w:cs="Arial" w:eastAsia="Arial" w:hAnsi="Arial"/>
          <w:sz w:val="21"/>
          <w:szCs w:val="21"/>
          <w:color w:val="auto"/>
        </w:rPr>
        <w:t xml:space="preserve">settlement costs or judgments result from (i) the breach by </w:t>
      </w:r>
      <w:r>
        <w:rPr>
          <w:rFonts w:ascii="Arial" w:cs="Arial" w:eastAsia="Arial" w:hAnsi="Arial"/>
          <w:sz w:val="19"/>
          <w:szCs w:val="19"/>
          <w:color w:val="auto"/>
        </w:rPr>
        <w:t>SIEGFRIED of its representations or warranties under Article 11</w:t>
      </w:r>
      <w:r>
        <w:rPr>
          <w:rFonts w:ascii="Arial" w:cs="Arial" w:eastAsia="Arial" w:hAnsi="Arial"/>
          <w:sz w:val="21"/>
          <w:szCs w:val="21"/>
          <w:color w:val="auto"/>
        </w:rPr>
        <w:t xml:space="preserve"> </w:t>
      </w:r>
      <w:r>
        <w:rPr>
          <w:rFonts w:ascii="Arial" w:cs="Arial" w:eastAsia="Arial" w:hAnsi="Arial"/>
          <w:sz w:val="19"/>
          <w:szCs w:val="19"/>
          <w:color w:val="auto"/>
        </w:rPr>
        <w:t>or (ii) the gross negligence or willful misconduct of SIEGFRIED, its employees or agents.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0"/>
          <w:szCs w:val="20"/>
          <w:color w:val="auto"/>
        </w:rPr>
        <w:t>Indemnification by SIEGFRIED. Subject to JAZZ PHARMACEUTICALS’ compliance with its obligations in Section 12.3</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hereof, SIEGFRIED hereby </w:t>
      </w:r>
      <w:r>
        <w:rPr>
          <w:rFonts w:ascii="Arial" w:cs="Arial" w:eastAsia="Arial" w:hAnsi="Arial"/>
          <w:sz w:val="21"/>
          <w:szCs w:val="21"/>
          <w:color w:val="auto"/>
        </w:rPr>
        <w:t>indemnifies, defends, and holds</w:t>
      </w:r>
      <w:r>
        <w:rPr>
          <w:rFonts w:ascii="Arial" w:cs="Arial" w:eastAsia="Arial" w:hAnsi="Arial"/>
          <w:sz w:val="20"/>
          <w:szCs w:val="20"/>
          <w:color w:val="auto"/>
        </w:rPr>
        <w:t xml:space="preserve"> JAZZ PHARMACEUTICALS and its directors, officers, employees, agents, and Affiliates harmless against any and all losses, damages, expenses, reasonable </w:t>
      </w:r>
      <w:r>
        <w:rPr>
          <w:rFonts w:ascii="Arial" w:cs="Arial" w:eastAsia="Arial" w:hAnsi="Arial"/>
          <w:sz w:val="21"/>
          <w:szCs w:val="21"/>
          <w:color w:val="auto"/>
        </w:rPr>
        <w:t>attorneys' fees</w:t>
      </w:r>
      <w:r>
        <w:rPr>
          <w:rFonts w:ascii="Arial" w:cs="Arial" w:eastAsia="Arial" w:hAnsi="Arial"/>
          <w:sz w:val="20"/>
          <w:szCs w:val="20"/>
          <w:color w:val="auto"/>
        </w:rPr>
        <w:t xml:space="preserve"> </w:t>
      </w:r>
      <w:r>
        <w:rPr>
          <w:rFonts w:ascii="Arial" w:cs="Arial" w:eastAsia="Arial" w:hAnsi="Arial"/>
          <w:sz w:val="21"/>
          <w:szCs w:val="21"/>
          <w:color w:val="auto"/>
        </w:rPr>
        <w:t>(regardless of outcome), settlement costs and judgments arising out of or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firstLine="8"/>
        <w:spacing w:after="0" w:line="271" w:lineRule="auto"/>
        <w:tabs>
          <w:tab w:leader="none" w:pos="25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82" w:name="page83"/>
    <w:bookmarkEnd w:id="82"/>
    <w:p>
      <w:pPr>
        <w:jc w:val="both"/>
        <w:ind w:firstLine="8"/>
        <w:spacing w:after="0" w:line="239" w:lineRule="auto"/>
        <w:tabs>
          <w:tab w:leader="none" w:pos="364" w:val="left"/>
        </w:tabs>
        <w:numPr>
          <w:ilvl w:val="0"/>
          <w:numId w:val="53"/>
        </w:numPr>
        <w:rPr>
          <w:rFonts w:ascii="Arial" w:cs="Arial" w:eastAsia="Arial" w:hAnsi="Arial"/>
          <w:sz w:val="22"/>
          <w:szCs w:val="22"/>
          <w:color w:val="auto"/>
        </w:rPr>
      </w:pPr>
      <w:r>
        <w:rPr>
          <w:rFonts w:ascii="Arial" w:cs="Arial" w:eastAsia="Arial" w:hAnsi="Arial"/>
          <w:sz w:val="20"/>
          <w:szCs w:val="20"/>
          <w:color w:val="auto"/>
        </w:rPr>
        <w:t xml:space="preserve">SIEGFRIED's breach of any of its representations or warranties under Article 11 above, including, but not limited to, development, manufacture, testing, shipping, storage, delivery and/or other handling or processing of the Active Material (except for a breach arising from the noncompliance of </w:t>
      </w:r>
      <w:r>
        <w:rPr>
          <w:rFonts w:ascii="Arial" w:cs="Arial" w:eastAsia="Arial" w:hAnsi="Arial"/>
          <w:sz w:val="21"/>
          <w:szCs w:val="21"/>
          <w:color w:val="auto"/>
        </w:rPr>
        <w:t>Active Material</w:t>
      </w:r>
      <w:r>
        <w:rPr>
          <w:rFonts w:ascii="Arial" w:cs="Arial" w:eastAsia="Arial" w:hAnsi="Arial"/>
          <w:sz w:val="20"/>
          <w:szCs w:val="20"/>
          <w:color w:val="auto"/>
        </w:rPr>
        <w:t xml:space="preserve"> with the Specifications or cGMP, for which case the sole remedy shall be as prescribed in Section 3.4), (b) SIEGFRIED’s gross negligence or willful misconduct or (c) any injuries or claims of injuries which occur at the Manufacturing Site in connection with the Manufacturing Services, except to the extent </w:t>
      </w:r>
      <w:r>
        <w:rPr>
          <w:rFonts w:ascii="Arial" w:cs="Arial" w:eastAsia="Arial" w:hAnsi="Arial"/>
          <w:sz w:val="21"/>
          <w:szCs w:val="21"/>
          <w:color w:val="auto"/>
        </w:rPr>
        <w:t>that such</w:t>
      </w:r>
      <w:r>
        <w:rPr>
          <w:rFonts w:ascii="Arial" w:cs="Arial" w:eastAsia="Arial" w:hAnsi="Arial"/>
          <w:sz w:val="20"/>
          <w:szCs w:val="20"/>
          <w:color w:val="auto"/>
        </w:rPr>
        <w:t xml:space="preserve"> </w:t>
      </w:r>
      <w:r>
        <w:rPr>
          <w:rFonts w:ascii="Arial" w:cs="Arial" w:eastAsia="Arial" w:hAnsi="Arial"/>
          <w:sz w:val="21"/>
          <w:szCs w:val="21"/>
          <w:color w:val="auto"/>
        </w:rPr>
        <w:t xml:space="preserve">losses, damages, expenses, fees, settlement costs or judgments result from (i) the breach by </w:t>
      </w:r>
      <w:r>
        <w:rPr>
          <w:rFonts w:ascii="Arial" w:cs="Arial" w:eastAsia="Arial" w:hAnsi="Arial"/>
          <w:sz w:val="19"/>
          <w:szCs w:val="19"/>
          <w:color w:val="auto"/>
        </w:rPr>
        <w:t>JAZZ</w:t>
      </w:r>
      <w:r>
        <w:rPr>
          <w:rFonts w:ascii="Arial" w:cs="Arial" w:eastAsia="Arial" w:hAnsi="Arial"/>
          <w:sz w:val="21"/>
          <w:szCs w:val="21"/>
          <w:color w:val="auto"/>
        </w:rPr>
        <w:t xml:space="preserve"> </w:t>
      </w:r>
      <w:r>
        <w:rPr>
          <w:rFonts w:ascii="Arial" w:cs="Arial" w:eastAsia="Arial" w:hAnsi="Arial"/>
          <w:sz w:val="19"/>
          <w:szCs w:val="19"/>
          <w:color w:val="auto"/>
        </w:rPr>
        <w:t>PHARMACEUTICALS of its representations or warranties under Article 11 or (ii) the gross negligence or willful misconduct of JAZZ PHARMACEUTICALS, its employees or agents.</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0"/>
          <w:szCs w:val="20"/>
          <w:color w:val="auto"/>
        </w:rPr>
        <w:t>Conditions to Indemnification. The indemnified Party shall give the indemnifying Party prompt written notice of any claim or</w:t>
      </w:r>
      <w:r>
        <w:rPr>
          <w:rFonts w:ascii="Arial" w:cs="Arial" w:eastAsia="Arial" w:hAnsi="Arial"/>
          <w:sz w:val="20"/>
          <w:szCs w:val="20"/>
          <w:b w:val="1"/>
          <w:bCs w:val="1"/>
          <w:color w:val="auto"/>
        </w:rPr>
        <w:t xml:space="preserve"> </w:t>
      </w:r>
      <w:r>
        <w:rPr>
          <w:rFonts w:ascii="Arial" w:cs="Arial" w:eastAsia="Arial" w:hAnsi="Arial"/>
          <w:sz w:val="20"/>
          <w:szCs w:val="20"/>
          <w:color w:val="auto"/>
        </w:rPr>
        <w:t>the institution of any suit against the indemnified Party for which it may seek indemnification under this Article 12. The failure to give such notice shall not relieve the indemnifying Party from any liability that it may have to the indemnified Party under this Article 12, except to the extent that the indemnifying Party’s ability to defend such claim or suit is materially prejudiced by such failure to give notice. The indemnifying Party shall be entitled to participate in the defense of such claim or suit and to assume the control of such defense; provided, however, that the indemnified Party may elect to participate in, but not control, the defense of such claim or suit and to be represented by counsel, at its own expense, in connection therewith. The indemnifying Party shall not enter into any settlement agreement, which would materially adversely affect the rights or obligations of the indemnified Party under this Agreement without the indemnified Party’s prior written consent.</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0"/>
          <w:szCs w:val="20"/>
          <w:color w:val="auto"/>
        </w:rPr>
        <w:t>Limitation of Liability. Except in the case of SIEGFRIED’s gross negligence or wilful misconduct, SIEGFRIED’s total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damages of any kind or nature (including any liability relating to a recall, market withdrawal or correction) shall not exceed in a Year the amount equal to [ * ].</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0"/>
          <w:szCs w:val="20"/>
          <w:color w:val="auto"/>
        </w:rPr>
        <w:t>EXCEPT WITH RESPECT TO AMOUNTS PAYABLE TO THIRD PARTIES, NEITHER PARTY SHALL BE RESPONSIBLE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THE OTHER PARTY FOR SUCH OTHER PARTY’S LOST PROFITS OR INCIDENTAL OR CONSEQUENTIAL DAMAGES, INCLUDING LOSS OR DAMAGE TO GOODWILL OR REPUTATION.</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12.6 </w:t>
      </w:r>
      <w:r>
        <w:rPr>
          <w:rFonts w:ascii="Arial" w:cs="Arial" w:eastAsia="Arial" w:hAnsi="Arial"/>
          <w:sz w:val="20"/>
          <w:szCs w:val="20"/>
          <w:color w:val="auto"/>
        </w:rPr>
        <w:t>Debarment Certification. In accordance with the requirements of the Act, SIEGFRIED certifies that, to the best of its</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SIEGFRIED is not and will not be using any person presently under investigation by the FDA for debarment action, or debarred under 21 U.S.C § 335a, in any capacity, in connection with the manufacture of Active Material. SIEGFRIED also certifies that, to the best of its knowledge, SIEGFRIED is not and will not be using any person or Affiliate for whom convictions subject to debarment have occurred in the last five (5) years in any capacity in connection with the manufacture of Active Material. If, at any time after execution of this Agreement, SIEGFRIED becomes aware that SIEGFRIED is using any person or any Affiliate that has been or is in the process of being debarred, SIEGFRIED hereby certifies that it will promptly notify JAZZ PHARMACEUTICALS of such.</w:t>
      </w:r>
    </w:p>
    <w:p>
      <w:pPr>
        <w:spacing w:after="0" w:line="224"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b w:val="1"/>
          <w:bCs w:val="1"/>
          <w:color w:val="auto"/>
        </w:rPr>
        <w:t xml:space="preserve">12.7 </w:t>
      </w:r>
      <w:r>
        <w:rPr>
          <w:rFonts w:ascii="Arial" w:cs="Arial" w:eastAsia="Arial" w:hAnsi="Arial"/>
          <w:sz w:val="20"/>
          <w:szCs w:val="20"/>
          <w:color w:val="auto"/>
        </w:rPr>
        <w:t>Without limiting their obligations hereunder, both Parties shall maintain at their individual sole expense, commencing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Effective Date and continuing throughout the term and any renewals thereof, sufficient insurance coverage to satisfy their obligations hereunder. Without derogating from the foregoing, this shall include, at minimum, the following insurance: (i) commercial general liability insurance, including broad form contractual liability and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8"/>
        <w:spacing w:after="0" w:line="271" w:lineRule="auto"/>
        <w:tabs>
          <w:tab w:leader="none" w:pos="25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27" w:right="339" w:bottom="1440" w:gutter="0" w:footer="0" w:header="0"/>
        </w:sectPr>
      </w:pPr>
    </w:p>
    <w:bookmarkStart w:id="83" w:name="page84"/>
    <w:bookmarkEnd w:id="83"/>
    <w:p>
      <w:pPr>
        <w:ind w:right="80"/>
        <w:spacing w:after="0" w:line="251" w:lineRule="auto"/>
        <w:rPr>
          <w:sz w:val="20"/>
          <w:szCs w:val="20"/>
          <w:color w:val="auto"/>
        </w:rPr>
      </w:pPr>
      <w:r>
        <w:rPr>
          <w:rFonts w:ascii="Arial" w:cs="Arial" w:eastAsia="Arial" w:hAnsi="Arial"/>
          <w:sz w:val="20"/>
          <w:szCs w:val="20"/>
          <w:color w:val="auto"/>
        </w:rPr>
        <w:t>advertising injury coverage, with limits of not less than US $5,000,000 per occurrence and US $5,000,000 annual aggregate; (ii) product liability insurance with a coverage limit of not less than US $5,000,000 per occurrence and US $ 10,000,000 annual aggregate (iii) with respect to SIEGFRIED, workers compensation insurance with not less than minimum coverage limit as required by law; employers liability insurance of not less than $1,000,000 per accident/injury. The required limits for general liability and product liability may be satisfied through a combination of primary and umbrella coverage. Both Parties agree to</w:t>
      </w:r>
    </w:p>
    <w:p>
      <w:pPr>
        <w:spacing w:after="0" w:line="3" w:lineRule="exact"/>
        <w:rPr>
          <w:sz w:val="20"/>
          <w:szCs w:val="20"/>
          <w:color w:val="auto"/>
        </w:rPr>
      </w:pPr>
    </w:p>
    <w:p>
      <w:pPr>
        <w:ind w:right="280"/>
        <w:spacing w:after="0" w:line="236" w:lineRule="auto"/>
        <w:rPr>
          <w:sz w:val="20"/>
          <w:szCs w:val="20"/>
          <w:color w:val="auto"/>
        </w:rPr>
      </w:pPr>
      <w:r>
        <w:rPr>
          <w:rFonts w:ascii="Arial" w:cs="Arial" w:eastAsia="Arial" w:hAnsi="Arial"/>
          <w:sz w:val="20"/>
          <w:szCs w:val="20"/>
          <w:color w:val="auto"/>
        </w:rPr>
        <w:t>endeavor to provide [ * ] notice of cancellation or non-renewal of required insurance. Prior to the performance of any activities under this Agreement, each Party shall provide the other with a certificate of insurance evidencing its respective insurance coverage. Required insurance shall be placed with carriers having a minimum A.M. Best rating of A- or better. If any required insurance is written on a claims-made basis, the policy holder/named insured shall be responsible for ensuring continuity of cover for claims which may be presented following policy expiry or cancellation.</w:t>
      </w:r>
    </w:p>
    <w:p>
      <w:pPr>
        <w:spacing w:after="0" w:line="194"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FORCE MAJEURE</w:t>
      </w:r>
    </w:p>
    <w:p>
      <w:pPr>
        <w:spacing w:after="0" w:line="240" w:lineRule="exact"/>
        <w:rPr>
          <w:sz w:val="20"/>
          <w:szCs w:val="20"/>
          <w:color w:val="auto"/>
        </w:rPr>
      </w:pPr>
    </w:p>
    <w:p>
      <w:pPr>
        <w:jc w:val="both"/>
        <w:spacing w:after="0"/>
        <w:rPr>
          <w:sz w:val="20"/>
          <w:szCs w:val="20"/>
          <w:color w:val="auto"/>
        </w:rPr>
      </w:pPr>
      <w:r>
        <w:rPr>
          <w:rFonts w:ascii="Arial" w:cs="Arial" w:eastAsia="Arial" w:hAnsi="Arial"/>
          <w:sz w:val="20"/>
          <w:szCs w:val="20"/>
          <w:color w:val="auto"/>
        </w:rPr>
        <w:t>Either Party shall be excused from performing its obligations under this Agreement if its performance is delayed or prevented by any cause beyond such Party’s control, including but not limited to, act of God, fire, explosion, weather, disease, war,</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insurrection, civil strike, riots, labor strike, slow-downs or similar labor disturbances, power failure or energy shortages ("</w:t>
      </w:r>
      <w:r>
        <w:rPr>
          <w:rFonts w:ascii="Arial" w:cs="Arial" w:eastAsia="Arial" w:hAnsi="Arial"/>
          <w:sz w:val="21"/>
          <w:szCs w:val="21"/>
          <w:b w:val="1"/>
          <w:bCs w:val="1"/>
          <w:color w:val="auto"/>
        </w:rPr>
        <w:t>Force</w:t>
      </w:r>
      <w:r>
        <w:rPr>
          <w:rFonts w:ascii="Arial" w:cs="Arial" w:eastAsia="Arial" w:hAnsi="Arial"/>
          <w:sz w:val="20"/>
          <w:szCs w:val="20"/>
          <w:color w:val="auto"/>
        </w:rPr>
        <w:t xml:space="preserve"> </w:t>
      </w:r>
      <w:r>
        <w:rPr>
          <w:rFonts w:ascii="Arial" w:cs="Arial" w:eastAsia="Arial" w:hAnsi="Arial"/>
          <w:sz w:val="21"/>
          <w:szCs w:val="21"/>
          <w:b w:val="1"/>
          <w:bCs w:val="1"/>
          <w:color w:val="auto"/>
        </w:rPr>
        <w:t>Majeure Event"</w:t>
      </w:r>
      <w:r>
        <w:rPr>
          <w:rFonts w:ascii="Arial" w:cs="Arial" w:eastAsia="Arial" w:hAnsi="Arial"/>
          <w:sz w:val="19"/>
          <w:szCs w:val="19"/>
          <w:color w:val="auto"/>
        </w:rPr>
        <w:t>) or a Force Majeure Event affecting a raw material supplier. Performance shall be excused only to the extent</w:t>
      </w:r>
      <w:r>
        <w:rPr>
          <w:rFonts w:ascii="Arial" w:cs="Arial" w:eastAsia="Arial" w:hAnsi="Arial"/>
          <w:sz w:val="21"/>
          <w:szCs w:val="21"/>
          <w:b w:val="1"/>
          <w:bCs w:val="1"/>
          <w:color w:val="auto"/>
        </w:rPr>
        <w:t xml:space="preserve"> </w:t>
      </w:r>
      <w:r>
        <w:rPr>
          <w:rFonts w:ascii="Arial" w:cs="Arial" w:eastAsia="Arial" w:hAnsi="Arial"/>
          <w:sz w:val="19"/>
          <w:szCs w:val="19"/>
          <w:color w:val="auto"/>
        </w:rPr>
        <w:t>of and during the reasonable continuance of such disability. Any deadline or time for performance specified in this Agreement that falls due during or subsequent to the occurrence of any of the disabilities referred to herein shall be automatically extended for a period of time equal to the period of such disability. SIEGFRIED shall immediately notify JAZZ PHARMACEUTICALS if, by reason of any Force Majeure Event referred to herein, SIEGFRIED is unable to meet any deadline or time for performance specified in this Agreement. In the event that such Force Majeure Event cannot be removed or overcome within [ * ] (or such other period as the Parties jointly shall determine) from the date the Party affected first became affected, then either Party may, at any time after the expiration of such period, and for so long as such Force Majeure Event continues to exist, by written notice to the other Party, suspend or terminate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INDEPENDENT PARTIES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0"/>
          <w:szCs w:val="20"/>
          <w:color w:val="auto"/>
        </w:rPr>
        <w:t>Nothing herein, or in any attachments hereto, shall be deemed or construed to constitute or create between the Parties hereto a partnership, joint venture, agency, or other relationship other than as expressly set forth herein. Neither of the Parties shall be responsible for the acts or omissions of the other Party, and neither Party will have authority to speak for, represent or obligate the other Party in any way without prior written authority from the other Party.</w:t>
      </w:r>
    </w:p>
    <w:p>
      <w:pPr>
        <w:spacing w:after="0" w:line="207"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ENTIRE AGREEMENT AND LEGAL AUTHORITY</w:t>
      </w:r>
    </w:p>
    <w:p>
      <w:pPr>
        <w:spacing w:after="0" w:line="25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15.1 </w:t>
      </w:r>
      <w:r>
        <w:rPr>
          <w:rFonts w:ascii="Arial" w:cs="Arial" w:eastAsia="Arial" w:hAnsi="Arial"/>
          <w:sz w:val="20"/>
          <w:szCs w:val="20"/>
          <w:color w:val="auto"/>
        </w:rPr>
        <w:t>This Agreement and the Schedules attached hereto (which Schedules are deemed to be an integral part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for all purposes) contain the full understanding of the Parties with respect to the subject matter hereof and supersede all prior understandings and writings relating thereto. No waiver, alteration or modification of any of the provisions hereof shall be binding unless made in writing and signed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8"/>
        <w:spacing w:after="0" w:line="271" w:lineRule="auto"/>
        <w:tabs>
          <w:tab w:leader="none" w:pos="25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84" w:name="page85"/>
    <w:bookmarkEnd w:id="84"/>
    <w:p>
      <w:pPr>
        <w:jc w:val="both"/>
        <w:spacing w:after="0" w:line="269" w:lineRule="auto"/>
        <w:rPr>
          <w:sz w:val="20"/>
          <w:szCs w:val="20"/>
          <w:color w:val="auto"/>
        </w:rPr>
      </w:pPr>
      <w:r>
        <w:rPr>
          <w:rFonts w:ascii="Arial" w:cs="Arial" w:eastAsia="Arial" w:hAnsi="Arial"/>
          <w:sz w:val="19"/>
          <w:szCs w:val="19"/>
          <w:b w:val="1"/>
          <w:bCs w:val="1"/>
          <w:color w:val="auto"/>
        </w:rPr>
        <w:t xml:space="preserve">15.2 </w:t>
      </w:r>
      <w:r>
        <w:rPr>
          <w:rFonts w:ascii="Arial" w:cs="Arial" w:eastAsia="Arial" w:hAnsi="Arial"/>
          <w:sz w:val="19"/>
          <w:szCs w:val="19"/>
          <w:color w:val="auto"/>
        </w:rPr>
        <w:t>Each Party represents and warrants to the other that it has the legal power, authority and right to enter into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to perform its respective obligations set forth herein. This Agreement has been duly executed and delivered by each Party and constitutes the valid and binding obligation of such Party, enforceable against such Party in accordance with its terms.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auto"/>
        </w:rPr>
        <w:t xml:space="preserve">15.3 </w:t>
      </w:r>
      <w:r>
        <w:rPr>
          <w:rFonts w:ascii="Arial" w:cs="Arial" w:eastAsia="Arial" w:hAnsi="Arial"/>
          <w:sz w:val="20"/>
          <w:szCs w:val="20"/>
          <w:color w:val="auto"/>
        </w:rPr>
        <w:t>If any portion of this Agreement is held invalid by a court of competent jurisdiction, such portion shall be deemed to be of</w:t>
      </w:r>
      <w:r>
        <w:rPr>
          <w:rFonts w:ascii="Arial" w:cs="Arial" w:eastAsia="Arial" w:hAnsi="Arial"/>
          <w:sz w:val="20"/>
          <w:szCs w:val="20"/>
          <w:b w:val="1"/>
          <w:bCs w:val="1"/>
          <w:color w:val="auto"/>
        </w:rPr>
        <w:t xml:space="preserve"> </w:t>
      </w:r>
      <w:r>
        <w:rPr>
          <w:rFonts w:ascii="Arial" w:cs="Arial" w:eastAsia="Arial" w:hAnsi="Arial"/>
          <w:sz w:val="20"/>
          <w:szCs w:val="20"/>
          <w:color w:val="auto"/>
        </w:rPr>
        <w:t>no force and effect and the Agreement shall be construed as if such portion had not been included herein, provided however, if the deletion of such provision materially impairs the commercial value of this Agreement to either Party, the Parties shall attempt to renegotiate such provision in good faith. The fact that any provision of this Agreement shall be prohibited or unenforceable in any jurisdiction shall not invalidate or render unenforceable such provision in any other jurisdiction. To the extent permitted by applicable law, the Parties to this Agreement waive any provision of law that renders any provision of this Agreement prohibited or unenforceable in any respect.</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15.4 </w:t>
      </w:r>
      <w:r>
        <w:rPr>
          <w:rFonts w:ascii="Arial" w:cs="Arial" w:eastAsia="Arial" w:hAnsi="Arial"/>
          <w:sz w:val="20"/>
          <w:szCs w:val="20"/>
          <w:color w:val="auto"/>
        </w:rPr>
        <w:t>This Agreement may be executed in counterparts, each of which shall be deemed an original, but all of which together shall</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but one and the same Agreement.</w:t>
      </w:r>
    </w:p>
    <w:p>
      <w:pPr>
        <w:spacing w:after="0" w:line="172"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EXCLUSIVITY</w:t>
      </w:r>
    </w:p>
    <w:p>
      <w:pPr>
        <w:spacing w:after="0" w:line="22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During the term of this Agreement and, except in the case of a termination by SIEGFRIED pursuant to Sections 9.2 or 9.3 or a termination by JAZZ PHARMACEUTICALS pursuant to Sections 9.4 or 9.5, for eighteen (18) months thereafter, SIEGFRIED will not develop, make, have made, use, sell, have sold, offer for sale, import or commercialize, or assist any other third party, in any of the foregoing with respect to the Active Material other than JAZZ PHARMACEUTICALS pursuant to this Agreement.</w:t>
      </w:r>
    </w:p>
    <w:p>
      <w:pPr>
        <w:spacing w:after="0" w:line="188"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PRECEDENCE OF AGREEMENT</w:t>
      </w:r>
      <w:r>
        <w:rPr>
          <w:rFonts w:ascii="Arial" w:cs="Arial" w:eastAsia="Arial" w:hAnsi="Arial"/>
          <w:sz w:val="19"/>
          <w:szCs w:val="19"/>
          <w:b w:val="1"/>
          <w:bCs w:val="1"/>
          <w:u w:val="single" w:color="auto"/>
          <w:color w:val="auto"/>
        </w:rPr>
        <w:t>, WAIVERS AND FURTHER ASSURANCES</w:t>
      </w: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17.1 </w:t>
      </w:r>
      <w:r>
        <w:rPr>
          <w:rFonts w:ascii="Arial" w:cs="Arial" w:eastAsia="Arial" w:hAnsi="Arial"/>
          <w:sz w:val="20"/>
          <w:szCs w:val="20"/>
          <w:color w:val="auto"/>
        </w:rPr>
        <w:t>Unless expressly agreed otherwise in writing the terms outlined in this Agreement shall prevail over any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outlined in any Firm Order or Firm Order confirmation for Active Material or any general terms and conditions of either Party, and such terms and conditions are hereby expressly excluded.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17.2 </w:t>
      </w:r>
      <w:r>
        <w:rPr>
          <w:rFonts w:ascii="Arial" w:cs="Arial" w:eastAsia="Arial" w:hAnsi="Arial"/>
          <w:sz w:val="20"/>
          <w:szCs w:val="20"/>
          <w:color w:val="auto"/>
        </w:rPr>
        <w:t>In case of conflicts between this Agreement and a Schedule hereto the provisions of this Agreement shall prevail. In case</w:t>
      </w:r>
      <w:r>
        <w:rPr>
          <w:rFonts w:ascii="Arial" w:cs="Arial" w:eastAsia="Arial" w:hAnsi="Arial"/>
          <w:sz w:val="20"/>
          <w:szCs w:val="20"/>
          <w:b w:val="1"/>
          <w:bCs w:val="1"/>
          <w:color w:val="auto"/>
        </w:rPr>
        <w:t xml:space="preserve"> </w:t>
      </w:r>
      <w:r>
        <w:rPr>
          <w:rFonts w:ascii="Arial" w:cs="Arial" w:eastAsia="Arial" w:hAnsi="Arial"/>
          <w:sz w:val="20"/>
          <w:szCs w:val="20"/>
          <w:color w:val="auto"/>
        </w:rPr>
        <w:t>of conflicts between this Agreement and the Quality Agreement the provisions of this Agreement shall prevail.</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17.3 </w:t>
      </w:r>
      <w:r>
        <w:rPr>
          <w:rFonts w:ascii="Arial" w:cs="Arial" w:eastAsia="Arial" w:hAnsi="Arial"/>
          <w:sz w:val="20"/>
          <w:szCs w:val="20"/>
          <w:color w:val="auto"/>
        </w:rPr>
        <w:t>The failure by either Party at any time to enforce any of the terms, provisions or conditions of this Agreement or to exercise</w:t>
      </w:r>
      <w:r>
        <w:rPr>
          <w:rFonts w:ascii="Arial" w:cs="Arial" w:eastAsia="Arial" w:hAnsi="Arial"/>
          <w:sz w:val="20"/>
          <w:szCs w:val="20"/>
          <w:b w:val="1"/>
          <w:bCs w:val="1"/>
          <w:color w:val="auto"/>
        </w:rPr>
        <w:t xml:space="preserve"> </w:t>
      </w:r>
      <w:r>
        <w:rPr>
          <w:rFonts w:ascii="Arial" w:cs="Arial" w:eastAsia="Arial" w:hAnsi="Arial"/>
          <w:sz w:val="20"/>
          <w:szCs w:val="20"/>
          <w:color w:val="auto"/>
        </w:rPr>
        <w:t>any right hereunder shall not constitute or be construed to constitute a waiver of the same or affect that Party's rights thereafter to enforce or exercise the same. No waiver of any term, provision or condition of this Agreement shall be effective unless it is in writing and signed by duly authorised persons on behalf of the waiving Party.</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17.4 </w:t>
      </w:r>
      <w:r>
        <w:rPr>
          <w:rFonts w:ascii="Arial" w:cs="Arial" w:eastAsia="Arial" w:hAnsi="Arial"/>
          <w:sz w:val="20"/>
          <w:szCs w:val="20"/>
          <w:color w:val="auto"/>
        </w:rPr>
        <w:t>Each Party agrees to execute, acknowledge and deliver such further instruments, and to take such further actions, as may</w:t>
      </w:r>
      <w:r>
        <w:rPr>
          <w:rFonts w:ascii="Arial" w:cs="Arial" w:eastAsia="Arial" w:hAnsi="Arial"/>
          <w:sz w:val="20"/>
          <w:szCs w:val="20"/>
          <w:b w:val="1"/>
          <w:bCs w:val="1"/>
          <w:color w:val="auto"/>
        </w:rPr>
        <w:t xml:space="preserve"> </w:t>
      </w:r>
      <w:r>
        <w:rPr>
          <w:rFonts w:ascii="Arial" w:cs="Arial" w:eastAsia="Arial" w:hAnsi="Arial"/>
          <w:sz w:val="20"/>
          <w:szCs w:val="20"/>
          <w:color w:val="auto"/>
        </w:rPr>
        <w:t>be necessary or appropriate in order to carry out the purpose and intent of this Agreement.</w:t>
      </w:r>
    </w:p>
    <w:p>
      <w:pPr>
        <w:spacing w:after="0" w:line="17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NO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firstLine="8"/>
        <w:spacing w:after="0" w:line="271" w:lineRule="auto"/>
        <w:tabs>
          <w:tab w:leader="none" w:pos="25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25" w:right="339" w:bottom="1440" w:gutter="0" w:footer="0" w:header="0"/>
        </w:sectPr>
      </w:pPr>
    </w:p>
    <w:bookmarkStart w:id="85" w:name="page86"/>
    <w:bookmarkEnd w:id="85"/>
    <w:p>
      <w:pPr>
        <w:jc w:val="both"/>
        <w:spacing w:after="0"/>
        <w:rPr>
          <w:sz w:val="20"/>
          <w:szCs w:val="20"/>
          <w:color w:val="auto"/>
        </w:rPr>
      </w:pPr>
      <w:r>
        <w:rPr>
          <w:rFonts w:ascii="Arial" w:cs="Arial" w:eastAsia="Arial" w:hAnsi="Arial"/>
          <w:sz w:val="20"/>
          <w:szCs w:val="20"/>
          <w:color w:val="auto"/>
        </w:rPr>
        <w:t>Neither JAZZ PHARMACEUTICALS nor SIEGFRIED shall use the name of the other Party in any advertising or press release without the prior consent of the other Party; provided that this Article 18 shall not restrict JAZZ PHARMACEUTICALS from identifying SIEGFRIED and its work in connection with this Agreement to any Regulatory Authority or as required by law or regulation.</w:t>
      </w:r>
    </w:p>
    <w:p>
      <w:pPr>
        <w:spacing w:after="0" w:line="207"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NOTICES</w:t>
      </w:r>
    </w:p>
    <w:p>
      <w:pPr>
        <w:spacing w:after="0" w:line="240" w:lineRule="exact"/>
        <w:rPr>
          <w:sz w:val="20"/>
          <w:szCs w:val="20"/>
          <w:color w:val="auto"/>
        </w:rPr>
      </w:pPr>
    </w:p>
    <w:p>
      <w:pPr>
        <w:jc w:val="both"/>
        <w:spacing w:after="0"/>
        <w:rPr>
          <w:sz w:val="20"/>
          <w:szCs w:val="20"/>
          <w:color w:val="auto"/>
        </w:rPr>
      </w:pPr>
      <w:r>
        <w:rPr>
          <w:rFonts w:ascii="Arial" w:cs="Arial" w:eastAsia="Arial" w:hAnsi="Arial"/>
          <w:sz w:val="20"/>
          <w:szCs w:val="20"/>
          <w:color w:val="auto"/>
        </w:rPr>
        <w:t>Any notice required under this Agreement shall be effective only if it is in writing and (i) delivered in person or (ii) deposited with a nationally recognized overnight delivery service, or (iii) sent by registered mail or (iv) dispatched by fax with copy of receipt, in which case such notice is to be confirmed by registered mail within [ * ]; in either case any notice is to be addressed to the applicable address set forth below or any other address as designated by either Party.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All notices or demands to be given between the Parties under this Agreement shall be addressed as follows:</w:t>
      </w:r>
    </w:p>
    <w:p>
      <w:pPr>
        <w:spacing w:after="0" w:line="200" w:lineRule="exact"/>
        <w:rPr>
          <w:sz w:val="20"/>
          <w:szCs w:val="20"/>
          <w:color w:val="auto"/>
        </w:rPr>
      </w:pPr>
    </w:p>
    <w:p>
      <w:pPr>
        <w:spacing w:after="0" w:line="286"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if to SIEGFRIED:</w:t>
      </w:r>
    </w:p>
    <w:p>
      <w:pPr>
        <w:spacing w:after="0" w:line="229"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Siegfried (USA) Inc</w:t>
      </w:r>
    </w:p>
    <w:p>
      <w:pPr>
        <w:spacing w:after="0" w:line="4"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33 Industrial Park Road</w:t>
      </w:r>
    </w:p>
    <w:p>
      <w:pPr>
        <w:ind w:left="3240"/>
        <w:spacing w:after="0"/>
        <w:rPr>
          <w:sz w:val="20"/>
          <w:szCs w:val="20"/>
          <w:color w:val="auto"/>
        </w:rPr>
      </w:pPr>
      <w:r>
        <w:rPr>
          <w:rFonts w:ascii="Arial" w:cs="Arial" w:eastAsia="Arial" w:hAnsi="Arial"/>
          <w:sz w:val="20"/>
          <w:szCs w:val="20"/>
          <w:color w:val="auto"/>
        </w:rPr>
        <w:t>Pennsville, NJ 08070</w:t>
      </w:r>
    </w:p>
    <w:p>
      <w:pPr>
        <w:ind w:left="3240"/>
        <w:spacing w:after="0"/>
        <w:rPr>
          <w:sz w:val="20"/>
          <w:szCs w:val="20"/>
          <w:color w:val="auto"/>
        </w:rPr>
      </w:pPr>
      <w:r>
        <w:rPr>
          <w:rFonts w:ascii="Arial" w:cs="Arial" w:eastAsia="Arial" w:hAnsi="Arial"/>
          <w:sz w:val="20"/>
          <w:szCs w:val="20"/>
          <w:color w:val="auto"/>
        </w:rPr>
        <w:t>Attention: [ * ]</w:t>
      </w:r>
    </w:p>
    <w:p>
      <w:pPr>
        <w:jc w:val="center"/>
        <w:ind w:right="3880"/>
        <w:spacing w:after="0"/>
        <w:rPr>
          <w:sz w:val="20"/>
          <w:szCs w:val="20"/>
          <w:color w:val="auto"/>
        </w:rPr>
      </w:pPr>
      <w:r>
        <w:rPr>
          <w:rFonts w:ascii="Arial" w:cs="Arial" w:eastAsia="Arial" w:hAnsi="Arial"/>
          <w:sz w:val="20"/>
          <w:szCs w:val="20"/>
          <w:color w:val="auto"/>
        </w:rPr>
        <w:t>(Fax): [ * ]</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if to JAZZ PHARMACEUTICALS:</w:t>
      </w:r>
    </w:p>
    <w:p>
      <w:pPr>
        <w:spacing w:after="0" w:line="229"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Jazz Pharmaceuticals, Inc.</w:t>
      </w:r>
    </w:p>
    <w:p>
      <w:pPr>
        <w:spacing w:after="0" w:line="4"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3180 Porter Drive</w:t>
      </w:r>
    </w:p>
    <w:p>
      <w:pPr>
        <w:ind w:left="3200"/>
        <w:spacing w:after="0" w:line="225" w:lineRule="auto"/>
        <w:rPr>
          <w:sz w:val="20"/>
          <w:szCs w:val="20"/>
          <w:color w:val="auto"/>
        </w:rPr>
      </w:pPr>
      <w:r>
        <w:rPr>
          <w:rFonts w:ascii="Arial" w:cs="Arial" w:eastAsia="Arial" w:hAnsi="Arial"/>
          <w:sz w:val="20"/>
          <w:szCs w:val="20"/>
          <w:color w:val="auto"/>
        </w:rPr>
        <w:t>Palo Alto, CA 94304</w:t>
      </w:r>
    </w:p>
    <w:p>
      <w:pPr>
        <w:ind w:left="3200"/>
        <w:spacing w:after="0"/>
        <w:rPr>
          <w:sz w:val="20"/>
          <w:szCs w:val="20"/>
          <w:color w:val="auto"/>
        </w:rPr>
      </w:pPr>
      <w:r>
        <w:rPr>
          <w:rFonts w:ascii="Arial" w:cs="Arial" w:eastAsia="Arial" w:hAnsi="Arial"/>
          <w:sz w:val="20"/>
          <w:szCs w:val="20"/>
          <w:color w:val="auto"/>
        </w:rPr>
        <w:t>Attention: President</w:t>
      </w:r>
    </w:p>
    <w:p>
      <w:pPr>
        <w:ind w:left="3200"/>
        <w:spacing w:after="0"/>
        <w:rPr>
          <w:sz w:val="20"/>
          <w:szCs w:val="20"/>
          <w:color w:val="auto"/>
        </w:rPr>
      </w:pPr>
      <w:r>
        <w:rPr>
          <w:rFonts w:ascii="Arial" w:cs="Arial" w:eastAsia="Arial" w:hAnsi="Arial"/>
          <w:sz w:val="20"/>
          <w:szCs w:val="20"/>
          <w:color w:val="auto"/>
        </w:rPr>
        <w:t>(Fax): [ * ]</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With a copy to:</w:t>
      </w:r>
    </w:p>
    <w:p>
      <w:pPr>
        <w:spacing w:after="0" w:line="243"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Jazz Pharmaceuticals, Inc.</w:t>
      </w:r>
    </w:p>
    <w:p>
      <w:pPr>
        <w:spacing w:after="0" w:line="4"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3180 Porter Drive</w:t>
      </w:r>
    </w:p>
    <w:p>
      <w:pPr>
        <w:ind w:left="3200"/>
        <w:spacing w:after="0" w:line="225" w:lineRule="auto"/>
        <w:rPr>
          <w:sz w:val="20"/>
          <w:szCs w:val="20"/>
          <w:color w:val="auto"/>
        </w:rPr>
      </w:pPr>
      <w:r>
        <w:rPr>
          <w:rFonts w:ascii="Arial" w:cs="Arial" w:eastAsia="Arial" w:hAnsi="Arial"/>
          <w:sz w:val="20"/>
          <w:szCs w:val="20"/>
          <w:color w:val="auto"/>
        </w:rPr>
        <w:t>Palo Alto, CA 94304</w:t>
      </w:r>
    </w:p>
    <w:p>
      <w:pPr>
        <w:ind w:left="3200"/>
        <w:spacing w:after="0" w:line="225" w:lineRule="auto"/>
        <w:rPr>
          <w:sz w:val="20"/>
          <w:szCs w:val="20"/>
          <w:color w:val="auto"/>
        </w:rPr>
      </w:pPr>
      <w:r>
        <w:rPr>
          <w:rFonts w:ascii="Arial" w:cs="Arial" w:eastAsia="Arial" w:hAnsi="Arial"/>
          <w:sz w:val="20"/>
          <w:szCs w:val="20"/>
          <w:color w:val="auto"/>
        </w:rPr>
        <w:t>Attention: General Counsel</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(Fax): [ * ]</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Either Party may change the above addresses, but no such change shall have any effect until the other Party has been properly notified of the change as set out hereinabove.</w:t>
      </w:r>
    </w:p>
    <w:p>
      <w:pPr>
        <w:spacing w:after="0" w:line="189"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GOVERNING LAW AND DISPUTE RESOLUTION</w:t>
      </w:r>
    </w:p>
    <w:p>
      <w:pPr>
        <w:spacing w:after="0" w:line="235" w:lineRule="exact"/>
        <w:rPr>
          <w:sz w:val="20"/>
          <w:szCs w:val="20"/>
          <w:color w:val="auto"/>
        </w:rPr>
      </w:pPr>
    </w:p>
    <w:p>
      <w:pPr>
        <w:spacing w:after="0" w:line="279" w:lineRule="auto"/>
        <w:rPr>
          <w:sz w:val="20"/>
          <w:szCs w:val="20"/>
          <w:color w:val="auto"/>
        </w:rPr>
      </w:pPr>
      <w:r>
        <w:rPr>
          <w:rFonts w:ascii="Arial" w:cs="Arial" w:eastAsia="Arial" w:hAnsi="Arial"/>
          <w:sz w:val="20"/>
          <w:szCs w:val="20"/>
          <w:b w:val="1"/>
          <w:bCs w:val="1"/>
          <w:color w:val="auto"/>
        </w:rPr>
        <w:t xml:space="preserve">20.1 </w:t>
      </w:r>
      <w:r>
        <w:rPr>
          <w:rFonts w:ascii="Arial" w:cs="Arial" w:eastAsia="Arial" w:hAnsi="Arial"/>
          <w:sz w:val="21"/>
          <w:szCs w:val="21"/>
          <w:u w:val="single" w:color="auto"/>
          <w:color w:val="auto"/>
        </w:rPr>
        <w:t>Governing Law</w:t>
      </w:r>
      <w:r>
        <w:rPr>
          <w:rFonts w:ascii="Arial" w:cs="Arial" w:eastAsia="Arial" w:hAnsi="Arial"/>
          <w:sz w:val="20"/>
          <w:szCs w:val="20"/>
          <w:color w:val="auto"/>
        </w:rPr>
        <w:t>. This Agreement is to be governed by and construed in accordance with the laws of the State of New</w:t>
      </w:r>
      <w:r>
        <w:rPr>
          <w:rFonts w:ascii="Arial" w:cs="Arial" w:eastAsia="Arial" w:hAnsi="Arial"/>
          <w:sz w:val="20"/>
          <w:szCs w:val="20"/>
          <w:b w:val="1"/>
          <w:bCs w:val="1"/>
          <w:color w:val="auto"/>
        </w:rPr>
        <w:t xml:space="preserve"> </w:t>
      </w:r>
      <w:r>
        <w:rPr>
          <w:rFonts w:ascii="Arial" w:cs="Arial" w:eastAsia="Arial" w:hAnsi="Arial"/>
          <w:sz w:val="20"/>
          <w:szCs w:val="20"/>
          <w:color w:val="auto"/>
        </w:rPr>
        <w:t>York, without giving effect to conflict of law principles.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8"/>
        <w:spacing w:after="0" w:line="255" w:lineRule="auto"/>
        <w:tabs>
          <w:tab w:leader="none" w:pos="25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agree that the United Nations Convention on Contracts for the International Sale of Goods shall not apply to this Agreement.</w:t>
      </w:r>
    </w:p>
    <w:p>
      <w:pPr>
        <w:spacing w:after="0" w:line="241"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color w:val="auto"/>
        </w:rPr>
        <w:t xml:space="preserve">20.2 </w:t>
      </w:r>
      <w:r>
        <w:rPr>
          <w:rFonts w:ascii="Arial" w:cs="Arial" w:eastAsia="Arial" w:hAnsi="Arial"/>
          <w:sz w:val="20"/>
          <w:szCs w:val="20"/>
          <w:u w:val="single" w:color="auto"/>
          <w:color w:val="auto"/>
        </w:rPr>
        <w:t>Formal Dispute Resolution</w:t>
      </w:r>
      <w:r>
        <w:rPr>
          <w:rFonts w:ascii="Arial" w:cs="Arial" w:eastAsia="Arial" w:hAnsi="Arial"/>
          <w:sz w:val="20"/>
          <w:szCs w:val="20"/>
          <w:color w:val="auto"/>
        </w:rPr>
        <w:t>. In the event a dispute arises under this Agreement that can not be resolved by those with direct</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responsibility for the matter in dispute, such dispute shall be resolved by way of the following process:</w:t>
      </w:r>
    </w:p>
    <w:p>
      <w:pPr>
        <w:spacing w:after="0" w:line="192" w:lineRule="exact"/>
        <w:rPr>
          <w:sz w:val="20"/>
          <w:szCs w:val="20"/>
          <w:color w:val="auto"/>
        </w:rPr>
      </w:pPr>
    </w:p>
    <w:p>
      <w:pPr>
        <w:ind w:firstLine="8"/>
        <w:spacing w:after="0" w:line="271" w:lineRule="auto"/>
        <w:tabs>
          <w:tab w:leader="none" w:pos="315" w:val="left"/>
        </w:tabs>
        <w:numPr>
          <w:ilvl w:val="0"/>
          <w:numId w:val="65"/>
        </w:numPr>
        <w:rPr>
          <w:rFonts w:ascii="Arial" w:cs="Arial" w:eastAsia="Arial" w:hAnsi="Arial"/>
          <w:sz w:val="20"/>
          <w:szCs w:val="20"/>
          <w:color w:val="auto"/>
        </w:rPr>
      </w:pPr>
      <w:r>
        <w:rPr>
          <w:rFonts w:ascii="Arial" w:cs="Arial" w:eastAsia="Arial" w:hAnsi="Arial"/>
          <w:sz w:val="20"/>
          <w:szCs w:val="20"/>
          <w:color w:val="auto"/>
        </w:rPr>
        <w:t>Management from JAZZ PHARMACEUTICALS and from SIEGFRIED shall meet to discuss the basis for the dispute and shall use their best efforts to reach a reasonable resolution to the dispute.</w:t>
      </w:r>
    </w:p>
    <w:p>
      <w:pPr>
        <w:spacing w:after="0" w:line="182" w:lineRule="exact"/>
        <w:rPr>
          <w:rFonts w:ascii="Arial" w:cs="Arial" w:eastAsia="Arial" w:hAnsi="Arial"/>
          <w:sz w:val="20"/>
          <w:szCs w:val="20"/>
          <w:color w:val="auto"/>
        </w:rPr>
      </w:pPr>
    </w:p>
    <w:p>
      <w:pPr>
        <w:jc w:val="both"/>
        <w:ind w:firstLine="8"/>
        <w:spacing w:after="0" w:line="262" w:lineRule="auto"/>
        <w:tabs>
          <w:tab w:leader="none" w:pos="302" w:val="left"/>
        </w:tabs>
        <w:numPr>
          <w:ilvl w:val="0"/>
          <w:numId w:val="65"/>
        </w:numPr>
        <w:rPr>
          <w:rFonts w:ascii="Arial" w:cs="Arial" w:eastAsia="Arial" w:hAnsi="Arial"/>
          <w:sz w:val="20"/>
          <w:szCs w:val="20"/>
          <w:color w:val="auto"/>
        </w:rPr>
      </w:pPr>
      <w:r>
        <w:rPr>
          <w:rFonts w:ascii="Arial" w:cs="Arial" w:eastAsia="Arial" w:hAnsi="Arial"/>
          <w:sz w:val="20"/>
          <w:szCs w:val="20"/>
          <w:color w:val="auto"/>
        </w:rPr>
        <w:t>If management fails to resolve the dispute within [ * ] of its receipt of written notice of the dispute, the matter in dispute shall be brought to the attention of senior management at JAZZ PHARMACEUTICALS and SIEGFRIED. Said management shall meet in person to negotiate a good faith resolution to the dispute within [ * ] of their receipt of written notice of the dispute.</w:t>
      </w:r>
    </w:p>
    <w:p>
      <w:pPr>
        <w:spacing w:after="0" w:line="191" w:lineRule="exact"/>
        <w:rPr>
          <w:rFonts w:ascii="Arial" w:cs="Arial" w:eastAsia="Arial" w:hAnsi="Arial"/>
          <w:sz w:val="20"/>
          <w:szCs w:val="20"/>
          <w:color w:val="auto"/>
        </w:rPr>
      </w:pPr>
    </w:p>
    <w:p>
      <w:pPr>
        <w:jc w:val="both"/>
        <w:ind w:firstLine="8"/>
        <w:spacing w:after="0" w:line="255" w:lineRule="auto"/>
        <w:tabs>
          <w:tab w:leader="none" w:pos="304" w:val="left"/>
        </w:tabs>
        <w:numPr>
          <w:ilvl w:val="0"/>
          <w:numId w:val="65"/>
        </w:numPr>
        <w:rPr>
          <w:rFonts w:ascii="Arial" w:cs="Arial" w:eastAsia="Arial" w:hAnsi="Arial"/>
          <w:sz w:val="20"/>
          <w:szCs w:val="20"/>
          <w:color w:val="auto"/>
        </w:rPr>
      </w:pPr>
      <w:r>
        <w:rPr>
          <w:rFonts w:ascii="Arial" w:cs="Arial" w:eastAsia="Arial" w:hAnsi="Arial"/>
          <w:sz w:val="20"/>
          <w:szCs w:val="20"/>
          <w:color w:val="auto"/>
        </w:rPr>
        <w:t>If such negotiations are unsuccessful, the matter may promptly be submitted by either party to and settled exclusively by arbitration in accordance with the Commercial Arbitration Rules, then in effect, of the American Arbitration Association (“AAA”), except to the extent modified herein or by agreement of the parties. Judgment on the award rendered may be entered in any court having jurisdiction thereof.</w:t>
      </w:r>
    </w:p>
    <w:p>
      <w:pPr>
        <w:spacing w:after="0" w:line="197" w:lineRule="exact"/>
        <w:rPr>
          <w:rFonts w:ascii="Arial" w:cs="Arial" w:eastAsia="Arial" w:hAnsi="Arial"/>
          <w:sz w:val="20"/>
          <w:szCs w:val="20"/>
          <w:color w:val="auto"/>
        </w:rPr>
      </w:pPr>
    </w:p>
    <w:p>
      <w:pPr>
        <w:jc w:val="both"/>
        <w:ind w:firstLine="8"/>
        <w:spacing w:after="0" w:line="250" w:lineRule="auto"/>
        <w:tabs>
          <w:tab w:leader="none" w:pos="329" w:val="left"/>
        </w:tabs>
        <w:numPr>
          <w:ilvl w:val="0"/>
          <w:numId w:val="65"/>
        </w:numPr>
        <w:rPr>
          <w:rFonts w:ascii="Arial" w:cs="Arial" w:eastAsia="Arial" w:hAnsi="Arial"/>
          <w:sz w:val="20"/>
          <w:szCs w:val="20"/>
          <w:color w:val="auto"/>
        </w:rPr>
      </w:pPr>
      <w:r>
        <w:rPr>
          <w:rFonts w:ascii="Arial" w:cs="Arial" w:eastAsia="Arial" w:hAnsi="Arial"/>
          <w:sz w:val="20"/>
          <w:szCs w:val="20"/>
          <w:color w:val="auto"/>
        </w:rPr>
        <w:t>Each Party shall, within [ * ] of receipt of notice that the matter has been referred to arbitration, appoint one arbitrator pursuant to a procedure to be agreed upon by the parties and shall commence arbitration as soon as practicable thereafter. Such appointed arbitrators shall jointly select a third arbitrator. The arbitrators shall not be empowered to award punitive or exemplary damages.</w:t>
      </w:r>
    </w:p>
    <w:p>
      <w:pPr>
        <w:spacing w:after="0" w:line="197" w:lineRule="exact"/>
        <w:rPr>
          <w:rFonts w:ascii="Arial" w:cs="Arial" w:eastAsia="Arial" w:hAnsi="Arial"/>
          <w:sz w:val="20"/>
          <w:szCs w:val="20"/>
          <w:color w:val="auto"/>
        </w:rPr>
      </w:pPr>
    </w:p>
    <w:p>
      <w:pPr>
        <w:jc w:val="both"/>
        <w:ind w:firstLine="8"/>
        <w:spacing w:after="0" w:line="234" w:lineRule="auto"/>
        <w:tabs>
          <w:tab w:leader="none" w:pos="342" w:val="left"/>
        </w:tabs>
        <w:numPr>
          <w:ilvl w:val="0"/>
          <w:numId w:val="65"/>
        </w:numPr>
        <w:rPr>
          <w:rFonts w:ascii="Arial" w:cs="Arial" w:eastAsia="Arial" w:hAnsi="Arial"/>
          <w:sz w:val="20"/>
          <w:szCs w:val="20"/>
          <w:color w:val="auto"/>
        </w:rPr>
      </w:pPr>
      <w:r>
        <w:rPr>
          <w:rFonts w:ascii="Arial" w:cs="Arial" w:eastAsia="Arial" w:hAnsi="Arial"/>
          <w:sz w:val="22"/>
          <w:szCs w:val="22"/>
          <w:color w:val="auto"/>
        </w:rPr>
        <w:t>Notwithstanding any provision to the contrary in the Rules, the Parties hereby stipulate that any arbitration hereunder shall be subject to the following special rules: (i) the arbitrators may require either Party to specifically perform its obligations under this Agreement and (ii) each Party shall bear its own costs and expenses of the arbitration and one-half (1/2) of the fees and costs of the arbitrators, subject to the power of the arbitrators, in their sole discretion, to award all such reasonable costs, expenses and fees, including, without limitation, attorney's fees, to the prevailing Party.</w:t>
      </w:r>
    </w:p>
    <w:p>
      <w:pPr>
        <w:spacing w:after="0" w:line="226" w:lineRule="exact"/>
        <w:rPr>
          <w:rFonts w:ascii="Arial" w:cs="Arial" w:eastAsia="Arial" w:hAnsi="Arial"/>
          <w:sz w:val="20"/>
          <w:szCs w:val="20"/>
          <w:color w:val="auto"/>
        </w:rPr>
      </w:pPr>
    </w:p>
    <w:p>
      <w:pPr>
        <w:ind w:firstLine="8"/>
        <w:spacing w:after="0" w:line="271" w:lineRule="auto"/>
        <w:tabs>
          <w:tab w:leader="none" w:pos="287" w:val="left"/>
        </w:tabs>
        <w:numPr>
          <w:ilvl w:val="0"/>
          <w:numId w:val="65"/>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each Party shall still be entitled to access the courts to obtain appropriate injunctive relief.</w:t>
      </w:r>
    </w:p>
    <w:p>
      <w:pPr>
        <w:spacing w:after="0" w:line="183" w:lineRule="exact"/>
        <w:rPr>
          <w:sz w:val="20"/>
          <w:szCs w:val="20"/>
          <w:color w:val="auto"/>
        </w:rPr>
      </w:pPr>
    </w:p>
    <w:p>
      <w:pPr>
        <w:ind w:right="20" w:firstLine="8"/>
        <w:spacing w:after="0" w:line="271" w:lineRule="auto"/>
        <w:tabs>
          <w:tab w:leader="none" w:pos="342" w:val="left"/>
        </w:tabs>
        <w:numPr>
          <w:ilvl w:val="0"/>
          <w:numId w:val="66"/>
        </w:numPr>
        <w:rPr>
          <w:rFonts w:ascii="Arial" w:cs="Arial" w:eastAsia="Arial" w:hAnsi="Arial"/>
          <w:sz w:val="20"/>
          <w:szCs w:val="20"/>
          <w:color w:val="auto"/>
        </w:rPr>
      </w:pPr>
      <w:r>
        <w:rPr>
          <w:rFonts w:ascii="Arial" w:cs="Arial" w:eastAsia="Arial" w:hAnsi="Arial"/>
          <w:sz w:val="20"/>
          <w:szCs w:val="20"/>
          <w:color w:val="auto"/>
        </w:rPr>
        <w:t>During the pendency of any dispute resolution procedure pursuant to this Section, the effectiveness of any notice of termination given pursuant to Section 9 shall be suspended.</w:t>
      </w:r>
    </w:p>
    <w:p>
      <w:pPr>
        <w:spacing w:after="0" w:line="196" w:lineRule="exact"/>
        <w:rPr>
          <w:rFonts w:ascii="Arial" w:cs="Arial" w:eastAsia="Arial" w:hAnsi="Arial"/>
          <w:sz w:val="20"/>
          <w:szCs w:val="20"/>
          <w:color w:val="auto"/>
        </w:rPr>
      </w:pPr>
    </w:p>
    <w:p>
      <w:pPr>
        <w:ind w:firstLine="8"/>
        <w:spacing w:after="0" w:line="271" w:lineRule="auto"/>
        <w:tabs>
          <w:tab w:leader="none" w:pos="236" w:val="left"/>
        </w:tabs>
        <w:numPr>
          <w:ilvl w:val="0"/>
          <w:numId w:val="66"/>
        </w:numPr>
        <w:rPr>
          <w:rFonts w:ascii="Arial" w:cs="Arial" w:eastAsia="Arial" w:hAnsi="Arial"/>
          <w:sz w:val="20"/>
          <w:szCs w:val="20"/>
          <w:color w:val="auto"/>
        </w:rPr>
      </w:pPr>
      <w:r>
        <w:rPr>
          <w:rFonts w:ascii="Arial" w:cs="Arial" w:eastAsia="Arial" w:hAnsi="Arial"/>
          <w:sz w:val="20"/>
          <w:szCs w:val="20"/>
          <w:color w:val="auto"/>
        </w:rPr>
        <w:t>All mediations and arbitrations pursuant to this Agreement shall take place in the City of New York, New York, U.S.A. in the English Language.</w:t>
      </w:r>
    </w:p>
    <w:p>
      <w:pPr>
        <w:spacing w:after="0" w:line="200" w:lineRule="exact"/>
        <w:rPr>
          <w:sz w:val="20"/>
          <w:szCs w:val="20"/>
          <w:color w:val="auto"/>
        </w:rPr>
      </w:pP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IN WITNESS WHEREOF, the Parties hereto have caused this Agreement to be executed in duplicate by their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8"/>
        <w:spacing w:after="0" w:line="271" w:lineRule="auto"/>
        <w:tabs>
          <w:tab w:leader="none" w:pos="25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414" w:right="339" w:bottom="1440" w:gutter="0" w:footer="0" w:header="0"/>
        </w:sectPr>
      </w:pPr>
    </w:p>
    <w:bookmarkStart w:id="87" w:name="page88"/>
    <w:bookmarkEnd w:id="87"/>
    <w:p>
      <w:pPr>
        <w:spacing w:after="0" w:line="18" w:lineRule="exact"/>
        <w:rPr>
          <w:sz w:val="20"/>
          <w:szCs w:val="20"/>
          <w:color w:val="auto"/>
        </w:rPr>
      </w:pPr>
    </w:p>
    <w:tbl>
      <w:tblPr>
        <w:tblLayout w:type="fixed"/>
        <w:tblInd w:w="12" w:type="dxa"/>
        <w:tblCellMar>
          <w:top w:w="0" w:type="dxa"/>
          <w:left w:w="0" w:type="dxa"/>
          <w:bottom w:w="0" w:type="dxa"/>
          <w:right w:w="0" w:type="dxa"/>
        </w:tblCellMar>
      </w:tblPr>
      <w:tr>
        <w:trPr>
          <w:trHeight w:val="22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SIEGFRIED (USA) INC.</w:t>
            </w:r>
          </w:p>
        </w:tc>
        <w:tc>
          <w:tcPr>
            <w:tcW w:w="19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56"/>
        </w:trPr>
        <w:tc>
          <w:tcPr>
            <w:tcW w:w="1620" w:type="dxa"/>
            <w:vAlign w:val="bottom"/>
          </w:tcPr>
          <w:p>
            <w:pPr>
              <w:spacing w:after="0"/>
              <w:rPr>
                <w:sz w:val="20"/>
                <w:szCs w:val="20"/>
                <w:color w:val="auto"/>
              </w:rPr>
            </w:pPr>
            <w:r>
              <w:rPr>
                <w:rFonts w:ascii="Arial" w:cs="Arial" w:eastAsia="Arial" w:hAnsi="Arial"/>
                <w:sz w:val="20"/>
                <w:szCs w:val="20"/>
                <w:color w:val="auto"/>
              </w:rPr>
              <w:t>Date:</w:t>
            </w:r>
          </w:p>
        </w:tc>
        <w:tc>
          <w:tcPr>
            <w:tcW w:w="3780" w:type="dxa"/>
            <w:vAlign w:val="bottom"/>
          </w:tcPr>
          <w:p>
            <w:pPr>
              <w:ind w:left="20"/>
              <w:spacing w:after="0"/>
              <w:rPr>
                <w:sz w:val="20"/>
                <w:szCs w:val="20"/>
                <w:color w:val="auto"/>
              </w:rPr>
            </w:pPr>
            <w:r>
              <w:rPr>
                <w:rFonts w:ascii="Arial" w:cs="Arial" w:eastAsia="Arial" w:hAnsi="Arial"/>
                <w:sz w:val="20"/>
                <w:szCs w:val="20"/>
                <w:color w:val="auto"/>
              </w:rPr>
              <w:t>April 1, 2010</w:t>
            </w:r>
          </w:p>
        </w:tc>
        <w:tc>
          <w:tcPr>
            <w:tcW w:w="1960" w:type="dxa"/>
            <w:vAlign w:val="bottom"/>
          </w:tcPr>
          <w:p>
            <w:pPr>
              <w:ind w:left="340"/>
              <w:spacing w:after="0"/>
              <w:rPr>
                <w:sz w:val="20"/>
                <w:szCs w:val="20"/>
                <w:color w:val="auto"/>
              </w:rPr>
            </w:pPr>
            <w:r>
              <w:rPr>
                <w:rFonts w:ascii="Arial" w:cs="Arial" w:eastAsia="Arial" w:hAnsi="Arial"/>
                <w:sz w:val="20"/>
                <w:szCs w:val="20"/>
                <w:color w:val="auto"/>
              </w:rPr>
              <w:t>April 5, 2010</w:t>
            </w:r>
          </w:p>
        </w:tc>
        <w:tc>
          <w:tcPr>
            <w:tcW w:w="3860" w:type="dxa"/>
            <w:vAlign w:val="bottom"/>
          </w:tcPr>
          <w:p>
            <w:pPr>
              <w:spacing w:after="0"/>
              <w:rPr>
                <w:sz w:val="22"/>
                <w:szCs w:val="22"/>
                <w:color w:val="auto"/>
              </w:rPr>
            </w:pPr>
          </w:p>
        </w:tc>
      </w:tr>
      <w:tr>
        <w:trPr>
          <w:trHeight w:val="261"/>
        </w:trPr>
        <w:tc>
          <w:tcPr>
            <w:tcW w:w="1620" w:type="dxa"/>
            <w:vAlign w:val="bottom"/>
          </w:tcPr>
          <w:p>
            <w:pPr>
              <w:spacing w:after="0"/>
              <w:rPr>
                <w:sz w:val="20"/>
                <w:szCs w:val="20"/>
                <w:color w:val="auto"/>
              </w:rPr>
            </w:pPr>
            <w:r>
              <w:rPr>
                <w:rFonts w:ascii="Arial" w:cs="Arial" w:eastAsia="Arial" w:hAnsi="Arial"/>
                <w:sz w:val="20"/>
                <w:szCs w:val="20"/>
                <w:color w:val="auto"/>
              </w:rPr>
              <w:t>By:</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Walter Kittl</w:t>
            </w:r>
          </w:p>
        </w:tc>
        <w:tc>
          <w:tcPr>
            <w:tcW w:w="1960" w:type="dxa"/>
            <w:vAlign w:val="bottom"/>
          </w:tcPr>
          <w:p>
            <w:pPr>
              <w:ind w:left="340"/>
              <w:spacing w:after="0"/>
              <w:rPr>
                <w:sz w:val="20"/>
                <w:szCs w:val="20"/>
                <w:color w:val="auto"/>
              </w:rPr>
            </w:pPr>
            <w:r>
              <w:rPr>
                <w:rFonts w:ascii="Arial" w:cs="Arial" w:eastAsia="Arial" w:hAnsi="Arial"/>
                <w:sz w:val="20"/>
                <w:szCs w:val="20"/>
                <w:color w:val="auto"/>
              </w:rPr>
              <w:t>By:</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Sandra Cernick</w:t>
            </w:r>
          </w:p>
        </w:tc>
      </w:tr>
      <w:tr>
        <w:trPr>
          <w:trHeight w:val="253"/>
        </w:trPr>
        <w:tc>
          <w:tcPr>
            <w:tcW w:w="1620" w:type="dxa"/>
            <w:vAlign w:val="bottom"/>
          </w:tcPr>
          <w:p>
            <w:pPr>
              <w:spacing w:after="0"/>
              <w:rPr>
                <w:sz w:val="20"/>
                <w:szCs w:val="20"/>
                <w:color w:val="auto"/>
              </w:rPr>
            </w:pPr>
            <w:r>
              <w:rPr>
                <w:rFonts w:ascii="Arial" w:cs="Arial" w:eastAsia="Arial" w:hAnsi="Arial"/>
                <w:sz w:val="20"/>
                <w:szCs w:val="20"/>
                <w:color w:val="auto"/>
              </w:rPr>
              <w:t>Name:</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Walter Kittl</w:t>
            </w:r>
          </w:p>
        </w:tc>
        <w:tc>
          <w:tcPr>
            <w:tcW w:w="1960" w:type="dxa"/>
            <w:vAlign w:val="bottom"/>
          </w:tcPr>
          <w:p>
            <w:pPr>
              <w:ind w:left="340"/>
              <w:spacing w:after="0"/>
              <w:rPr>
                <w:sz w:val="20"/>
                <w:szCs w:val="20"/>
                <w:color w:val="auto"/>
              </w:rPr>
            </w:pPr>
            <w:r>
              <w:rPr>
                <w:rFonts w:ascii="Arial" w:cs="Arial" w:eastAsia="Arial" w:hAnsi="Arial"/>
                <w:sz w:val="20"/>
                <w:szCs w:val="20"/>
                <w:color w:val="auto"/>
              </w:rPr>
              <w:t>Name:</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Sandra Cernick</w:t>
            </w:r>
          </w:p>
        </w:tc>
      </w:tr>
      <w:tr>
        <w:trPr>
          <w:trHeight w:val="250"/>
        </w:trPr>
        <w:tc>
          <w:tcPr>
            <w:tcW w:w="1620" w:type="dxa"/>
            <w:vAlign w:val="bottom"/>
          </w:tcPr>
          <w:p>
            <w:pPr>
              <w:spacing w:after="0"/>
              <w:rPr>
                <w:sz w:val="20"/>
                <w:szCs w:val="20"/>
                <w:color w:val="auto"/>
              </w:rPr>
            </w:pPr>
            <w:r>
              <w:rPr>
                <w:rFonts w:ascii="Arial" w:cs="Arial" w:eastAsia="Arial" w:hAnsi="Arial"/>
                <w:sz w:val="20"/>
                <w:szCs w:val="20"/>
                <w:color w:val="auto"/>
              </w:rPr>
              <w:t>Title:</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General Manager</w:t>
            </w:r>
          </w:p>
        </w:tc>
        <w:tc>
          <w:tcPr>
            <w:tcW w:w="1960" w:type="dxa"/>
            <w:vAlign w:val="bottom"/>
          </w:tcPr>
          <w:p>
            <w:pPr>
              <w:ind w:left="340"/>
              <w:spacing w:after="0"/>
              <w:rPr>
                <w:sz w:val="20"/>
                <w:szCs w:val="20"/>
                <w:color w:val="auto"/>
              </w:rPr>
            </w:pPr>
            <w:r>
              <w:rPr>
                <w:rFonts w:ascii="Arial" w:cs="Arial" w:eastAsia="Arial" w:hAnsi="Arial"/>
                <w:sz w:val="20"/>
                <w:szCs w:val="20"/>
                <w:color w:val="auto"/>
              </w:rPr>
              <w:t>Title:</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Director, Business Management</w:t>
            </w:r>
          </w:p>
        </w:tc>
      </w:tr>
      <w:tr>
        <w:trPr>
          <w:trHeight w:val="741"/>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JAZZ PHARMACEUTICALS, INC.</w:t>
            </w:r>
          </w:p>
        </w:tc>
        <w:tc>
          <w:tcPr>
            <w:tcW w:w="19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56"/>
        </w:trPr>
        <w:tc>
          <w:tcPr>
            <w:tcW w:w="1620" w:type="dxa"/>
            <w:vAlign w:val="bottom"/>
          </w:tcPr>
          <w:p>
            <w:pPr>
              <w:spacing w:after="0"/>
              <w:rPr>
                <w:sz w:val="20"/>
                <w:szCs w:val="20"/>
                <w:color w:val="auto"/>
              </w:rPr>
            </w:pPr>
            <w:r>
              <w:rPr>
                <w:rFonts w:ascii="Arial" w:cs="Arial" w:eastAsia="Arial" w:hAnsi="Arial"/>
                <w:sz w:val="20"/>
                <w:szCs w:val="20"/>
                <w:color w:val="auto"/>
              </w:rPr>
              <w:t>Date:</w:t>
            </w:r>
          </w:p>
        </w:tc>
        <w:tc>
          <w:tcPr>
            <w:tcW w:w="3780" w:type="dxa"/>
            <w:vAlign w:val="bottom"/>
          </w:tcPr>
          <w:p>
            <w:pPr>
              <w:ind w:left="20"/>
              <w:spacing w:after="0"/>
              <w:rPr>
                <w:sz w:val="20"/>
                <w:szCs w:val="20"/>
                <w:color w:val="auto"/>
              </w:rPr>
            </w:pPr>
            <w:r>
              <w:rPr>
                <w:rFonts w:ascii="Arial" w:cs="Arial" w:eastAsia="Arial" w:hAnsi="Arial"/>
                <w:sz w:val="20"/>
                <w:szCs w:val="20"/>
                <w:color w:val="auto"/>
              </w:rPr>
              <w:t>April 8, 2010</w:t>
            </w:r>
          </w:p>
        </w:tc>
        <w:tc>
          <w:tcPr>
            <w:tcW w:w="196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261"/>
        </w:trPr>
        <w:tc>
          <w:tcPr>
            <w:tcW w:w="1620" w:type="dxa"/>
            <w:vAlign w:val="bottom"/>
          </w:tcPr>
          <w:p>
            <w:pPr>
              <w:spacing w:after="0"/>
              <w:rPr>
                <w:sz w:val="20"/>
                <w:szCs w:val="20"/>
                <w:color w:val="auto"/>
              </w:rPr>
            </w:pPr>
            <w:r>
              <w:rPr>
                <w:rFonts w:ascii="Arial" w:cs="Arial" w:eastAsia="Arial" w:hAnsi="Arial"/>
                <w:sz w:val="20"/>
                <w:szCs w:val="20"/>
                <w:color w:val="auto"/>
              </w:rPr>
              <w:t>By:</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Janne Wissel</w:t>
            </w:r>
          </w:p>
        </w:tc>
        <w:tc>
          <w:tcPr>
            <w:tcW w:w="196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253"/>
        </w:trPr>
        <w:tc>
          <w:tcPr>
            <w:tcW w:w="1620" w:type="dxa"/>
            <w:vAlign w:val="bottom"/>
          </w:tcPr>
          <w:p>
            <w:pPr>
              <w:spacing w:after="0"/>
              <w:rPr>
                <w:sz w:val="20"/>
                <w:szCs w:val="20"/>
                <w:color w:val="auto"/>
              </w:rPr>
            </w:pPr>
            <w:r>
              <w:rPr>
                <w:rFonts w:ascii="Arial" w:cs="Arial" w:eastAsia="Arial" w:hAnsi="Arial"/>
                <w:sz w:val="20"/>
                <w:szCs w:val="20"/>
                <w:color w:val="auto"/>
              </w:rPr>
              <w:t>Name:</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Janne Wissel</w:t>
            </w:r>
          </w:p>
        </w:tc>
        <w:tc>
          <w:tcPr>
            <w:tcW w:w="196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250"/>
        </w:trPr>
        <w:tc>
          <w:tcPr>
            <w:tcW w:w="1620" w:type="dxa"/>
            <w:vAlign w:val="bottom"/>
          </w:tcPr>
          <w:p>
            <w:pPr>
              <w:spacing w:after="0"/>
              <w:rPr>
                <w:sz w:val="20"/>
                <w:szCs w:val="20"/>
                <w:color w:val="auto"/>
              </w:rPr>
            </w:pPr>
            <w:r>
              <w:rPr>
                <w:rFonts w:ascii="Arial" w:cs="Arial" w:eastAsia="Arial" w:hAnsi="Arial"/>
                <w:sz w:val="20"/>
                <w:szCs w:val="20"/>
                <w:color w:val="auto"/>
              </w:rPr>
              <w:t>Title:</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SVP, Chief Regulatory Officer</w:t>
            </w:r>
          </w:p>
        </w:tc>
        <w:tc>
          <w:tcPr>
            <w:tcW w:w="1960" w:type="dxa"/>
            <w:vAlign w:val="bottom"/>
          </w:tcPr>
          <w:p>
            <w:pPr>
              <w:spacing w:after="0"/>
              <w:rPr>
                <w:sz w:val="21"/>
                <w:szCs w:val="21"/>
                <w:color w:val="auto"/>
              </w:rPr>
            </w:pPr>
          </w:p>
        </w:tc>
        <w:tc>
          <w:tcPr>
            <w:tcW w:w="38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 w:right="20" w:firstLine="8"/>
        <w:spacing w:after="0" w:line="271" w:lineRule="auto"/>
        <w:tabs>
          <w:tab w:leader="none" w:pos="247"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32"/>
          </w:cols>
          <w:pgMar w:left="328" w:top="1440" w:right="33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67"/>
        </w:trPr>
        <w:tc>
          <w:tcPr>
            <w:tcW w:w="168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48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List of Schedules</w:t>
            </w:r>
          </w:p>
        </w:tc>
      </w:tr>
      <w:tr>
        <w:trPr>
          <w:trHeight w:val="264"/>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Schedule</w:t>
            </w:r>
          </w:p>
        </w:tc>
        <w:tc>
          <w:tcPr>
            <w:tcW w:w="21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Description</w:t>
            </w:r>
          </w:p>
        </w:tc>
        <w:tc>
          <w:tcPr>
            <w:tcW w:w="860" w:type="dxa"/>
            <w:vAlign w:val="bottom"/>
            <w:tcBorders>
              <w:bottom w:val="single" w:sz="8" w:color="auto"/>
              <w:right w:val="single" w:sz="8" w:color="auto"/>
            </w:tcBorders>
          </w:tcPr>
          <w:p>
            <w:pPr>
              <w:spacing w:after="0"/>
              <w:rPr>
                <w:sz w:val="22"/>
                <w:szCs w:val="22"/>
                <w:color w:val="auto"/>
              </w:rPr>
            </w:pPr>
          </w:p>
        </w:tc>
        <w:tc>
          <w:tcPr>
            <w:tcW w:w="6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Content</w:t>
            </w:r>
          </w:p>
        </w:tc>
      </w:tr>
      <w:tr>
        <w:trPr>
          <w:trHeight w:val="263"/>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1</w:t>
            </w:r>
          </w:p>
        </w:tc>
        <w:tc>
          <w:tcPr>
            <w:tcW w:w="2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Specifications</w:t>
            </w:r>
          </w:p>
        </w:tc>
        <w:tc>
          <w:tcPr>
            <w:tcW w:w="860" w:type="dxa"/>
            <w:vAlign w:val="bottom"/>
            <w:tcBorders>
              <w:bottom w:val="single" w:sz="8" w:color="auto"/>
              <w:right w:val="single" w:sz="8" w:color="auto"/>
            </w:tcBorders>
          </w:tcPr>
          <w:p>
            <w:pPr>
              <w:spacing w:after="0"/>
              <w:rPr>
                <w:sz w:val="22"/>
                <w:szCs w:val="22"/>
                <w:color w:val="auto"/>
              </w:rPr>
            </w:pPr>
          </w:p>
        </w:tc>
        <w:tc>
          <w:tcPr>
            <w:tcW w:w="6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Details and technical description of Active Material</w:t>
            </w:r>
          </w:p>
        </w:tc>
      </w:tr>
      <w:tr>
        <w:trPr>
          <w:trHeight w:val="228"/>
        </w:trPr>
        <w:tc>
          <w:tcPr>
            <w:tcW w:w="1680" w:type="dxa"/>
            <w:vAlign w:val="bottom"/>
            <w:tcBorders>
              <w:left w:val="single" w:sz="8" w:color="auto"/>
              <w:right w:val="single" w:sz="8" w:color="auto"/>
            </w:tcBorders>
          </w:tcPr>
          <w:p>
            <w:pPr>
              <w:ind w:left="40"/>
              <w:spacing w:after="0" w:line="229" w:lineRule="exact"/>
              <w:rPr>
                <w:sz w:val="20"/>
                <w:szCs w:val="20"/>
                <w:color w:val="auto"/>
              </w:rPr>
            </w:pPr>
            <w:r>
              <w:rPr>
                <w:rFonts w:ascii="Arial" w:cs="Arial" w:eastAsia="Arial" w:hAnsi="Arial"/>
                <w:sz w:val="20"/>
                <w:szCs w:val="20"/>
                <w:b w:val="1"/>
                <w:bCs w:val="1"/>
                <w:color w:val="auto"/>
              </w:rPr>
              <w:t>2</w:t>
            </w:r>
          </w:p>
        </w:tc>
        <w:tc>
          <w:tcPr>
            <w:tcW w:w="2160" w:type="dxa"/>
            <w:vAlign w:val="bottom"/>
          </w:tcPr>
          <w:p>
            <w:pPr>
              <w:spacing w:after="0" w:line="229" w:lineRule="exact"/>
              <w:rPr>
                <w:sz w:val="20"/>
                <w:szCs w:val="20"/>
                <w:color w:val="auto"/>
              </w:rPr>
            </w:pPr>
            <w:r>
              <w:rPr>
                <w:rFonts w:ascii="Arial" w:cs="Arial" w:eastAsia="Arial" w:hAnsi="Arial"/>
                <w:sz w:val="20"/>
                <w:szCs w:val="20"/>
                <w:color w:val="auto"/>
              </w:rPr>
              <w:t>Baseline   Technology</w:t>
            </w:r>
          </w:p>
        </w:tc>
        <w:tc>
          <w:tcPr>
            <w:tcW w:w="860" w:type="dxa"/>
            <w:vAlign w:val="bottom"/>
            <w:tcBorders>
              <w:right w:val="single" w:sz="8" w:color="auto"/>
            </w:tcBorders>
          </w:tcPr>
          <w:p>
            <w:pPr>
              <w:ind w:left="80"/>
              <w:spacing w:after="0" w:line="229" w:lineRule="exact"/>
              <w:rPr>
                <w:sz w:val="20"/>
                <w:szCs w:val="20"/>
                <w:color w:val="auto"/>
              </w:rPr>
            </w:pPr>
            <w:r>
              <w:rPr>
                <w:rFonts w:ascii="Arial" w:cs="Arial" w:eastAsia="Arial" w:hAnsi="Arial"/>
                <w:sz w:val="20"/>
                <w:szCs w:val="20"/>
                <w:color w:val="auto"/>
                <w:w w:val="99"/>
              </w:rPr>
              <w:t>Transfer</w:t>
            </w:r>
          </w:p>
        </w:tc>
        <w:tc>
          <w:tcPr>
            <w:tcW w:w="648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20"/>
                <w:szCs w:val="20"/>
                <w:color w:val="auto"/>
              </w:rPr>
              <w:t>Milestones, Cost, Assumptions, Timeline, Payment Terms</w:t>
            </w:r>
          </w:p>
        </w:tc>
      </w:tr>
      <w:tr>
        <w:trPr>
          <w:trHeight w:val="263"/>
        </w:trPr>
        <w:tc>
          <w:tcPr>
            <w:tcW w:w="168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Plan</w:t>
            </w:r>
          </w:p>
        </w:tc>
        <w:tc>
          <w:tcPr>
            <w:tcW w:w="860" w:type="dxa"/>
            <w:vAlign w:val="bottom"/>
            <w:tcBorders>
              <w:bottom w:val="single" w:sz="8" w:color="auto"/>
              <w:right w:val="single" w:sz="8" w:color="auto"/>
            </w:tcBorders>
          </w:tcPr>
          <w:p>
            <w:pPr>
              <w:spacing w:after="0"/>
              <w:rPr>
                <w:sz w:val="22"/>
                <w:szCs w:val="22"/>
                <w:color w:val="auto"/>
              </w:rPr>
            </w:pPr>
          </w:p>
        </w:tc>
        <w:tc>
          <w:tcPr>
            <w:tcW w:w="6480" w:type="dxa"/>
            <w:vAlign w:val="bottom"/>
            <w:tcBorders>
              <w:bottom w:val="single" w:sz="8" w:color="auto"/>
              <w:right w:val="single" w:sz="8" w:color="auto"/>
            </w:tcBorders>
          </w:tcPr>
          <w:p>
            <w:pPr>
              <w:spacing w:after="0"/>
              <w:rPr>
                <w:sz w:val="22"/>
                <w:szCs w:val="22"/>
                <w:color w:val="auto"/>
              </w:rPr>
            </w:pPr>
          </w:p>
        </w:tc>
      </w:tr>
      <w:tr>
        <w:trPr>
          <w:trHeight w:val="265"/>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3</w:t>
            </w:r>
          </w:p>
        </w:tc>
        <w:tc>
          <w:tcPr>
            <w:tcW w:w="2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Manufacturing Services</w:t>
            </w:r>
          </w:p>
        </w:tc>
        <w:tc>
          <w:tcPr>
            <w:tcW w:w="860" w:type="dxa"/>
            <w:vAlign w:val="bottom"/>
            <w:tcBorders>
              <w:bottom w:val="single" w:sz="8" w:color="auto"/>
              <w:right w:val="single" w:sz="8" w:color="auto"/>
            </w:tcBorders>
          </w:tcPr>
          <w:p>
            <w:pPr>
              <w:spacing w:after="0"/>
              <w:rPr>
                <w:sz w:val="23"/>
                <w:szCs w:val="23"/>
                <w:color w:val="auto"/>
              </w:rPr>
            </w:pPr>
          </w:p>
        </w:tc>
        <w:tc>
          <w:tcPr>
            <w:tcW w:w="6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Description of services to be provided by SIEGFRIED</w:t>
            </w:r>
          </w:p>
        </w:tc>
      </w:tr>
      <w:tr>
        <w:trPr>
          <w:trHeight w:val="263"/>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4</w:t>
            </w:r>
          </w:p>
        </w:tc>
        <w:tc>
          <w:tcPr>
            <w:tcW w:w="2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Commercial Pricing</w:t>
            </w:r>
          </w:p>
        </w:tc>
        <w:tc>
          <w:tcPr>
            <w:tcW w:w="860" w:type="dxa"/>
            <w:vAlign w:val="bottom"/>
            <w:tcBorders>
              <w:bottom w:val="single" w:sz="8" w:color="auto"/>
              <w:right w:val="single" w:sz="8" w:color="auto"/>
            </w:tcBorders>
          </w:tcPr>
          <w:p>
            <w:pPr>
              <w:spacing w:after="0"/>
              <w:rPr>
                <w:sz w:val="22"/>
                <w:szCs w:val="22"/>
                <w:color w:val="auto"/>
              </w:rPr>
            </w:pPr>
          </w:p>
        </w:tc>
        <w:tc>
          <w:tcPr>
            <w:tcW w:w="6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Purchase prices for Active Material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8"/>
        <w:spacing w:after="0" w:line="271" w:lineRule="auto"/>
        <w:tabs>
          <w:tab w:leader="none" w:pos="25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20"/>
          </w:cols>
          <w:pgMar w:left="320" w:top="1412" w:right="359" w:bottom="1440" w:gutter="0" w:footer="0" w:header="0"/>
        </w:sectPr>
      </w:pPr>
    </w:p>
    <w:bookmarkStart w:id="89" w:name="page90"/>
    <w:bookmarkEnd w:id="89"/>
    <w:p>
      <w:pPr>
        <w:jc w:val="center"/>
        <w:ind w:right="-11"/>
        <w:spacing w:after="0"/>
        <w:rPr>
          <w:sz w:val="20"/>
          <w:szCs w:val="20"/>
          <w:color w:val="auto"/>
        </w:rPr>
      </w:pPr>
      <w:r>
        <w:rPr>
          <w:rFonts w:ascii="Arial" w:cs="Arial" w:eastAsia="Arial" w:hAnsi="Arial"/>
          <w:sz w:val="22"/>
          <w:szCs w:val="22"/>
          <w:b w:val="1"/>
          <w:bCs w:val="1"/>
          <w:u w:val="single" w:color="auto"/>
          <w:color w:val="auto"/>
        </w:rPr>
        <w:t>SCHEDULE 1</w:t>
      </w:r>
    </w:p>
    <w:p>
      <w:pPr>
        <w:spacing w:after="0" w:line="24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Specifications</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 w:firstLine="8"/>
        <w:spacing w:after="0" w:line="271" w:lineRule="auto"/>
        <w:tabs>
          <w:tab w:leader="none" w:pos="247"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12"/>
          </w:cols>
          <w:pgMar w:left="328" w:top="1407" w:right="359" w:bottom="1440" w:gutter="0" w:footer="0" w:header="0"/>
        </w:sectPr>
      </w:pPr>
    </w:p>
    <w:bookmarkStart w:id="90" w:name="page91"/>
    <w:bookmarkEnd w:id="90"/>
    <w:p>
      <w:pPr>
        <w:jc w:val="center"/>
        <w:ind w:right="-11"/>
        <w:spacing w:after="0"/>
        <w:rPr>
          <w:sz w:val="20"/>
          <w:szCs w:val="20"/>
          <w:color w:val="auto"/>
        </w:rPr>
      </w:pPr>
      <w:r>
        <w:rPr>
          <w:rFonts w:ascii="Arial" w:cs="Arial" w:eastAsia="Arial" w:hAnsi="Arial"/>
          <w:sz w:val="20"/>
          <w:szCs w:val="20"/>
          <w:b w:val="1"/>
          <w:bCs w:val="1"/>
          <w:u w:val="single" w:color="auto"/>
          <w:color w:val="auto"/>
        </w:rPr>
        <w:t>SCHEDULE 2</w:t>
      </w:r>
    </w:p>
    <w:p>
      <w:pPr>
        <w:spacing w:after="0" w:line="231" w:lineRule="exact"/>
        <w:rPr>
          <w:sz w:val="20"/>
          <w:szCs w:val="20"/>
          <w:color w:val="auto"/>
        </w:rPr>
      </w:pPr>
    </w:p>
    <w:p>
      <w:pPr>
        <w:ind w:left="4092"/>
        <w:spacing w:after="0"/>
        <w:rPr>
          <w:sz w:val="20"/>
          <w:szCs w:val="20"/>
          <w:color w:val="auto"/>
        </w:rPr>
      </w:pPr>
      <w:r>
        <w:rPr>
          <w:rFonts w:ascii="Arial" w:cs="Arial" w:eastAsia="Arial" w:hAnsi="Arial"/>
          <w:sz w:val="20"/>
          <w:szCs w:val="20"/>
          <w:color w:val="auto"/>
        </w:rPr>
        <w:t>Baseline Technology Transfer Plan</w:t>
      </w:r>
    </w:p>
    <w:p>
      <w:pPr>
        <w:spacing w:after="0" w:line="18" w:lineRule="exact"/>
        <w:rPr>
          <w:sz w:val="20"/>
          <w:szCs w:val="20"/>
          <w:color w:val="auto"/>
        </w:rPr>
      </w:pPr>
    </w:p>
    <w:p>
      <w:pPr>
        <w:ind w:left="5612"/>
        <w:spacing w:after="0"/>
        <w:rPr>
          <w:sz w:val="20"/>
          <w:szCs w:val="20"/>
          <w:color w:val="auto"/>
        </w:rPr>
      </w:pPr>
      <w:r>
        <w:rPr>
          <w:rFonts w:ascii="Arial" w:cs="Arial" w:eastAsia="Arial" w:hAnsi="Arial"/>
          <w:sz w:val="20"/>
          <w:szCs w:val="20"/>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 w:firstLine="8"/>
        <w:spacing w:after="0" w:line="271" w:lineRule="auto"/>
        <w:tabs>
          <w:tab w:leader="none" w:pos="247"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12"/>
          </w:cols>
          <w:pgMar w:left="328" w:top="1412" w:right="359" w:bottom="1440" w:gutter="0" w:footer="0" w:header="0"/>
        </w:sectPr>
      </w:pPr>
    </w:p>
    <w:bookmarkStart w:id="91" w:name="page92"/>
    <w:bookmarkEnd w:id="91"/>
    <w:p>
      <w:pPr>
        <w:jc w:val="center"/>
        <w:ind w:right="-11"/>
        <w:spacing w:after="0"/>
        <w:rPr>
          <w:sz w:val="20"/>
          <w:szCs w:val="20"/>
          <w:color w:val="auto"/>
        </w:rPr>
      </w:pPr>
      <w:r>
        <w:rPr>
          <w:rFonts w:ascii="Arial" w:cs="Arial" w:eastAsia="Arial" w:hAnsi="Arial"/>
          <w:sz w:val="20"/>
          <w:szCs w:val="20"/>
          <w:b w:val="1"/>
          <w:bCs w:val="1"/>
          <w:u w:val="single" w:color="auto"/>
          <w:color w:val="auto"/>
        </w:rPr>
        <w:t>SCHEDULE 3</w:t>
      </w: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Manufacturing Services</w:t>
      </w:r>
    </w:p>
    <w:p>
      <w:pPr>
        <w:spacing w:after="0" w:line="243" w:lineRule="exact"/>
        <w:rPr>
          <w:sz w:val="20"/>
          <w:szCs w:val="20"/>
          <w:color w:val="auto"/>
        </w:rPr>
      </w:pPr>
    </w:p>
    <w:p>
      <w:pPr>
        <w:jc w:val="center"/>
        <w:ind w:right="-351"/>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firstLine="8"/>
        <w:spacing w:after="0" w:line="271" w:lineRule="auto"/>
        <w:tabs>
          <w:tab w:leader="none" w:pos="247"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12"/>
          </w:cols>
          <w:pgMar w:left="328" w:top="1412" w:right="359" w:bottom="1440" w:gutter="0" w:footer="0" w:header="0"/>
        </w:sectPr>
      </w:pPr>
    </w:p>
    <w:bookmarkStart w:id="92" w:name="page93"/>
    <w:bookmarkEnd w:id="92"/>
    <w:p>
      <w:pPr>
        <w:jc w:val="center"/>
        <w:ind w:right="-11"/>
        <w:spacing w:after="0"/>
        <w:rPr>
          <w:sz w:val="20"/>
          <w:szCs w:val="20"/>
          <w:color w:val="auto"/>
        </w:rPr>
      </w:pPr>
      <w:r>
        <w:rPr>
          <w:rFonts w:ascii="Arial" w:cs="Arial" w:eastAsia="Arial" w:hAnsi="Arial"/>
          <w:sz w:val="20"/>
          <w:szCs w:val="20"/>
          <w:b w:val="1"/>
          <w:bCs w:val="1"/>
          <w:u w:val="single" w:color="auto"/>
          <w:color w:val="auto"/>
        </w:rPr>
        <w:t>SCHEDULE 4 – COMMERCIAL PRICING</w:t>
      </w: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 w:firstLine="8"/>
        <w:spacing w:after="0" w:line="271" w:lineRule="auto"/>
        <w:tabs>
          <w:tab w:leader="none" w:pos="24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12"/>
          </w:cols>
          <w:pgMar w:left="328" w:top="1412" w:right="35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JAZZ PHARMACEUTICALS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COMMITTEE SEVERANCE BENEFIT PLAN</w:t>
      </w:r>
    </w:p>
    <w:p>
      <w:pPr>
        <w:spacing w:after="0" w:line="16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INTRODUCTION.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Jazz Pharmaceuticals plc Executive Committee Severance Benefit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was established effective as of April 23,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The purpose of the Plan is to provide for the payment of severance benefits to certain eligible executive employees of Affiliates of Jazz Pharmaceuticals plc in the event that such employees are subject to an Involuntary Termination. Except as provided in Section 6(a)(iv), this Plan shall supersede any individual agreement between the Company or any Affiliate and a Participant, and any other plan, policy or practice, whether written or unwritten, maintained by the Company or any Affiliate with respect to a Participant (other than any such plan, policy or practice that provides for benefits upon the Participant’s death or Disability), in each case to the extent that such agreement, plan, policy or practice provides for benefits upon an Involuntary Termination. Notwithstanding the foregoing, if a Participant is subject to an Involuntary Termination that is also a qualifying termination pursuant to which such Participant also would qualify for benefits under the Jazz Pharmaceuticals Amended and Restated Executive Change in Control and Severance Benefit Plan, under any other severance benefit plan maintained by the Company or an Affiliate, or under any individual agreement between the Company or any Affiliate and a Participant providing benefits based on a corporate change of control (collectively, the “</w:t>
      </w:r>
      <w:r>
        <w:rPr>
          <w:rFonts w:ascii="Times New Roman" w:cs="Times New Roman" w:eastAsia="Times New Roman" w:hAnsi="Times New Roman"/>
          <w:sz w:val="21"/>
          <w:szCs w:val="21"/>
          <w:b w:val="1"/>
          <w:bCs w:val="1"/>
          <w:i w:val="1"/>
          <w:iCs w:val="1"/>
          <w:color w:val="auto"/>
        </w:rPr>
        <w:t>CIC Plans</w:t>
      </w:r>
      <w:r>
        <w:rPr>
          <w:rFonts w:ascii="Times New Roman" w:cs="Times New Roman" w:eastAsia="Times New Roman" w:hAnsi="Times New Roman"/>
          <w:sz w:val="21"/>
          <w:szCs w:val="21"/>
          <w:color w:val="auto"/>
        </w:rPr>
        <w:t>”), and such benefits are more beneficial to the Participant than the benefits provided under this Plan, then such Participant will be eligible for the applicable CIC Plan benefits and will not be eligible for benefits under this Plan. This Plan document also constitutes the Summary Plan Description for the Plan.</w:t>
      </w:r>
    </w:p>
    <w:p>
      <w:pPr>
        <w:spacing w:after="0" w:line="1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the Plan, the following terms are defined as follows:</w:t>
      </w:r>
    </w:p>
    <w:p>
      <w:pPr>
        <w:spacing w:after="0" w:line="187" w:lineRule="exact"/>
        <w:rPr>
          <w:sz w:val="20"/>
          <w:szCs w:val="20"/>
          <w:color w:val="auto"/>
        </w:rPr>
      </w:pPr>
    </w:p>
    <w:p>
      <w:pPr>
        <w:jc w:val="both"/>
        <w:ind w:firstLine="656"/>
        <w:spacing w:after="0" w:line="218" w:lineRule="auto"/>
        <w:tabs>
          <w:tab w:leader="none" w:pos="1291"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of the US Securities Act of 1933, as amended, and any “holding company” or “subsidiary” of the Company or a subsidiary of any such holding company as such terms are defined in Section 8 and 7 respectively of the Companies Act. The Plan Administrator shall have the authority to determine the time or times at which “parent” or “subsidiary” status is determined within the foregoing definition.</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means a Participant’s annual base pay (excluding incentive pay, premium pay, monthly allowances, commissions, overtime, bonuses and other forms of variable compensation) in effect on the date of Participant’s Involuntary Termination.</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22" w:lineRule="auto"/>
        <w:tabs>
          <w:tab w:leader="none" w:pos="129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the occurrence of any one or more of the following: (i) the Participant’s unauthorized use or disclosure of the confidential information or trade secrets of the Company or an Affiliate which use or disclosure causes or could cause material harm to the Company or an Affiliate; (ii) the Participant’s material breach of any written agreement between the Participant and the Company or an Affiliate, or the Participant’s material violation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94" w:name="page95"/>
    <w:bookmarkEnd w:id="94"/>
    <w:p>
      <w:pPr>
        <w:jc w:val="both"/>
        <w:spacing w:after="0" w:line="212" w:lineRule="auto"/>
        <w:rPr>
          <w:sz w:val="20"/>
          <w:szCs w:val="20"/>
          <w:color w:val="auto"/>
        </w:rPr>
      </w:pPr>
      <w:r>
        <w:rPr>
          <w:rFonts w:ascii="Times New Roman" w:cs="Times New Roman" w:eastAsia="Times New Roman" w:hAnsi="Times New Roman"/>
          <w:sz w:val="22"/>
          <w:szCs w:val="22"/>
          <w:color w:val="auto"/>
        </w:rPr>
        <w:t>statutory duty owed to the Company or an Affiliate; (iii) the Participant’s material failure to comply with the written policies or rules of the Company or an Affiliate; (iv) the Participant’s conviction of, or plea of “guilty” or “no contest” to, any crime involving fraud or dishonesty under the laws of any jurisdiction; (v) the Participant’s gross misconduct, including but not limited to attempted or actual commission of, participation or cooperation in, fraud or act of dishonesty against the Company or an Affiliate; (vi) the Participant’s continuing failure to perform assigned duties after receiving written notification of the failure from the Participant’s manager, or the Board or its designee; or (vii) the Participant’s failure to reasonably cooperate in good faith with a governmental or internal investigation of the Company or any of its Affiliates, directors, officers or employees, if the Participant’s cooperation has been requested by the Participant’s manager, the Board or its designee.</w:t>
      </w:r>
    </w:p>
    <w:p>
      <w:pPr>
        <w:spacing w:after="0" w:line="150" w:lineRule="exact"/>
        <w:rPr>
          <w:sz w:val="20"/>
          <w:szCs w:val="20"/>
          <w:color w:val="auto"/>
        </w:rPr>
      </w:pPr>
    </w:p>
    <w:p>
      <w:pPr>
        <w:ind w:right="20" w:firstLine="656"/>
        <w:spacing w:after="0" w:line="239" w:lineRule="auto"/>
        <w:tabs>
          <w:tab w:leader="none" w:pos="1293"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w:t>
      </w:r>
    </w:p>
    <w:p>
      <w:pPr>
        <w:spacing w:after="0" w:line="150"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2"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Exchange Act Person becomes the Owner, directly or indirectly, of securities of the Company representing more than thirty percent (30%) of the combined voting power of the Company’s then outstanding securities. Notwithstanding the foregoing, a Change in Control shall not be deemed to occur on account of the acquisition of securities of the Company directly from the Company;</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08" w:lineRule="auto"/>
        <w:tabs>
          <w:tab w:leader="none" w:pos="1938"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compromise or arrangement sanctioned by the Irish courts under the Companies Act, a scheme, contract or offer which has become binding on all shareholders of the Company pursuant to Section 457 of the Companies Act or a bid pursuant to Regulation 23 or 24 of the European Communities (Takeover Bids (Directive 2004/25/EC)) Regulations 2006 (as may be amended, updated or replaced from time to time), an offer or reverse takeover transaction which has been completed pursuant to the Irish Takeover Panel Act, 1997, Takeover Rules, 2013, or a reorganization, merger, statutory share exchange, consolidation or similar transaction involving (directly or indirectly) the Company (each, a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Combination</w:t>
      </w:r>
      <w:r>
        <w:rPr>
          <w:rFonts w:ascii="Times New Roman" w:cs="Times New Roman" w:eastAsia="Times New Roman" w:hAnsi="Times New Roman"/>
          <w:sz w:val="22"/>
          <w:szCs w:val="22"/>
          <w:color w:val="auto"/>
        </w:rPr>
        <w:t>”) and (A) immediately after the consummation of such Business Combination, the shareholders of the Company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immediately prior thereto do not Own, directly or indirectly, either outstanding voting securities representing more than fifty percent (50%) of the combined outstanding voting power of the surviving Entity or ultimate parent of the surviving Entity in such Business Combination in substantially the same proportions as their Ownership of the outstanding voting securities of the Company immediately prior to such Business Combination, (B) an Exchange Act Person becomes the Owner, directly or indirectly, of securities representing more than thirty percent (30%) of the combined voting power of the surviving Entity or ultimate parent of the surviving Entity through the Business Combination, or (C) at least a majority of the members of the board of directors of the ultimate parent (or if there is no parent, the surviving Entity) immediately following such Business Combination were not Incumbent Board Members (as defined below) at the time the Board approved the execution of the definitive agreement providing for such Business Combination;</w:t>
      </w:r>
    </w:p>
    <w:p>
      <w:pPr>
        <w:spacing w:after="0" w:line="164"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44"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shareholders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32"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and its Subsidiaries, other than a sale, lease, exclusive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outstanding voting securities of the Company immediately prior to such sale, lease, exclusive license or other disposition; or</w:t>
      </w:r>
    </w:p>
    <w:p>
      <w:pPr>
        <w:spacing w:after="0" w:line="173" w:lineRule="exact"/>
        <w:rPr>
          <w:sz w:val="20"/>
          <w:szCs w:val="20"/>
          <w:color w:val="auto"/>
        </w:rPr>
      </w:pPr>
    </w:p>
    <w:p>
      <w:pPr>
        <w:jc w:val="both"/>
        <w:ind w:firstLine="1304"/>
        <w:spacing w:after="0" w:line="214" w:lineRule="auto"/>
        <w:tabs>
          <w:tab w:leader="none" w:pos="1939" w:val="left"/>
        </w:tabs>
        <w:numPr>
          <w:ilvl w:val="1"/>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individuals who, on the Effective Date, are members of the Board (the “</w:t>
      </w:r>
      <w:r>
        <w:rPr>
          <w:rFonts w:ascii="Times New Roman" w:cs="Times New Roman" w:eastAsia="Times New Roman" w:hAnsi="Times New Roman"/>
          <w:sz w:val="22"/>
          <w:szCs w:val="22"/>
          <w:b w:val="1"/>
          <w:bCs w:val="1"/>
          <w:i w:val="1"/>
          <w:iCs w:val="1"/>
          <w:color w:val="auto"/>
        </w:rPr>
        <w:t>Incumbent Board Members</w:t>
      </w:r>
      <w:r>
        <w:rPr>
          <w:rFonts w:ascii="Times New Roman" w:cs="Times New Roman" w:eastAsia="Times New Roman" w:hAnsi="Times New Roman"/>
          <w:sz w:val="22"/>
          <w:szCs w:val="22"/>
          <w:color w:val="auto"/>
        </w:rPr>
        <w:t>”) cease for any reason to constitute at least a majority of the members of the Board; provided, however, that if the appointment or election (or nomination for election) of any new Board member was approved or recommended by a majority vote of the Incumbent Board Members then still in office, such new member shall, for purposes of the Plan, be considered as an Incumbent Board Member, but excluding for purposes of the Plan any such individual whose initial assumption of office occurs as a result of either an actual or threatened election contest or other actual or threatened solicitation of proxies or consents by or on behalf of any person or Entity other than the Board.</w:t>
      </w:r>
    </w:p>
    <w:p>
      <w:pPr>
        <w:spacing w:after="0" w:line="14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means the US Consolidated Omnibus Budget Reconciliation Act of 1985, as amended.</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US Internal Revenue Code of 1986, as amended.</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Companies Act</w:t>
      </w:r>
      <w:r>
        <w:rPr>
          <w:rFonts w:ascii="Times New Roman" w:cs="Times New Roman" w:eastAsia="Times New Roman" w:hAnsi="Times New Roman"/>
          <w:sz w:val="22"/>
          <w:szCs w:val="22"/>
          <w:color w:val="auto"/>
        </w:rPr>
        <w:t>” means the Companies Act 2014 of Ireland, together with all statutory modifications and re-enactments thereof and all statutes and statutory instruments which are to be read as one with, or construed or read together as one with, the aforementioned enactments and every statutory modification and re-enactment thereof for the time being in force.</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w:t>
      </w:r>
    </w:p>
    <w:p>
      <w:pPr>
        <w:spacing w:after="0" w:line="185"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prior to a Change in Control, Jazz Pharmaceuticals plc; and</w:t>
      </w:r>
    </w:p>
    <w:p>
      <w:pPr>
        <w:spacing w:after="0" w:line="179" w:lineRule="exact"/>
        <w:rPr>
          <w:sz w:val="20"/>
          <w:szCs w:val="20"/>
          <w:color w:val="auto"/>
        </w:rPr>
      </w:pPr>
    </w:p>
    <w:p>
      <w:pPr>
        <w:jc w:val="both"/>
        <w:ind w:firstLine="1304"/>
        <w:spacing w:after="0" w:line="222" w:lineRule="auto"/>
        <w:tabs>
          <w:tab w:leader="none" w:pos="1938" w:val="left"/>
        </w:tabs>
        <w:numPr>
          <w:ilvl w:val="1"/>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on or after a Change in Control, (A) Jazz Pharmaceuticals plc in the event that the surviving Entity resulting from a Change in Control is Jazz Pharmaceuticals plc, (B) the surviving Entity resulting from a Change in Control in the event that such surviving Entity is not Jazz Pharmaceuticals plc, (C) any Entity to which the assets of Jazz Pharmaceuticals plc and its Subsidiaries are sold, leased, exclusively licensed or otherwise disposed of in the event of a Change in Control under Section 2(f)(iv), or (D) any other successor to Jazz Pharmaceuticals plc in the event of a Change in Control, as applicable; provided, however, that in the event Jazz Pharmaceuticals plc completes a reorganization that is not in connection with a Change in Control that results in Jazz Pharmaceuticals plc no longer being the ultimate parent company and reporting company under the Exchange Act, then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means the ultimate parent that directly or indirectly holds Jazz Pharmaceuticals plc.</w:t>
      </w:r>
    </w:p>
    <w:p>
      <w:pPr>
        <w:spacing w:after="0" w:line="151" w:lineRule="exact"/>
        <w:rPr>
          <w:rFonts w:ascii="Times New Roman" w:cs="Times New Roman" w:eastAsia="Times New Roman" w:hAnsi="Times New Roman"/>
          <w:sz w:val="21"/>
          <w:szCs w:val="21"/>
          <w:b w:val="1"/>
          <w:bCs w:val="1"/>
          <w:color w:val="auto"/>
        </w:rPr>
      </w:pPr>
    </w:p>
    <w:p>
      <w:pPr>
        <w:jc w:val="both"/>
        <w:ind w:firstLine="656"/>
        <w:spacing w:after="0" w:line="216" w:lineRule="auto"/>
        <w:tabs>
          <w:tab w:leader="none" w:pos="129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means, with respect to a Participant, the inability of the Participant to engage in any substantial gainful activity in the role for which the Participant is employed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reasonably determined by the Board or its designee on the basis of such medical evidence as the Board or its designee deems warranted under the circumstances.</w:t>
      </w:r>
    </w:p>
    <w:p>
      <w:pPr>
        <w:spacing w:after="0" w:line="14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Entity</w:t>
      </w:r>
      <w:r>
        <w:rPr>
          <w:rFonts w:ascii="Times New Roman" w:cs="Times New Roman" w:eastAsia="Times New Roman" w:hAnsi="Times New Roman"/>
          <w:sz w:val="22"/>
          <w:szCs w:val="22"/>
          <w:color w:val="auto"/>
        </w:rPr>
        <w:t>” means a corporation, partnership, limited liability company, or other entity.</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means the US Employee Retirement Income Security Act of 1974, as amended.</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96" w:name="page97"/>
    <w:bookmarkEnd w:id="96"/>
    <w:p>
      <w:pPr>
        <w:jc w:val="both"/>
        <w:ind w:firstLine="656"/>
        <w:spacing w:after="0" w:line="214" w:lineRule="auto"/>
        <w:tabs>
          <w:tab w:leader="none" w:pos="129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 Person</w:t>
      </w:r>
      <w:r>
        <w:rPr>
          <w:rFonts w:ascii="Times New Roman" w:cs="Times New Roman" w:eastAsia="Times New Roman" w:hAnsi="Times New Roman"/>
          <w:sz w:val="22"/>
          <w:szCs w:val="22"/>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shares of the Company.</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8" w:lineRule="auto"/>
        <w:tabs>
          <w:tab w:leader="none" w:pos="1291"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by the Company or an Affiliate of a Participant’s employment for any reason other than for Cause and other than as a result of Participant’s death or Disability, and in any case which termination (or written notice of such termination) does not occur upon or within the twelve (12) months following a Change in Control. For clarity, a termination of employment of a Participant by reason of the Participant’s voluntary resignation for any reason or due to the Participant’s death or Disability shall not constitute an Involuntary Termination.</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22" w:lineRule="auto"/>
        <w:tabs>
          <w:tab w:leader="none" w:pos="129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Ownership</w:t>
      </w:r>
      <w:r>
        <w:rPr>
          <w:rFonts w:ascii="Times New Roman" w:cs="Times New Roman" w:eastAsia="Times New Roman" w:hAnsi="Times New Roman"/>
          <w:sz w:val="22"/>
          <w:szCs w:val="22"/>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43" w:lineRule="exact"/>
        <w:rPr>
          <w:rFonts w:ascii="Times New Roman" w:cs="Times New Roman" w:eastAsia="Times New Roman" w:hAnsi="Times New Roman"/>
          <w:sz w:val="22"/>
          <w:szCs w:val="22"/>
          <w:b w:val="1"/>
          <w:bCs w:val="1"/>
          <w:color w:val="auto"/>
        </w:rPr>
      </w:pPr>
    </w:p>
    <w:p>
      <w:pPr>
        <w:jc w:val="both"/>
        <w:ind w:firstLine="656"/>
        <w:spacing w:after="0" w:line="222" w:lineRule="auto"/>
        <w:tabs>
          <w:tab w:leader="none" w:pos="129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an individual who, as of the time of Involuntary Termination, is an employee of an Affiliate or the Company and who serves as a member of the Company’s Executive Committee, or any successor thereto, as appointed in writing by the Chief Executive Office of the Company from time to time, but in any case excluding the Chief Executive Officer of the Company.</w:t>
      </w:r>
    </w:p>
    <w:p>
      <w:pPr>
        <w:spacing w:after="0" w:line="143" w:lineRule="exact"/>
        <w:rPr>
          <w:rFonts w:ascii="Times New Roman" w:cs="Times New Roman" w:eastAsia="Times New Roman" w:hAnsi="Times New Roman"/>
          <w:sz w:val="22"/>
          <w:szCs w:val="22"/>
          <w:b w:val="1"/>
          <w:bCs w:val="1"/>
          <w:color w:val="auto"/>
        </w:rPr>
      </w:pPr>
    </w:p>
    <w:p>
      <w:pPr>
        <w:jc w:val="both"/>
        <w:ind w:firstLine="656"/>
        <w:spacing w:after="0" w:line="222" w:lineRule="auto"/>
        <w:tabs>
          <w:tab w:leader="none" w:pos="1293"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 Administrator</w:t>
      </w:r>
      <w:r>
        <w:rPr>
          <w:rFonts w:ascii="Times New Roman" w:cs="Times New Roman" w:eastAsia="Times New Roman" w:hAnsi="Times New Roman"/>
          <w:sz w:val="22"/>
          <w:szCs w:val="22"/>
          <w:color w:val="auto"/>
        </w:rPr>
        <w:t>” means the Board or any committee duly authorized by the Board to administer the Plan. The Plan Administrator may, but is not required to be, the Compensation &amp; Management Development Committee of the Board. The Board may at any time administer the Plan, in whole or in part, notwithstanding that the Board has previously appointed a committee to act as the Plan Administrator.</w:t>
      </w:r>
    </w:p>
    <w:p>
      <w:pPr>
        <w:spacing w:after="0" w:line="14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has the meaning set forth in Section 5(a).</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RSU</w:t>
      </w:r>
      <w:r>
        <w:rPr>
          <w:rFonts w:ascii="Times New Roman" w:cs="Times New Roman" w:eastAsia="Times New Roman" w:hAnsi="Times New Roman"/>
          <w:sz w:val="22"/>
          <w:szCs w:val="22"/>
          <w:color w:val="auto"/>
        </w:rPr>
        <w:t>” means the right to be issued the Company’s ordinary shares.</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16" w:lineRule="auto"/>
        <w:tabs>
          <w:tab w:leader="none" w:pos="129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4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Affiliate</w:t>
      </w:r>
      <w:r>
        <w:rPr>
          <w:rFonts w:ascii="Times New Roman" w:cs="Times New Roman" w:eastAsia="Times New Roman" w:hAnsi="Times New Roman"/>
          <w:sz w:val="22"/>
          <w:szCs w:val="22"/>
          <w:color w:val="auto"/>
        </w:rPr>
        <w:t>” means any Affiliate incorporated in the United States of America</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Participant</w:t>
      </w:r>
      <w:r>
        <w:rPr>
          <w:rFonts w:ascii="Times New Roman" w:cs="Times New Roman" w:eastAsia="Times New Roman" w:hAnsi="Times New Roman"/>
          <w:sz w:val="22"/>
          <w:szCs w:val="22"/>
          <w:color w:val="auto"/>
        </w:rPr>
        <w:t>” means any Participant employed by a U.S.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89" w:right="339" w:bottom="1440" w:gutter="0" w:footer="0" w:header="0"/>
        </w:sectPr>
      </w:pPr>
    </w:p>
    <w:bookmarkStart w:id="97" w:name="page98"/>
    <w:bookmarkEnd w:id="97"/>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ELIGIBILITY FOR BENEFITS.</w:t>
      </w:r>
    </w:p>
    <w:p>
      <w:pPr>
        <w:spacing w:after="0" w:line="179" w:lineRule="exact"/>
        <w:rPr>
          <w:sz w:val="20"/>
          <w:szCs w:val="20"/>
          <w:color w:val="auto"/>
        </w:rPr>
      </w:pPr>
    </w:p>
    <w:p>
      <w:pPr>
        <w:jc w:val="both"/>
        <w:ind w:firstLine="656"/>
        <w:spacing w:after="0" w:line="227" w:lineRule="auto"/>
        <w:tabs>
          <w:tab w:leader="none" w:pos="1291"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Rules</w:t>
      </w:r>
      <w:r>
        <w:rPr>
          <w:rFonts w:ascii="Times New Roman" w:cs="Times New Roman" w:eastAsia="Times New Roman" w:hAnsi="Times New Roman"/>
          <w:sz w:val="22"/>
          <w:szCs w:val="22"/>
          <w:color w:val="auto"/>
        </w:rPr>
        <w:t>. Subject to the limitations set forth in this Section 3, Section 5 and Section 6, in the event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Involuntary Termination, the Company shall provide the benefits described in Sections 4(a), 4(b), 4(c) and 4(d) to the Participant.</w:t>
      </w:r>
    </w:p>
    <w:p>
      <w:pPr>
        <w:spacing w:after="0" w:line="146" w:lineRule="exact"/>
        <w:rPr>
          <w:rFonts w:ascii="Times New Roman" w:cs="Times New Roman" w:eastAsia="Times New Roman" w:hAnsi="Times New Roman"/>
          <w:sz w:val="22"/>
          <w:szCs w:val="22"/>
          <w:b w:val="1"/>
          <w:bCs w:val="1"/>
          <w:color w:val="auto"/>
        </w:rPr>
      </w:pPr>
    </w:p>
    <w:p>
      <w:pPr>
        <w:ind w:right="20" w:firstLine="656"/>
        <w:spacing w:after="0" w:line="238" w:lineRule="auto"/>
        <w:tabs>
          <w:tab w:leader="none" w:pos="129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Exceptions to Benefit Entitlement</w:t>
      </w:r>
      <w:r>
        <w:rPr>
          <w:rFonts w:ascii="Times New Roman" w:cs="Times New Roman" w:eastAsia="Times New Roman" w:hAnsi="Times New Roman"/>
          <w:sz w:val="22"/>
          <w:szCs w:val="22"/>
          <w:color w:val="auto"/>
        </w:rPr>
        <w:t>. A Participant will not receive benefits under the Plan (or will receive reduced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under the Plan) in the following circumstances, as determined by the Plan Administrator in its sole discretion:</w:t>
      </w:r>
    </w:p>
    <w:p>
      <w:pPr>
        <w:spacing w:after="0" w:line="150" w:lineRule="exact"/>
        <w:rPr>
          <w:rFonts w:ascii="Times New Roman" w:cs="Times New Roman" w:eastAsia="Times New Roman" w:hAnsi="Times New Roman"/>
          <w:sz w:val="22"/>
          <w:szCs w:val="22"/>
          <w:b w:val="1"/>
          <w:bCs w:val="1"/>
          <w:color w:val="auto"/>
        </w:rPr>
      </w:pPr>
    </w:p>
    <w:p>
      <w:pPr>
        <w:ind w:right="20" w:firstLine="1304"/>
        <w:spacing w:after="0" w:line="236" w:lineRule="auto"/>
        <w:tabs>
          <w:tab w:leader="none" w:pos="1932"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Participant’s employment with the Company or an Affiliate terminates or is terminated for any reason other than an Involuntary Termination.</w:t>
      </w:r>
    </w:p>
    <w:p>
      <w:pPr>
        <w:spacing w:after="0" w:line="150"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resigns, retires or fails to return from a leave of absence on a scheduled date.</w:t>
      </w:r>
    </w:p>
    <w:p>
      <w:pPr>
        <w:spacing w:after="0" w:line="179" w:lineRule="exact"/>
        <w:rPr>
          <w:rFonts w:ascii="Times New Roman" w:cs="Times New Roman" w:eastAsia="Times New Roman" w:hAnsi="Times New Roman"/>
          <w:sz w:val="22"/>
          <w:szCs w:val="22"/>
          <w:b w:val="1"/>
          <w:bCs w:val="1"/>
          <w:color w:val="auto"/>
        </w:rPr>
      </w:pPr>
    </w:p>
    <w:p>
      <w:pPr>
        <w:ind w:right="20" w:firstLine="1304"/>
        <w:spacing w:after="0" w:line="236" w:lineRule="auto"/>
        <w:tabs>
          <w:tab w:leader="none" w:pos="1944"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voluntarily terminates employment with the Company or an Affiliate in order to accept employment with another Entity that is controlled (directly or indirectly) by the Company or is otherwise an Affiliate.</w:t>
      </w:r>
    </w:p>
    <w:p>
      <w:pPr>
        <w:spacing w:after="0" w:line="150" w:lineRule="exact"/>
        <w:rPr>
          <w:rFonts w:ascii="Times New Roman" w:cs="Times New Roman" w:eastAsia="Times New Roman" w:hAnsi="Times New Roman"/>
          <w:sz w:val="22"/>
          <w:szCs w:val="22"/>
          <w:b w:val="1"/>
          <w:bCs w:val="1"/>
          <w:color w:val="auto"/>
        </w:rPr>
      </w:pPr>
    </w:p>
    <w:p>
      <w:pPr>
        <w:jc w:val="both"/>
        <w:ind w:firstLine="1304"/>
        <w:spacing w:after="0" w:line="215" w:lineRule="auto"/>
        <w:tabs>
          <w:tab w:leader="none" w:pos="1932"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does not confirm in writing that the Participant is and shall be subject to their confidentiality and intellectual property obligations, which may be set out in the Participant’s contract of employment with an Affiliate, an Employee Confidential Information and Inventions Agreement or other similar agreement with a different name relating to confidentiality and intellectual property obligations entered into by the Participant in connection with their employment with the applicable Affiliate (the “</w:t>
      </w:r>
      <w:r>
        <w:rPr>
          <w:rFonts w:ascii="Times New Roman" w:cs="Times New Roman" w:eastAsia="Times New Roman" w:hAnsi="Times New Roman"/>
          <w:sz w:val="22"/>
          <w:szCs w:val="22"/>
          <w:b w:val="1"/>
          <w:bCs w:val="1"/>
          <w:i w:val="1"/>
          <w:iCs w:val="1"/>
          <w:color w:val="auto"/>
        </w:rPr>
        <w:t>Employee Confidentiality Agreement</w:t>
      </w:r>
      <w:r>
        <w:rPr>
          <w:rFonts w:ascii="Times New Roman" w:cs="Times New Roman" w:eastAsia="Times New Roman" w:hAnsi="Times New Roman"/>
          <w:sz w:val="22"/>
          <w:szCs w:val="22"/>
          <w:color w:val="auto"/>
        </w:rPr>
        <w:t>”) and the Company’s Code of Conduct as then in effect during any notice or post-termination period.</w:t>
      </w:r>
    </w:p>
    <w:p>
      <w:pPr>
        <w:spacing w:after="0" w:line="150"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Participant does not confirm in writing that they are and shall be subject to the obligations described in</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Section 3(c).</w:t>
      </w:r>
    </w:p>
    <w:p>
      <w:pPr>
        <w:spacing w:after="0" w:line="155" w:lineRule="exact"/>
        <w:rPr>
          <w:rFonts w:ascii="Times New Roman" w:cs="Times New Roman" w:eastAsia="Times New Roman" w:hAnsi="Times New Roman"/>
          <w:sz w:val="21"/>
          <w:szCs w:val="21"/>
          <w:b w:val="1"/>
          <w:bCs w:val="1"/>
          <w:color w:val="auto"/>
        </w:rPr>
      </w:pPr>
    </w:p>
    <w:p>
      <w:pPr>
        <w:jc w:val="both"/>
        <w:ind w:firstLine="1304"/>
        <w:spacing w:after="0" w:line="215" w:lineRule="auto"/>
        <w:tabs>
          <w:tab w:leader="none" w:pos="1932"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Following the Participant’s Involuntary Termination but prior to the date benefits under the Plan are scheduled to commence, the Participant commences employment with the Company or an Affiliate for an identical or substantially equivalent or comparable position as the Participant’s position with the Company or an Affiliate on the date of the Participant’s Involuntary Termination. For purposes of the foregoing, a “substantially equivalent or comparable position” is one that provides the Participant substantially the same level of responsibility and Base Salary as the Participant’s position with the Company or an Affiliate on the date of the Participant’s Involuntary Termination.</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8"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Prior to the date of the Participant’s Involuntary Termination, the Participant is offered an identical or substantially equivalent or comparable position with the Company or an Affiliate as the Participant’s then current position with the Company or an Affiliate. For purposes of the foregoing, a “substantially equivalent or comparable position” is one that provides the Participant substantially the same level of responsibility and Base Salary as the Participant’s then current position.</w:t>
      </w:r>
    </w:p>
    <w:p>
      <w:pPr>
        <w:spacing w:after="0" w:line="152"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has failed to execute or has revoked the Release described in Section 5(a).</w:t>
      </w:r>
    </w:p>
    <w:p>
      <w:pPr>
        <w:spacing w:after="0" w:line="173"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2"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fails to return all Company Property. For this purpose, “</w:t>
      </w:r>
      <w:r>
        <w:rPr>
          <w:rFonts w:ascii="Times New Roman" w:cs="Times New Roman" w:eastAsia="Times New Roman" w:hAnsi="Times New Roman"/>
          <w:sz w:val="22"/>
          <w:szCs w:val="22"/>
          <w:b w:val="1"/>
          <w:bCs w:val="1"/>
          <w:i w:val="1"/>
          <w:iCs w:val="1"/>
          <w:color w:val="auto"/>
        </w:rPr>
        <w:t>Company Property</w:t>
      </w:r>
      <w:r>
        <w:rPr>
          <w:rFonts w:ascii="Times New Roman" w:cs="Times New Roman" w:eastAsia="Times New Roman" w:hAnsi="Times New Roman"/>
          <w:sz w:val="22"/>
          <w:szCs w:val="22"/>
          <w:color w:val="auto"/>
        </w:rPr>
        <w:t>” means all documents (and all copies thereof) and other property of the Company or an Affiliate which the Participant had in their possession at any time, including,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98" w:name="page99"/>
    <w:bookmarkEnd w:id="98"/>
    <w:p>
      <w:pPr>
        <w:jc w:val="both"/>
        <w:spacing w:after="0" w:line="213" w:lineRule="auto"/>
        <w:rPr>
          <w:sz w:val="20"/>
          <w:szCs w:val="20"/>
          <w:color w:val="auto"/>
        </w:rPr>
      </w:pPr>
      <w:r>
        <w:rPr>
          <w:rFonts w:ascii="Times New Roman" w:cs="Times New Roman" w:eastAsia="Times New Roman" w:hAnsi="Times New Roman"/>
          <w:sz w:val="22"/>
          <w:szCs w:val="22"/>
          <w:color w:val="auto"/>
        </w:rPr>
        <w:t>not limited to,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printers, facsimile machines, mobile telephones and other mobile devices, and servers), credit cards, entry cards, identification badges and keys, and any materials of any kind which is owned by the Company or an Affiliate or contain or embody any proprietary or confidential information of the Company or an Affiliate (and all reproductions thereof in whole or in part).</w:t>
      </w:r>
    </w:p>
    <w:p>
      <w:pPr>
        <w:spacing w:after="0" w:line="152" w:lineRule="exact"/>
        <w:rPr>
          <w:sz w:val="20"/>
          <w:szCs w:val="20"/>
          <w:color w:val="auto"/>
        </w:rPr>
      </w:pPr>
    </w:p>
    <w:p>
      <w:pPr>
        <w:jc w:val="both"/>
        <w:ind w:firstLine="656"/>
        <w:spacing w:after="0" w:line="221" w:lineRule="auto"/>
        <w:tabs>
          <w:tab w:leader="none" w:pos="1293"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Benefits</w:t>
      </w:r>
      <w:r>
        <w:rPr>
          <w:rFonts w:ascii="Times New Roman" w:cs="Times New Roman" w:eastAsia="Times New Roman" w:hAnsi="Times New Roman"/>
          <w:sz w:val="22"/>
          <w:szCs w:val="22"/>
          <w:color w:val="auto"/>
        </w:rPr>
        <w:t>. A Participant’s right to receive benefits under this Plan shall terminate immediately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any time prior to or during the period for which the Participant is receiving benefits hereunder, the Participant, without the prior written approval of the Plan Administrator, willfully breaches a material provision of the Participant’s Employee Confidentiality Agreement or the Company’s Code of Conduct.</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AMOUNT OF BENEFITS.</w:t>
      </w:r>
    </w:p>
    <w:p>
      <w:pPr>
        <w:spacing w:after="0" w:line="21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Subject to the limitations set forth in Section 3, Section 5 and Section 6, in the event of a Participant’s Involuntary Termination, the Participant shall be entitled to receive the benefits described in Sections 4(a), 4(b), 4(c) and 4(d).</w:t>
      </w:r>
    </w:p>
    <w:p>
      <w:pPr>
        <w:spacing w:after="0" w:line="127" w:lineRule="exact"/>
        <w:rPr>
          <w:sz w:val="20"/>
          <w:szCs w:val="20"/>
          <w:color w:val="auto"/>
        </w:rPr>
      </w:pPr>
    </w:p>
    <w:p>
      <w:pPr>
        <w:ind w:firstLine="656"/>
        <w:spacing w:after="0" w:line="238" w:lineRule="auto"/>
        <w:tabs>
          <w:tab w:leader="none" w:pos="1291"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Severance Payment</w:t>
      </w:r>
      <w:r>
        <w:rPr>
          <w:rFonts w:ascii="Times New Roman" w:cs="Times New Roman" w:eastAsia="Times New Roman" w:hAnsi="Times New Roman"/>
          <w:sz w:val="22"/>
          <w:szCs w:val="22"/>
          <w:color w:val="auto"/>
        </w:rPr>
        <w:t>. The Company shall make a cash severance payment to the Participant (paid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Section 6) in an amount equal to the sum of:</w:t>
      </w:r>
    </w:p>
    <w:p>
      <w:pPr>
        <w:spacing w:after="0" w:line="150"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100% of the Participant’s Base Salary, plus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11" w:lineRule="auto"/>
        <w:tabs>
          <w:tab w:leader="none" w:pos="1938"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Participant has been employed with the Company or an Affiliate through at least January 31 of the calendar year in which the Involuntary Termination occurs, an amount equal to (A) the Participant’s target bonus for such calendar year, multiplied by (B) a ratio, the numerator of which is the number of calendar days that the Participant is employed by the Company or an Affiliate during such calendar year and the denominator of which is the total number of calendar days in such calendar year. In addition, if the date of Involuntary Termination occurs in the first quarter of the calendar year and such date is prior to the scheduled payment date for previous year annual bonus(es), the Participant will receive payment of the annual bonus for such previous calendar year at the target amount, with such amount prorated by the number of days such Participant was employed with the Company or an Affiliate during the previous calendar year if the Participant was not employed for the full previous year.</w:t>
      </w:r>
    </w:p>
    <w:p>
      <w:pPr>
        <w:spacing w:after="0" w:line="154"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 Participants Only: Health Continuation Coverage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11" w:lineRule="auto"/>
        <w:tabs>
          <w:tab w:leader="none" w:pos="1932"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US Participants, and provided that (A) the US Participant is eligible to continue coverage under a health, dental or vision insurance plan sponsored by the Company or an Affiliate upon the US Participant’s Involuntary Termination pursuant to COBRA, and (B) the US Participant makes an election to continue such coverage pursuant to COBRA within the time period prescribed under COBRA, then the US Participant shall be entitled to payment by the Company of all of the applicable COBRA premiums for such health, dental or vision insurance plan coverage from the date of the US Participant’s Involuntary Termination through the earliest of (A) a period of twelve (12) months following such date, (B) the US Participant’s death or (C) the effective date of the US Participant’s coverage by a health, dental or vision insurance plan of a subsequent employer (such period from the date of the Participant’s Involuntary Termination through the earliest of (A) through (C), the “</w:t>
      </w:r>
      <w:r>
        <w:rPr>
          <w:rFonts w:ascii="Times New Roman" w:cs="Times New Roman" w:eastAsia="Times New Roman" w:hAnsi="Times New Roman"/>
          <w:sz w:val="22"/>
          <w:szCs w:val="22"/>
          <w:b w:val="1"/>
          <w:bCs w:val="1"/>
          <w:i w:val="1"/>
          <w:iCs w:val="1"/>
          <w:color w:val="auto"/>
        </w:rPr>
        <w:t>COBRA Payment Period</w:t>
      </w:r>
      <w:r>
        <w:rPr>
          <w:rFonts w:ascii="Times New Roman" w:cs="Times New Roman" w:eastAsia="Times New Roman" w:hAnsi="Times New Roman"/>
          <w:sz w:val="22"/>
          <w:szCs w:val="22"/>
          <w:color w:val="auto"/>
        </w:rPr>
        <w:t>”), with such coverage counted as coverage pursuant to COBRA. Such COBRA premium payments shall be inclusive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99" w:name="page100"/>
    <w:bookmarkEnd w:id="99"/>
    <w:p>
      <w:pPr>
        <w:jc w:val="both"/>
        <w:spacing w:after="0" w:line="225" w:lineRule="auto"/>
        <w:rPr>
          <w:sz w:val="20"/>
          <w:szCs w:val="20"/>
          <w:color w:val="auto"/>
        </w:rPr>
      </w:pPr>
      <w:r>
        <w:rPr>
          <w:rFonts w:ascii="Times New Roman" w:cs="Times New Roman" w:eastAsia="Times New Roman" w:hAnsi="Times New Roman"/>
          <w:sz w:val="22"/>
          <w:szCs w:val="22"/>
          <w:color w:val="auto"/>
        </w:rPr>
        <w:t>premiums for the US Participant’s eligible dependents for such health, dental or vision insurance plan coverage as in effect immediately prior to the date of the US Participant’s Involuntary Termination, provided that such dependents continue to be eligible for such coverage during the COBRA Payment Period.</w:t>
      </w:r>
    </w:p>
    <w:p>
      <w:pPr>
        <w:spacing w:after="0" w:line="153" w:lineRule="exact"/>
        <w:rPr>
          <w:sz w:val="20"/>
          <w:szCs w:val="20"/>
          <w:color w:val="auto"/>
        </w:rPr>
      </w:pPr>
    </w:p>
    <w:p>
      <w:pPr>
        <w:jc w:val="both"/>
        <w:ind w:firstLine="1304"/>
        <w:spacing w:after="0" w:line="217" w:lineRule="auto"/>
        <w:tabs>
          <w:tab w:leader="none" w:pos="1938"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COBRA premium payments (or any other payments for health, dental or vision insurance plan coverage by the Company or an Affiliate) shall be made following the US Participant’s death or the effective date of the US Participant’s coverage by a health, dental or vision insurance plan of a subsequent employer. Each US Participant shall be required to provide written notification to the Plan Administrator immediately if the US Participant becomes covered by a health, dental or vision insurance plan of a subsequent employer.</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11" w:lineRule="auto"/>
        <w:tabs>
          <w:tab w:leader="none" w:pos="1944"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provision of this Plan will affect the continuation coverage rules under COBRA, except that the Company’s payment of any applicable COBRA premiums will be credited as payment by the US Participant for purposes of the US Participant’s payment required under COBRA. Therefore, the period during which the US Participant may elect to continue the Company’s or its Affiliate’s health, dental or vision insurance plan coverage at his or her own expense under COBRA, the length of time during which COBRA coverage will be made available to the US Participant, and all other rights and obligations of the US Participant under COBRA (except the Company’s obligation, if any, to pay COBRA premiums under this Section 4(b)) will be applied in the same manner that such rules would apply in the absence of this Plan. Upon the conclusion of any COBRA Payment Period, the US Participant will be responsible for the entire payment of premiums required under COBRA for the remainder of the COBRA period.</w:t>
      </w:r>
    </w:p>
    <w:p>
      <w:pPr>
        <w:spacing w:after="0" w:line="158"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2"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Section 4(b), (i) references to COBRA shall be deemed to refer also to analogous provisions of state law, and (ii) any applicable insurance premiums that are paid by the Company shall not include any amounts payable by a US Participant under an Internal Revenue Code Section 125 health care reimbursement plan, which amounts, if any, are the sole responsibility of the US Participant.</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12" w:lineRule="auto"/>
        <w:tabs>
          <w:tab w:leader="none" w:pos="1939"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foregoing but subject to Section 6, if at any time the Plan Administrator determines, in its sole discretion, that its payment of COBRA premiums on the US Participant’s behalf would result in a violation of applicable law (including, without limitation, Section 2716 of the Public Health Service Act), then in lieu of paying COBRA premiums pursuant to this Section 4(b), the Company will pay to the US Participant, on the last day of each remaining month of the COBRA Payment Period, a fully taxable cash payment equal to the COBRA premiums for such month, subject to applicable tax withholding (such amount, the “</w:t>
      </w:r>
      <w:r>
        <w:rPr>
          <w:rFonts w:ascii="Times New Roman" w:cs="Times New Roman" w:eastAsia="Times New Roman" w:hAnsi="Times New Roman"/>
          <w:sz w:val="22"/>
          <w:szCs w:val="22"/>
          <w:b w:val="1"/>
          <w:bCs w:val="1"/>
          <w:i w:val="1"/>
          <w:iCs w:val="1"/>
          <w:color w:val="auto"/>
        </w:rPr>
        <w:t>Special Severance Payment</w:t>
      </w:r>
      <w:r>
        <w:rPr>
          <w:rFonts w:ascii="Times New Roman" w:cs="Times New Roman" w:eastAsia="Times New Roman" w:hAnsi="Times New Roman"/>
          <w:sz w:val="22"/>
          <w:szCs w:val="22"/>
          <w:color w:val="auto"/>
        </w:rPr>
        <w:t>”), and such Special Severance Payment will be made without regard to the US Participant’s payment of COBRA premiums and without regard to the expiration of the COBRA period prior to the end of the COBRA Payment Period.</w:t>
      </w:r>
    </w:p>
    <w:p>
      <w:pPr>
        <w:spacing w:after="0" w:line="143"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COBRA premium payments and Special Severance Payments, if any, shall be paid in accordance</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Section 6.</w:t>
      </w:r>
    </w:p>
    <w:p>
      <w:pPr>
        <w:spacing w:after="0" w:line="155"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8"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Participants outside the US, the Participant shall be provided a payment equal to twelve (12) multiplied by the full monthly premium amount(s) for such Participant’s health, dental and/or vision insurance plan coverage (sponsored by the Company or an Affiliate) which is in effect as of the effective date of the Involuntary Termination, if any. Such payment shall be paid in accordance with Section 6.</w:t>
      </w:r>
    </w:p>
    <w:p>
      <w:pPr>
        <w:spacing w:after="0" w:line="148" w:lineRule="exact"/>
        <w:rPr>
          <w:rFonts w:ascii="Times New Roman" w:cs="Times New Roman" w:eastAsia="Times New Roman" w:hAnsi="Times New Roman"/>
          <w:sz w:val="22"/>
          <w:szCs w:val="22"/>
          <w:b w:val="1"/>
          <w:bCs w:val="1"/>
          <w:color w:val="auto"/>
        </w:rPr>
      </w:pPr>
    </w:p>
    <w:p>
      <w:pPr>
        <w:ind w:firstLine="656"/>
        <w:spacing w:after="0" w:line="238" w:lineRule="auto"/>
        <w:tabs>
          <w:tab w:leader="none" w:pos="1293"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Award Vesting Benefit</w:t>
      </w:r>
      <w:r>
        <w:rPr>
          <w:rFonts w:ascii="Times New Roman" w:cs="Times New Roman" w:eastAsia="Times New Roman" w:hAnsi="Times New Roman"/>
          <w:sz w:val="22"/>
          <w:szCs w:val="22"/>
          <w:color w:val="auto"/>
        </w:rPr>
        <w:t>. The Participant will be eligible for continued vesting of outstanding Time-Based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and Performance RSUs (as defined below)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extent such awards were granted to the Participant at least twelve (12) months prior to the date of the Involuntary Termination:</w:t>
      </w:r>
    </w:p>
    <w:p>
      <w:pPr>
        <w:spacing w:after="0" w:line="179" w:lineRule="exact"/>
        <w:rPr>
          <w:sz w:val="20"/>
          <w:szCs w:val="20"/>
          <w:color w:val="auto"/>
        </w:rPr>
      </w:pPr>
    </w:p>
    <w:p>
      <w:pPr>
        <w:jc w:val="both"/>
        <w:ind w:firstLine="1304"/>
        <w:spacing w:after="0" w:line="220" w:lineRule="auto"/>
        <w:tabs>
          <w:tab w:leader="none" w:pos="1932"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unvested RSUs that are subject to vesting solely based on the Participant’s continued services to the Company or an Affiliate (“</w:t>
      </w:r>
      <w:r>
        <w:rPr>
          <w:rFonts w:ascii="Times New Roman" w:cs="Times New Roman" w:eastAsia="Times New Roman" w:hAnsi="Times New Roman"/>
          <w:sz w:val="22"/>
          <w:szCs w:val="22"/>
          <w:b w:val="1"/>
          <w:bCs w:val="1"/>
          <w:i w:val="1"/>
          <w:iCs w:val="1"/>
          <w:color w:val="auto"/>
        </w:rPr>
        <w:t>Time-Based RSUs</w:t>
      </w:r>
      <w:r>
        <w:rPr>
          <w:rFonts w:ascii="Times New Roman" w:cs="Times New Roman" w:eastAsia="Times New Roman" w:hAnsi="Times New Roman"/>
          <w:sz w:val="22"/>
          <w:szCs w:val="22"/>
          <w:color w:val="auto"/>
        </w:rPr>
        <w:t>”) will continue to vest on each vesting date(s) scheduled to occur (pursuant to the original vesting schedule under which such Time-Based RSUs were granted, as provided in the grant notice evidencing such Time-Based RSUs) during the twelve (12) month period following the Involuntary Termination; and</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19" w:lineRule="auto"/>
        <w:tabs>
          <w:tab w:leader="none" w:pos="1938"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unvested RSUs that are subject to vesting based on the achievement of performance goals during a performance period that is scheduled to end during the twelve (12) month period following the Involuntary Termination (“</w:t>
      </w:r>
      <w:r>
        <w:rPr>
          <w:rFonts w:ascii="Times New Roman" w:cs="Times New Roman" w:eastAsia="Times New Roman" w:hAnsi="Times New Roman"/>
          <w:sz w:val="21"/>
          <w:szCs w:val="21"/>
          <w:b w:val="1"/>
          <w:bCs w:val="1"/>
          <w:i w:val="1"/>
          <w:iCs w:val="1"/>
          <w:color w:val="auto"/>
        </w:rPr>
        <w:t>Performance RSUs</w:t>
      </w:r>
      <w:r>
        <w:rPr>
          <w:rFonts w:ascii="Times New Roman" w:cs="Times New Roman" w:eastAsia="Times New Roman" w:hAnsi="Times New Roman"/>
          <w:sz w:val="21"/>
          <w:szCs w:val="21"/>
          <w:color w:val="auto"/>
        </w:rPr>
        <w:t>”) will vest on the Certification Date (as defined below) in an amount, if any, equal to (i) the number of such Performance RSUs that are otherwise eligible to vest based on actual performance measured against the performance goals for the applicable performance period, as certified by the Compensation &amp; Management Development Committee of the Board (pursuant to the original vesting terms under which such Performance RSUs were granted, as provided in the grant notice evidencing such Performance RSUs) (the date of such certification, the “</w:t>
      </w:r>
      <w:r>
        <w:rPr>
          <w:rFonts w:ascii="Times New Roman" w:cs="Times New Roman" w:eastAsia="Times New Roman" w:hAnsi="Times New Roman"/>
          <w:sz w:val="21"/>
          <w:szCs w:val="21"/>
          <w:b w:val="1"/>
          <w:bCs w:val="1"/>
          <w:i w:val="1"/>
          <w:iCs w:val="1"/>
          <w:color w:val="auto"/>
        </w:rPr>
        <w:t>Certification Date</w:t>
      </w:r>
      <w:r>
        <w:rPr>
          <w:rFonts w:ascii="Times New Roman" w:cs="Times New Roman" w:eastAsia="Times New Roman" w:hAnsi="Times New Roman"/>
          <w:sz w:val="21"/>
          <w:szCs w:val="21"/>
          <w:color w:val="auto"/>
        </w:rPr>
        <w:t>”), multiplied by (ii) a ratio, the numerator of which is the number of calendar days during the performance period for such Performance RSUs that had elapsed prior to the Involuntary Termination and the denominator of which is the total number of calendar days in such performance period, with the resulting number rounded up to the nearest whole Performance RSU; provided, however, that if such Performance RSUs were granted to the Participant after the standard grant date for such Performance RSUs (as determined by the Plan Administrator), then for purposes of the foregoing ratio, the term “performance period” will mean the period commencing on the date such Performance RSUs were granted to the Participant and ending on the last day of the performance period.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 clarity, all equity awards held by the Participant with respect to the Company’s ordinary shares or rights therein that are not Time-Based RSUs or Performance RSUs granted within the twelve (12) month period prior to the Involuntary Termination (including restricted stock units, stock options, stock appreciation rights, or similar rights with respect to the Company’s ordinary shares) shall continue to be governed by their terms and shall not be altered as a result of this Plan.</w:t>
      </w:r>
    </w:p>
    <w:p>
      <w:pPr>
        <w:spacing w:after="0" w:line="145" w:lineRule="exact"/>
        <w:rPr>
          <w:sz w:val="20"/>
          <w:szCs w:val="20"/>
          <w:color w:val="auto"/>
        </w:rPr>
      </w:pPr>
    </w:p>
    <w:p>
      <w:pPr>
        <w:jc w:val="both"/>
        <w:ind w:firstLine="656"/>
        <w:spacing w:after="0" w:line="221" w:lineRule="auto"/>
        <w:tabs>
          <w:tab w:leader="none" w:pos="129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Outplacement Services</w:t>
      </w:r>
      <w:r>
        <w:rPr>
          <w:rFonts w:ascii="Times New Roman" w:cs="Times New Roman" w:eastAsia="Times New Roman" w:hAnsi="Times New Roman"/>
          <w:sz w:val="22"/>
          <w:szCs w:val="22"/>
          <w:color w:val="auto"/>
        </w:rPr>
        <w:t>. Following the Involuntary Termination, the Company shall provide the Participant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outplacement services through an agency selected by the Company in its sole discretion and commensurate with the Participant’s position until the earlier of (A) the date twelve (12) months following the Involuntary Termination and (B) the Participant’s acceptance of an offer of full-time employment from a subsequent employer.</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3"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Employee Benefits</w:t>
      </w:r>
      <w:r>
        <w:rPr>
          <w:rFonts w:ascii="Times New Roman" w:cs="Times New Roman" w:eastAsia="Times New Roman" w:hAnsi="Times New Roman"/>
          <w:sz w:val="22"/>
          <w:szCs w:val="22"/>
          <w:color w:val="auto"/>
        </w:rPr>
        <w:t>. All other benefits (such as life insurance, disability coverage and 401(k) plan coverage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applicable) provided by the Company or an Affiliate shall terminate as of the date of the Participant’s Involuntary Termination (except to the extent that a conversion privilege may be available thereunder).</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Benefits</w:t>
      </w:r>
      <w:r>
        <w:rPr>
          <w:rFonts w:ascii="Times New Roman" w:cs="Times New Roman" w:eastAsia="Times New Roman" w:hAnsi="Times New Roman"/>
          <w:sz w:val="22"/>
          <w:szCs w:val="22"/>
          <w:color w:val="auto"/>
        </w:rPr>
        <w:t>. Notwithstanding the foregoing, the Plan Administrator may, in its sole discretion,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in addition to those pursuant to Sections 4(a), 4(b), 4(c) and 4(d) to one or more Participants chosen by the Plan Administrator, in its sole discretion, and the provision of any such benefits to a Participant shall in no way obligate the Company to provide such benefits to any other Participant, even if similarly situated.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01" w:name="page102"/>
    <w:bookmarkEnd w:id="101"/>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LIMITATIONS ON BENEFITS.</w:t>
      </w:r>
    </w:p>
    <w:p>
      <w:pPr>
        <w:spacing w:after="0" w:line="179" w:lineRule="exact"/>
        <w:rPr>
          <w:sz w:val="20"/>
          <w:szCs w:val="20"/>
          <w:color w:val="auto"/>
        </w:rPr>
      </w:pPr>
    </w:p>
    <w:p>
      <w:pPr>
        <w:jc w:val="both"/>
        <w:ind w:firstLine="656"/>
        <w:spacing w:after="0" w:line="212" w:lineRule="auto"/>
        <w:tabs>
          <w:tab w:leader="none" w:pos="1291" w:val="left"/>
        </w:tabs>
        <w:numPr>
          <w:ilvl w:val="1"/>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In order to be eligible to receive benefits under the Plan, a Participant must (i) execute and return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within the applicable time period set forth therein a general waiver and release of all known and unknown claims (a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which for US Participants shall be in the substantial form as attached hereto as EXHIBIT A, EXHIBIT B, or EXHIBIT C, as appropriate, and for Participants outside the US shall be in the form provided by the Company pursuant to applicable law, and (ii) not revoke the Release within the revocation period (if any) set forth therein; provided, however, that in no event may the applicable time period or revocation period extend beyond sixty (60) days following the date of the Participant’s Involuntary Termination. The Plan Administrator, in its sole discretion, may modify the form of the Release to comply with applicable law and shall determine the form of the Release, which may be incorporated into a separation agreement, settlement agreement, compromise agreement, or other agreement with the Participant.</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7" w:lineRule="auto"/>
        <w:tabs>
          <w:tab w:leader="none" w:pos="1290" w:val="left"/>
        </w:tabs>
        <w:numPr>
          <w:ilvl w:val="1"/>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Certain Reductions</w:t>
      </w:r>
      <w:r>
        <w:rPr>
          <w:rFonts w:ascii="Times New Roman" w:cs="Times New Roman" w:eastAsia="Times New Roman" w:hAnsi="Times New Roman"/>
          <w:sz w:val="21"/>
          <w:szCs w:val="21"/>
          <w:color w:val="auto"/>
        </w:rPr>
        <w:t>. The Plan Administrator, in its sole discretion, shall have the authority to reduce or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adjust a Participant’s benefits under the Plan, in whole or in part, by any other severance benefits, or other similar benefits payable to the Participant by the Company or an Affiliate that become payable in connection with the Participant’s termination of employment with the Company or an Affiliate pursuant to (i) any applicable legal requirement, including, without limitation, the Worker Adjustment and Retraining Notification Act (the “</w:t>
      </w:r>
      <w:r>
        <w:rPr>
          <w:rFonts w:ascii="Times New Roman" w:cs="Times New Roman" w:eastAsia="Times New Roman" w:hAnsi="Times New Roman"/>
          <w:sz w:val="21"/>
          <w:szCs w:val="21"/>
          <w:b w:val="1"/>
          <w:bCs w:val="1"/>
          <w:i w:val="1"/>
          <w:iCs w:val="1"/>
          <w:color w:val="auto"/>
        </w:rPr>
        <w:t>WARN Act</w:t>
      </w:r>
      <w:r>
        <w:rPr>
          <w:rFonts w:ascii="Times New Roman" w:cs="Times New Roman" w:eastAsia="Times New Roman" w:hAnsi="Times New Roman"/>
          <w:sz w:val="21"/>
          <w:szCs w:val="21"/>
          <w:color w:val="auto"/>
        </w:rPr>
        <w:t>”), the California Plant Closing Act, statutory redundancy pay, or any other similar applicable local law, (ii) any period of non-working leave (including but not limited to “garden leave”) that runs concurrently with and counts toward the Participant’s contractual notice period, if any, (iii) any policy or practice of the Company or an Affiliate providing for the Participant to remain on payroll for a limited period of time after being given notice of the termination of the Participant’s employment, or (iv) any agreement between the Participant and the Company or an Affiliate, or any plan maintained by the Company or an Affiliate. The benefits provided under this Plan are intended to satisfy, in whole or in part, any and all statutory or contractual obligations of the Company and its Affiliates that may arise out of a Participant’s termination of employment, and the Plan Administrator shall so construe and implement the terms of the Plan. Any reductions that the Company determines to make pursuant to this Section 5(b) shall be made such that any benefit under the Plan shall be reduced solely by any similar type of benefit (i.e., any cash severance benefits under the Plan shall be reduced by pay received by the Participant during non-working leave periods or any cash severance or redundancy pay provided under any applicable legal requirement, contract, policy or practice, and any continued health insurance benefits under the Plan shall be reduced solely by any continued health insurance benefits during non-working leave periods or under any applicable legal requirement, contract, policy or practice). The Plan Administrator’s decision to apply such reductions to the benefits of one Participant under the Plan and the amount of such reductions shall in no way obligate the Plan Administrator to apply the same reductions in the same amounts to the benefits of any other Participant under the Plan, even if similarly situated. In the Plan Administrator’s sole discretion, such reductions may be applied on a retroactive basis, with benefits previously paid being re-characterized as payments or other benefits pursuant to the Company’s or an Affiliate’s contractual, statutory or other obligations.</w:t>
      </w:r>
    </w:p>
    <w:p>
      <w:pPr>
        <w:spacing w:after="0" w:line="164"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1"/>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 Participants Only: Parachute Payments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26" w:lineRule="auto"/>
        <w:tabs>
          <w:tab w:leader="none" w:pos="1932" w:val="left"/>
        </w:tabs>
        <w:numPr>
          <w:ilvl w:val="2"/>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Except as otherwise provided in a written agreement between a Participant and the Company or an Affiliate, if any payment or benefit a Participant will or may receive from the Company or otherwise (a “</w:t>
      </w:r>
      <w:r>
        <w:rPr>
          <w:rFonts w:ascii="Times New Roman" w:cs="Times New Roman" w:eastAsia="Times New Roman" w:hAnsi="Times New Roman"/>
          <w:sz w:val="21"/>
          <w:szCs w:val="21"/>
          <w:b w:val="1"/>
          <w:bCs w:val="1"/>
          <w:i w:val="1"/>
          <w:iCs w:val="1"/>
          <w:color w:val="auto"/>
        </w:rPr>
        <w:t>280G Payment</w:t>
      </w:r>
      <w:r>
        <w:rPr>
          <w:rFonts w:ascii="Times New Roman" w:cs="Times New Roman" w:eastAsia="Times New Roman" w:hAnsi="Times New Roman"/>
          <w:sz w:val="21"/>
          <w:szCs w:val="21"/>
          <w:color w:val="auto"/>
        </w:rPr>
        <w:t>”) would</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18" w:lineRule="auto"/>
        <w:tabs>
          <w:tab w:leader="none" w:pos="26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any such 280G Payment pursuant to this Plan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shall be equal to the Reduced Amount.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1" w:right="339" w:bottom="1440" w:gutter="0" w:footer="0" w:header="0"/>
        </w:sectPr>
      </w:pPr>
    </w:p>
    <w:bookmarkStart w:id="102" w:name="page103"/>
    <w:bookmarkEnd w:id="102"/>
    <w:p>
      <w:pPr>
        <w:jc w:val="both"/>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Reduced Amount</w:t>
      </w:r>
      <w:r>
        <w:rPr>
          <w:rFonts w:ascii="Times New Roman" w:cs="Times New Roman" w:eastAsia="Times New Roman" w:hAnsi="Times New Roman"/>
          <w:sz w:val="22"/>
          <w:szCs w:val="22"/>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Participant’s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2"/>
          <w:szCs w:val="22"/>
          <w:b w:val="1"/>
          <w:bCs w:val="1"/>
          <w:i w:val="1"/>
          <w:iCs w:val="1"/>
          <w:color w:val="auto"/>
        </w:rPr>
        <w:t>Reduction Method</w:t>
      </w:r>
      <w:r>
        <w:rPr>
          <w:rFonts w:ascii="Times New Roman" w:cs="Times New Roman" w:eastAsia="Times New Roman" w:hAnsi="Times New Roman"/>
          <w:sz w:val="22"/>
          <w:szCs w:val="22"/>
          <w:color w:val="auto"/>
        </w:rPr>
        <w:t>”) that results in the greatest economic benefit for the Participant. If more than one method of reduction will result in the same economic benefit, the items so reduced will be reduced pro rata (the “</w:t>
      </w:r>
      <w:r>
        <w:rPr>
          <w:rFonts w:ascii="Times New Roman" w:cs="Times New Roman" w:eastAsia="Times New Roman" w:hAnsi="Times New Roman"/>
          <w:sz w:val="22"/>
          <w:szCs w:val="22"/>
          <w:b w:val="1"/>
          <w:bCs w:val="1"/>
          <w:i w:val="1"/>
          <w:iCs w:val="1"/>
          <w:color w:val="auto"/>
        </w:rPr>
        <w:t>Pro Rata Reduction Method</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Notwithstanding any provision of Section 5(c)(i) to the contrary, if the Reduction Method or the Pro Rata Reduction Method would result in any portion of the Payment being subject to taxes pursuant to Section 409A of the Code and the regulations and other guidance thereunder and any state law of similar effect (collectively,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Participant as determined on an after-tax basis;</w:t>
      </w:r>
    </w:p>
    <w:p>
      <w:pPr>
        <w:spacing w:after="0" w:line="1" w:lineRule="exact"/>
        <w:rPr>
          <w:sz w:val="20"/>
          <w:szCs w:val="20"/>
          <w:color w:val="auto"/>
        </w:rPr>
      </w:pPr>
    </w:p>
    <w:p>
      <w:pPr>
        <w:jc w:val="both"/>
        <w:ind w:firstLine="8"/>
        <w:spacing w:after="0" w:line="249" w:lineRule="auto"/>
        <w:tabs>
          <w:tab w:leader="none" w:pos="34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54"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8" w:val="left"/>
        </w:tabs>
        <w:numPr>
          <w:ilvl w:val="1"/>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event,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 The Company shall use commercially reasonable efforts to cause the independent registered public accounting firm engaged to make the determinations hereunder to provide its calculations, together with detailed supporting documentation, to the Company and the Participant within thirty (30) calendar days after the date on which the Participant’s right to a 280G Payment becomes reasonably likely to occur (if requested at that time by the Company or the Participant) or such other time as requested by the Company or the Participant.</w:t>
      </w:r>
    </w:p>
    <w:p>
      <w:pPr>
        <w:spacing w:after="0" w:line="152" w:lineRule="exact"/>
        <w:rPr>
          <w:rFonts w:ascii="Times New Roman" w:cs="Times New Roman" w:eastAsia="Times New Roman" w:hAnsi="Times New Roman"/>
          <w:sz w:val="21"/>
          <w:szCs w:val="21"/>
          <w:b w:val="1"/>
          <w:bCs w:val="1"/>
          <w:color w:val="auto"/>
        </w:rPr>
      </w:pPr>
    </w:p>
    <w:p>
      <w:pPr>
        <w:jc w:val="both"/>
        <w:ind w:firstLine="1304"/>
        <w:spacing w:after="0" w:line="215" w:lineRule="auto"/>
        <w:tabs>
          <w:tab w:leader="none" w:pos="1944" w:val="left"/>
        </w:tabs>
        <w:numPr>
          <w:ilvl w:val="1"/>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Participant receives a Payment for which the Reduced Amount was determined pursuant to clause (x) of Section 5(c)(i) and the Internal Revenue Service determines thereafter that some portion of the Payment is subject to the Excise Tax, the Participant agrees to promptly return to the Company a sufficient amount of the Payment (after reduction pursuant to clause (x) of Section 5(c)(i)) so that no portion of the remaining Payment is subject to the Excise Tax. For the avoidance of doubt, if the Reduced Amount was determined pursuant to clause (y) of Section 5(c)(i), the Participant shall have no obligation to return any portion of the Payment pursuant to the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89" w:right="339" w:bottom="1440" w:gutter="0" w:footer="0" w:header="0"/>
        </w:sectPr>
      </w:pPr>
    </w:p>
    <w:bookmarkStart w:id="103" w:name="page104"/>
    <w:bookmarkEnd w:id="103"/>
    <w:p>
      <w:pPr>
        <w:jc w:val="both"/>
        <w:ind w:firstLine="656"/>
        <w:spacing w:after="0" w:line="218" w:lineRule="auto"/>
        <w:tabs>
          <w:tab w:leader="none" w:pos="129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Mitigation</w:t>
      </w:r>
      <w:r>
        <w:rPr>
          <w:rFonts w:ascii="Times New Roman" w:cs="Times New Roman" w:eastAsia="Times New Roman" w:hAnsi="Times New Roman"/>
          <w:sz w:val="22"/>
          <w:szCs w:val="22"/>
          <w:color w:val="auto"/>
        </w:rPr>
        <w:t>. Except as otherwise specifically provided herein, a Participant shall not be required to mitigate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damages or the amount of any payment provided under this Plan by seeking other employment or otherwise, nor shall the amount of any payment provided for under this Plan be reduced by any compensation earned by a Participant as a result of employment by another employer or any retirement benefits received by the Participant after the date of the Participant’s Involuntary Termination, except for health continuation coverage provided pursuant to Section 4(b).</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16" w:lineRule="auto"/>
        <w:tabs>
          <w:tab w:leader="none" w:pos="1293"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Non-Duplication of Benefits</w:t>
      </w:r>
      <w:r>
        <w:rPr>
          <w:rFonts w:ascii="Times New Roman" w:cs="Times New Roman" w:eastAsia="Times New Roman" w:hAnsi="Times New Roman"/>
          <w:sz w:val="22"/>
          <w:szCs w:val="22"/>
          <w:color w:val="auto"/>
        </w:rPr>
        <w:t>. Except as otherwise specifically provided for herein, no Participant is eligible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benefits under this Plan or pursuant to other contractual obligations more than one time. This Plan is designed to provide certain severance benefits to Participants pursuant to the terms and conditions set forth in this Plan. The payments pursuant to this Plan are in addition to, and not in lieu of, any unpaid salary, bonuses, incentive compensation or benefits to which a Participant may be entitled for the period ending with the date of the Participant’s Involuntary Termination, save insofar as those sums are deducted from the benefits paid under this Plan pursuant to Section 5(b) above.</w:t>
      </w:r>
    </w:p>
    <w:p>
      <w:pPr>
        <w:spacing w:after="0" w:line="1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TIME OF PAYMENT AND FORM OF BENEFITS.</w:t>
      </w:r>
    </w:p>
    <w:p>
      <w:pPr>
        <w:spacing w:after="0" w:line="179" w:lineRule="exact"/>
        <w:rPr>
          <w:sz w:val="20"/>
          <w:szCs w:val="20"/>
          <w:color w:val="auto"/>
        </w:rPr>
      </w:pPr>
    </w:p>
    <w:p>
      <w:pPr>
        <w:ind w:firstLine="656"/>
        <w:spacing w:after="0" w:line="238" w:lineRule="auto"/>
        <w:tabs>
          <w:tab w:leader="none" w:pos="1291"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Rules</w:t>
      </w:r>
      <w:r>
        <w:rPr>
          <w:rFonts w:ascii="Times New Roman" w:cs="Times New Roman" w:eastAsia="Times New Roman" w:hAnsi="Times New Roman"/>
          <w:sz w:val="22"/>
          <w:szCs w:val="22"/>
          <w:color w:val="auto"/>
        </w:rPr>
        <w:t>. Except as otherwise set forth in the Plan, in the event of a Participant’s Involuntary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under the Plan shall be paid to the Participant in accordance with the following:</w:t>
      </w:r>
    </w:p>
    <w:p>
      <w:pPr>
        <w:spacing w:after="0" w:line="150"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32" w:val="left"/>
        </w:tabs>
        <w:numPr>
          <w:ilvl w:val="1"/>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cash severance payment under the Plan shall be paid to the Participant in a single lump sum payment on the sixtieth (60th) day following the date of the Participant’s Involuntary Termination.</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28" w:lineRule="auto"/>
        <w:tabs>
          <w:tab w:leader="none" w:pos="1938" w:val="left"/>
        </w:tabs>
        <w:numPr>
          <w:ilvl w:val="1"/>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For US Participants only: </w:t>
      </w:r>
      <w:r>
        <w:rPr>
          <w:rFonts w:ascii="Times New Roman" w:cs="Times New Roman" w:eastAsia="Times New Roman" w:hAnsi="Times New Roman"/>
          <w:sz w:val="21"/>
          <w:szCs w:val="21"/>
          <w:color w:val="auto"/>
        </w:rPr>
        <w:t>Any COBRA premium payments under the Plan shall be paid on a monthly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basis during the COBRA Payment Period; provided, however, that the first such payment shall be paid on the sixtieth (60th) day following the date of the Participant’s Involuntary Termination, in an amount equal to the aggregate amount of COBRA premium payments that the Company would have paid through such sixtieth (60th) day had such payments commenced on the date of the Participant’s Involuntary Termination, with the balance of such payments paid thereafter on the foregoing monthly schedule.</w:t>
      </w:r>
    </w:p>
    <w:p>
      <w:pPr>
        <w:spacing w:after="0" w:line="148" w:lineRule="exact"/>
        <w:rPr>
          <w:rFonts w:ascii="Times New Roman" w:cs="Times New Roman" w:eastAsia="Times New Roman" w:hAnsi="Times New Roman"/>
          <w:sz w:val="21"/>
          <w:szCs w:val="21"/>
          <w:b w:val="1"/>
          <w:bCs w:val="1"/>
          <w:color w:val="auto"/>
        </w:rPr>
      </w:pPr>
    </w:p>
    <w:p>
      <w:pPr>
        <w:jc w:val="both"/>
        <w:ind w:firstLine="1304"/>
        <w:spacing w:after="0" w:line="218" w:lineRule="auto"/>
        <w:tabs>
          <w:tab w:leader="none" w:pos="1944" w:val="left"/>
        </w:tabs>
        <w:numPr>
          <w:ilvl w:val="1"/>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For US Participants only: </w:t>
      </w:r>
      <w:r>
        <w:rPr>
          <w:rFonts w:ascii="Times New Roman" w:cs="Times New Roman" w:eastAsia="Times New Roman" w:hAnsi="Times New Roman"/>
          <w:sz w:val="22"/>
          <w:szCs w:val="22"/>
          <w:color w:val="auto"/>
        </w:rPr>
        <w:t>Any Special Severance Payments, if applicable, under the Plan shall be paid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monthly basis in accordance with Section 4(b)(v); provided, however, that if any Special Severance Payment(s) is payable with respect to the first sixty (60) days following the date of the Participant’s Involuntary Termination, such Special Severance Payment(s) shall be paid on the sixtieth (60th) day following the date of the Participant’s Involuntary Termination, with the balance of such payments paid thereafter on the foregoing monthly schedule.</w:t>
      </w:r>
    </w:p>
    <w:p>
      <w:pPr>
        <w:spacing w:after="0" w:line="151" w:lineRule="exact"/>
        <w:rPr>
          <w:rFonts w:ascii="Times New Roman" w:cs="Times New Roman" w:eastAsia="Times New Roman" w:hAnsi="Times New Roman"/>
          <w:sz w:val="22"/>
          <w:szCs w:val="22"/>
          <w:b w:val="1"/>
          <w:bCs w:val="1"/>
          <w:color w:val="auto"/>
        </w:rPr>
      </w:pPr>
    </w:p>
    <w:p>
      <w:pPr>
        <w:jc w:val="both"/>
        <w:ind w:firstLine="1304"/>
        <w:spacing w:after="0" w:line="211" w:lineRule="auto"/>
        <w:tabs>
          <w:tab w:leader="none" w:pos="1932" w:val="left"/>
        </w:tabs>
        <w:numPr>
          <w:ilvl w:val="1"/>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ordinary shares of the Company subject to any Time-Based RSUs or Performance RSUs that vest following a Participant’s Involuntary Termination as a result of Section 4(c) above shall be issued in accordance with the following: (A) any such ordinary shares subject to any such Time-Based RSUs or Performance RSUs granted before the Effective Date will be issued on the same schedule as set forth in the applicable award agreement as if they had vested in the ordinary course in accordance with such agreement; (B) any such ordinary shares subject to any such Time-Based RSUs granted on or after the Effective Date will be issued within sixty (60) days following the applicable vesting date; and (C) any such ordinary shares subject to any such Performance RSUs granted on or after the Effective Date will be issued in the calendar year following the last day of the applicable performance period, but not prior to the Certification Date or the sixtieth (60th) day following the date of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104" w:name="page105"/>
    <w:bookmarkEnd w:id="104"/>
    <w:p>
      <w:pPr>
        <w:jc w:val="both"/>
        <w:spacing w:after="0" w:line="225" w:lineRule="auto"/>
        <w:rPr>
          <w:sz w:val="20"/>
          <w:szCs w:val="20"/>
          <w:color w:val="auto"/>
        </w:rPr>
      </w:pPr>
      <w:r>
        <w:rPr>
          <w:rFonts w:ascii="Times New Roman" w:cs="Times New Roman" w:eastAsia="Times New Roman" w:hAnsi="Times New Roman"/>
          <w:sz w:val="22"/>
          <w:szCs w:val="22"/>
          <w:color w:val="auto"/>
        </w:rPr>
        <w:t>Involuntary Termination; provided, however, that no provision in the Plan shall affect any provision in any applicable equity incentive plan of the Company or any agreement evidencing an equity award that provides for the acceleration of vesting (and exercisability, if applicable) of such equity award.</w:t>
      </w:r>
    </w:p>
    <w:p>
      <w:pPr>
        <w:spacing w:after="0" w:line="148" w:lineRule="exact"/>
        <w:rPr>
          <w:sz w:val="20"/>
          <w:szCs w:val="20"/>
          <w:color w:val="auto"/>
        </w:rPr>
      </w:pPr>
    </w:p>
    <w:p>
      <w:pPr>
        <w:jc w:val="both"/>
        <w:ind w:firstLine="1304"/>
        <w:spacing w:after="0" w:line="228" w:lineRule="auto"/>
        <w:tabs>
          <w:tab w:leader="none" w:pos="1939" w:val="left"/>
        </w:tabs>
        <w:numPr>
          <w:ilvl w:val="1"/>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For US Participants only: </w:t>
      </w:r>
      <w:r>
        <w:rPr>
          <w:rFonts w:ascii="Times New Roman" w:cs="Times New Roman" w:eastAsia="Times New Roman" w:hAnsi="Times New Roman"/>
          <w:sz w:val="21"/>
          <w:szCs w:val="21"/>
          <w:color w:val="auto"/>
        </w:rPr>
        <w:t>In no event shall payment of any benefit under the Plan be made unless (A)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 Participant’s Involuntary Termination constitutes a “separation from service” (as defined in Treasury Regulation Section 1.409A-1(h) without regard to any alternative definition thereunder (“</w:t>
      </w:r>
      <w:r>
        <w:rPr>
          <w:rFonts w:ascii="Times New Roman" w:cs="Times New Roman" w:eastAsia="Times New Roman" w:hAnsi="Times New Roman"/>
          <w:sz w:val="21"/>
          <w:szCs w:val="21"/>
          <w:b w:val="1"/>
          <w:bCs w:val="1"/>
          <w:i w:val="1"/>
          <w:iCs w:val="1"/>
          <w:color w:val="auto"/>
        </w:rPr>
        <w:t>Separation from Service</w:t>
      </w:r>
      <w:r>
        <w:rPr>
          <w:rFonts w:ascii="Times New Roman" w:cs="Times New Roman" w:eastAsia="Times New Roman" w:hAnsi="Times New Roman"/>
          <w:sz w:val="21"/>
          <w:szCs w:val="21"/>
          <w:color w:val="auto"/>
        </w:rPr>
        <w:t>”)) and (B) the US Participant has executed and returned a Release and the revocation period (if any) with respect to such Release has expired in accordance with Section 5(a) prior to the sixtieth (60th) day following the date of the US Participant’s Involuntary Termination.</w:t>
      </w:r>
    </w:p>
    <w:p>
      <w:pPr>
        <w:spacing w:after="0" w:line="148" w:lineRule="exact"/>
        <w:rPr>
          <w:rFonts w:ascii="Times New Roman" w:cs="Times New Roman" w:eastAsia="Times New Roman" w:hAnsi="Times New Roman"/>
          <w:sz w:val="21"/>
          <w:szCs w:val="21"/>
          <w:b w:val="1"/>
          <w:bCs w:val="1"/>
          <w:color w:val="auto"/>
        </w:rPr>
      </w:pPr>
    </w:p>
    <w:p>
      <w:pPr>
        <w:jc w:val="both"/>
        <w:ind w:firstLine="656"/>
        <w:spacing w:after="0" w:line="208" w:lineRule="auto"/>
        <w:tabs>
          <w:tab w:leader="none" w:pos="129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Applicable for US Participants only: Application of Section 409A</w:t>
      </w:r>
      <w:r>
        <w:rPr>
          <w:rFonts w:ascii="Times New Roman" w:cs="Times New Roman" w:eastAsia="Times New Roman" w:hAnsi="Times New Roman"/>
          <w:sz w:val="22"/>
          <w:szCs w:val="22"/>
          <w:color w:val="auto"/>
        </w:rPr>
        <w:t>. It is intended that all of the benefits payable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US Participants under this Plan satisfy, to the greatest extent possible, the exemptions from the application of Section 409A provided under Treasury Regulations 1.409A-1(b)(4) and 1.409A-1(b)(9), and that this Plan will be construed to the greatest extent possible as consistent with those provisions, and to the extent not so exempt, this Plan (and any definitions hereunder) will be construed in a manner that complies with Section 409A. For purposes of Section 409A (including, without limitation, for purposes of Treasury Regulation Section 1.409A-2(b)(2)(iii)), a US Participant’s right to receive any installment payments under this Plan (whether severance payments, reimbursements or otherwise) shall be treated as a right to receive a series of separate payments and, accordingly, each installment payment hereunder shall at all times be considered a separate and distinct payment. Notwithstanding anything to the contrary herein, if the Plan Administrator determines that a US Participant is, upon his or her Separation from Service, a “specified employee” for purposes of Section 409A, then, solely to the extent necessary to avoid adverse personal tax consequences under Section 409A, (i) the commencement of any benefit payments under the Plan shall be delayed until the earlier of (A) six (6) months and one (1) day after the US Participant’s Separation from Service (or such longer period as is required under Section 409A) and (B) the date of the US Participant’s death (such applicable date, the “</w:t>
      </w:r>
      <w:r>
        <w:rPr>
          <w:rFonts w:ascii="Times New Roman" w:cs="Times New Roman" w:eastAsia="Times New Roman" w:hAnsi="Times New Roman"/>
          <w:sz w:val="22"/>
          <w:szCs w:val="22"/>
          <w:b w:val="1"/>
          <w:bCs w:val="1"/>
          <w:i w:val="1"/>
          <w:iCs w:val="1"/>
          <w:color w:val="auto"/>
        </w:rPr>
        <w:t>Delayed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Initial Payment Date</w:t>
      </w:r>
      <w:r>
        <w:rPr>
          <w:rFonts w:ascii="Times New Roman" w:cs="Times New Roman" w:eastAsia="Times New Roman" w:hAnsi="Times New Roman"/>
          <w:sz w:val="22"/>
          <w:szCs w:val="22"/>
          <w:color w:val="auto"/>
        </w:rPr>
        <w:t>”), and (ii) the Company shall (A) pay the US Participant a lump sum amount equal to the sum of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benefit payments that the US Participant otherwise would have received through the Delayed Initial Payment Date if the commencement of such benefit payments had not been delayed pursuant to this paragraph and (B) commence paying the balance, if any, of such benefit payments in accordance with the applicable payment schedule.</w:t>
      </w:r>
    </w:p>
    <w:p>
      <w:pPr>
        <w:spacing w:after="0" w:line="160" w:lineRule="exact"/>
        <w:rPr>
          <w:rFonts w:ascii="Times New Roman" w:cs="Times New Roman" w:eastAsia="Times New Roman" w:hAnsi="Times New Roman"/>
          <w:sz w:val="22"/>
          <w:szCs w:val="22"/>
          <w:b w:val="1"/>
          <w:bCs w:val="1"/>
          <w:color w:val="auto"/>
        </w:rPr>
      </w:pPr>
    </w:p>
    <w:p>
      <w:pPr>
        <w:jc w:val="both"/>
        <w:ind w:firstLine="656"/>
        <w:spacing w:after="0" w:line="216" w:lineRule="auto"/>
        <w:tabs>
          <w:tab w:leader="none" w:pos="1293"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 of Section 252 and 253 of the Companies Act</w:t>
      </w:r>
      <w:r>
        <w:rPr>
          <w:rFonts w:ascii="Times New Roman" w:cs="Times New Roman" w:eastAsia="Times New Roman" w:hAnsi="Times New Roman"/>
          <w:sz w:val="22"/>
          <w:szCs w:val="22"/>
          <w:color w:val="auto"/>
        </w:rPr>
        <w:t>. This Plan is entered into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in the ordinary course of their employment. It is not intended to provide for any payment by way of compensation for loss of office or consideration for or in connection with the retirement from office of a director of the Company in connection with the transfer of the whole or any part of the undertaking or property of the Company within the meaning of Section 252 of the Companies Act nor to provide for a payment giving rise to a duty of a director of the Company pursuant to Section 253 of the Companies Act.</w:t>
      </w:r>
    </w:p>
    <w:p>
      <w:pPr>
        <w:spacing w:after="0" w:line="145"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All payments under the Plan will be subject to all applicable tax withholding obligations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any Affiliate, including, without limitation, obligations to withhold for income and employment taxes under applicable local law, including applicable federal, state and local laws.</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3"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Indebtedness of Participants</w:t>
      </w:r>
      <w:r>
        <w:rPr>
          <w:rFonts w:ascii="Times New Roman" w:cs="Times New Roman" w:eastAsia="Times New Roman" w:hAnsi="Times New Roman"/>
          <w:sz w:val="22"/>
          <w:szCs w:val="22"/>
          <w:color w:val="auto"/>
        </w:rPr>
        <w:t>. If a Participant is indebted to the Company or an Affiliate on the date of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Involuntary Termination, the Plan Administrator reserves the right to offset any severance payments under the Plan by the amount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05" w:name="page106"/>
    <w:bookmarkEnd w:id="105"/>
    <w:p>
      <w:pPr>
        <w:ind w:left="1300" w:hanging="644"/>
        <w:spacing w:after="0"/>
        <w:tabs>
          <w:tab w:leader="none" w:pos="130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 Recoupment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32"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payments and benefits under the Plan will be subject to recoupment in accordance with the Company’s Incentive Compensation Recoupment Policy,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other clawback policy that the Company adopts.</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8"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may, in its sole discretion and to the extent permissible by applicable law, seek recoupment of payments and/or benefits paid (or payable) under the Plan if it is determined by the Company, in its sole discretion, that the payments and/or benefits (or a portion thereof) would not have been paid (or become payable) absent an error or violation of Company policy (and/or of an Affiliate) including (a “</w:t>
      </w:r>
      <w:r>
        <w:rPr>
          <w:rFonts w:ascii="Times New Roman" w:cs="Times New Roman" w:eastAsia="Times New Roman" w:hAnsi="Times New Roman"/>
          <w:sz w:val="22"/>
          <w:szCs w:val="22"/>
          <w:b w:val="1"/>
          <w:bCs w:val="1"/>
          <w:i w:val="1"/>
          <w:iCs w:val="1"/>
          <w:color w:val="auto"/>
        </w:rPr>
        <w:t>Recoupment Event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 Recoupment Event may be triggered by any of the following, provided that the applicable conduct or event relates directly to the Company and/or an Affiliate: (i) compliance violations (such as breaches of regulatory requirements, including the improper promotion of drugs for off-label uses or other violations of the Company’s policies regarding prohibited sales tactics, failure to report adverse events, or other violations of laws and regulations governing the pharmaceutical industry); (ii) financial misconduct (such as fraudulent activities, accounting irregularities, or misrepresentations of financial performance, including excessive selling into the channel); (iii) ethical breaches (such as bribery or violations of corruption laws and policies, including but not limited to the Foreign Corrupt Practices Act, Anti-Kickback Statute, or conflicts of interest, or other substantiated violations of the Company’s Code of Conduct or violations of the Company’s mission, values, or compliance policies or principles; or (iv) quality control failures in the distribution of substandard or unsafe Company products, leading to financial losses or damage to the Company’s reputation.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Such recoupment shall be made without regard to any individual knowledge or responsibility related to the Recoupment Event, and regardless of whether the Participant’s misconduct or other action or omission was the cause for such Recoupment Event. Additionally, the amount subject to recoupment by the Company pursuant to this Section 6(f) will be computed without regard to any taxes paid (i.e., on a gross basis without regarding to tax withholdings and other deductions).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To the extent permitted by applicable law, the Company may, in its discretion, effectuate recoupment from a Participant under this Section 6(f) by: (i) direct recoupment or repayment of amounts paid or shares issuable under equity awards that vested and were issued pursuant to Section 4(c); (ii) cancelling prior cash or equity awards (whether vested or unvested and whether paid or unpaid); (iii) cancelling or offsetting against any planned future cash or equity-based awards; (iv) forfeiture of deferred compensation, subject to compliance with Section 409A of the Code; and (v) any other method authorized by applicable law or contract.</w:t>
      </w:r>
    </w:p>
    <w:p>
      <w:pPr>
        <w:spacing w:after="0" w:line="1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RIGHT TO INTERPRET PLAN; AMENDMENT AND TERMINATION.</w:t>
      </w:r>
    </w:p>
    <w:p>
      <w:pPr>
        <w:spacing w:after="0" w:line="179" w:lineRule="exact"/>
        <w:rPr>
          <w:sz w:val="20"/>
          <w:szCs w:val="20"/>
          <w:color w:val="auto"/>
        </w:rPr>
      </w:pPr>
    </w:p>
    <w:p>
      <w:pPr>
        <w:jc w:val="both"/>
        <w:ind w:firstLine="656"/>
        <w:spacing w:after="0" w:line="227" w:lineRule="auto"/>
        <w:tabs>
          <w:tab w:leader="none" w:pos="1291"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Exclusive Discretion</w:t>
      </w:r>
      <w:r>
        <w:rPr>
          <w:rFonts w:ascii="Times New Roman" w:cs="Times New Roman" w:eastAsia="Times New Roman" w:hAnsi="Times New Roman"/>
          <w:sz w:val="22"/>
          <w:szCs w:val="22"/>
          <w:color w:val="auto"/>
        </w:rPr>
        <w:t>. The Plan Administrator shall have the exclusive discretion and authority to establish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forms, and procedures for the administration of the Plan, and to construe and interpret the Plan and to decide any and all questions of fact, interpretation, definition, computation or administration arising in connection with the operation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1" w:right="339" w:bottom="1440" w:gutter="0" w:footer="0" w:header="0"/>
        </w:sectPr>
      </w:pPr>
    </w:p>
    <w:bookmarkStart w:id="106" w:name="page107"/>
    <w:bookmarkEnd w:id="106"/>
    <w:p>
      <w:pPr>
        <w:spacing w:after="0" w:line="236" w:lineRule="auto"/>
        <w:rPr>
          <w:sz w:val="20"/>
          <w:szCs w:val="20"/>
          <w:color w:val="auto"/>
        </w:rPr>
      </w:pPr>
      <w:r>
        <w:rPr>
          <w:rFonts w:ascii="Times New Roman" w:cs="Times New Roman" w:eastAsia="Times New Roman" w:hAnsi="Times New Roman"/>
          <w:sz w:val="22"/>
          <w:szCs w:val="22"/>
          <w:color w:val="auto"/>
        </w:rPr>
        <w:t>including, but not limited to, the eligibility to participate in the Plan and amount of benefits paid under the Plan. The rules, interpretations, computations and other actions of the Plan Administrator shall be binding and conclusive on all persons.</w:t>
      </w:r>
    </w:p>
    <w:p>
      <w:pPr>
        <w:spacing w:after="0" w:line="146" w:lineRule="exact"/>
        <w:rPr>
          <w:sz w:val="20"/>
          <w:szCs w:val="20"/>
          <w:color w:val="auto"/>
        </w:rPr>
      </w:pPr>
    </w:p>
    <w:p>
      <w:pPr>
        <w:jc w:val="both"/>
        <w:ind w:firstLine="656"/>
        <w:spacing w:after="0" w:line="218" w:lineRule="auto"/>
        <w:tabs>
          <w:tab w:leader="none" w:pos="129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or Termination</w:t>
      </w:r>
      <w:r>
        <w:rPr>
          <w:rFonts w:ascii="Times New Roman" w:cs="Times New Roman" w:eastAsia="Times New Roman" w:hAnsi="Times New Roman"/>
          <w:sz w:val="22"/>
          <w:szCs w:val="22"/>
          <w:color w:val="auto"/>
        </w:rPr>
        <w:t>. The Company reserves the right to amend or terminate this Plan, or the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hereunder, at any time; provided, however, that no such amendment or termination shall occur following an Involuntary Termination as to any Participant who would be adversely affected by such amendment or termination unless such Participant consents in writing to such amendment or termination. Any action amending or terminating the Plan shall be in writing and executed by a duly authorized officer of the Company.</w:t>
      </w:r>
    </w:p>
    <w:p>
      <w:pPr>
        <w:spacing w:after="0" w:line="1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NO IMPLIED RETENTION OF EMPLOYMENT.</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Plan shall not be deemed (i) to give any employee or other person any right to be retained in the employ of the Company or an Affiliate, or (ii) to interfere with the right of the Company or an Affiliate to discharge any employee or other person at any time, with or without advance notice, and with or without cause, which right is hereby reserved.</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LEGAL CONSTRUCTION.</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This Plan is intended to be governed by and shall be construed in accordance with ERISA and, to the extent not preempted by ERISA, the laws of the State of California.</w:t>
      </w:r>
    </w:p>
    <w:p>
      <w:pPr>
        <w:spacing w:after="0" w:line="1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APPLICABLE TO US PARTICIPANTS ONLY: CLAIMS, INQUIRIES AND APPEALS.</w:t>
      </w:r>
    </w:p>
    <w:p>
      <w:pPr>
        <w:spacing w:after="0" w:line="179" w:lineRule="exact"/>
        <w:rPr>
          <w:sz w:val="20"/>
          <w:szCs w:val="20"/>
          <w:color w:val="auto"/>
        </w:rPr>
      </w:pPr>
    </w:p>
    <w:p>
      <w:pPr>
        <w:jc w:val="both"/>
        <w:ind w:firstLine="656"/>
        <w:spacing w:after="0" w:line="221" w:lineRule="auto"/>
        <w:tabs>
          <w:tab w:leader="none" w:pos="1291"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Claims for Benefits and Inquiries</w:t>
      </w:r>
      <w:r>
        <w:rPr>
          <w:rFonts w:ascii="Times New Roman" w:cs="Times New Roman" w:eastAsia="Times New Roman" w:hAnsi="Times New Roman"/>
          <w:sz w:val="22"/>
          <w:szCs w:val="22"/>
          <w:color w:val="auto"/>
        </w:rPr>
        <w:t>. Any claim from US Participants for benefits, inquiries about the Plan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inquiries about present or future rights under the Plan must be submitted to the Plan Administrator in writing by a claimant (or his or her authorized representative). The Plan Administrator is set forth in Section 12(d). Certain capitalized terms used in this Section 10 are defined in Section 10(e) below.</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Denial of Claims</w:t>
      </w:r>
      <w:r>
        <w:rPr>
          <w:rFonts w:ascii="Times New Roman" w:cs="Times New Roman" w:eastAsia="Times New Roman" w:hAnsi="Times New Roman"/>
          <w:sz w:val="22"/>
          <w:szCs w:val="22"/>
          <w:color w:val="auto"/>
        </w:rPr>
        <w:t>. The Plan Administrator shall make a benefit determination and communicate its decision,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electronically or in writing, to the claimant in accordance with its claim practices, which shall comply with Department of Labor regulations.</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3" w:lineRule="auto"/>
        <w:tabs>
          <w:tab w:leader="none" w:pos="1932"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In the event that any claim for benefits is denied in whole or in part, the Plan Administrator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the claimant with Notice of the Adverse Benefit Determination within a reasonable period of time, but not later than ninety (90) days after the Plan Administrator’s receipt of the written claim for benefits, unless the Plan Administrator determines that special circumstances require an extension of time for processing the claim. If the Plan Administrator determines that an extension of time for processing is required, written Notice of the extension shall be furnished to the claimant prior to the termination of the initial ninety (90) day period. In no event shall such extension exceed a period of ninety (90) days from the end of such initial period. The extension Notice shall indicate the special circumstances requiring an extension of time and the date by which the Plan Administrator expects to render the benefit determination.</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8"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Content of Notice of Adverse Benefit Determination</w:t>
      </w:r>
      <w:r>
        <w:rPr>
          <w:rFonts w:ascii="Times New Roman" w:cs="Times New Roman" w:eastAsia="Times New Roman" w:hAnsi="Times New Roman"/>
          <w:sz w:val="22"/>
          <w:szCs w:val="22"/>
          <w:color w:val="auto"/>
        </w:rPr>
        <w:t>. The Plan Administrator shall provide the claimant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written or electronic Notification of any Adverse Benefit Determination. Any electronic Notification shall comply with the standards imposed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07" w:name="page108"/>
    <w:bookmarkEnd w:id="107"/>
    <w:p>
      <w:pPr>
        <w:spacing w:after="0" w:line="236" w:lineRule="auto"/>
        <w:rPr>
          <w:sz w:val="20"/>
          <w:szCs w:val="20"/>
          <w:color w:val="auto"/>
        </w:rPr>
      </w:pPr>
      <w:r>
        <w:rPr>
          <w:rFonts w:ascii="Times New Roman" w:cs="Times New Roman" w:eastAsia="Times New Roman" w:hAnsi="Times New Roman"/>
          <w:sz w:val="22"/>
          <w:szCs w:val="22"/>
          <w:color w:val="auto"/>
        </w:rPr>
        <w:t>Section 2520.104b-1(c)(1) of Part 29 of the Code of Federal Regulations. Any Notice of Adverse Benefit Determination shall set forth in a manner calculated to be understood by the claimant:</w:t>
      </w:r>
    </w:p>
    <w:p>
      <w:pPr>
        <w:spacing w:after="0" w:line="150" w:lineRule="exact"/>
        <w:rPr>
          <w:sz w:val="20"/>
          <w:szCs w:val="20"/>
          <w:color w:val="auto"/>
        </w:rPr>
      </w:pPr>
    </w:p>
    <w:p>
      <w:pPr>
        <w:ind w:left="2580" w:hanging="628"/>
        <w:spacing w:after="0"/>
        <w:tabs>
          <w:tab w:leader="none" w:pos="2580" w:val="left"/>
        </w:tabs>
        <w:numPr>
          <w:ilvl w:val="2"/>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specific reason or reasons for the Adverse Benefit Determination;</w:t>
      </w:r>
    </w:p>
    <w:p>
      <w:pPr>
        <w:spacing w:after="0" w:line="179"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2"/>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Reference to the specific Plan provision(s) on which the Adverse Benefit Determination is based;</w:t>
      </w:r>
    </w:p>
    <w:p>
      <w:pPr>
        <w:spacing w:after="0" w:line="179" w:lineRule="exact"/>
        <w:rPr>
          <w:rFonts w:ascii="Times New Roman" w:cs="Times New Roman" w:eastAsia="Times New Roman" w:hAnsi="Times New Roman"/>
          <w:sz w:val="22"/>
          <w:szCs w:val="22"/>
          <w:b w:val="1"/>
          <w:bCs w:val="1"/>
          <w:color w:val="auto"/>
        </w:rPr>
      </w:pPr>
    </w:p>
    <w:p>
      <w:pPr>
        <w:ind w:firstLine="1952"/>
        <w:spacing w:after="0" w:line="236" w:lineRule="auto"/>
        <w:tabs>
          <w:tab w:leader="none" w:pos="2581" w:val="left"/>
        </w:tabs>
        <w:numPr>
          <w:ilvl w:val="2"/>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 and an explanation of why such material or information is necessary; and</w:t>
      </w:r>
    </w:p>
    <w:p>
      <w:pPr>
        <w:spacing w:after="0" w:line="150" w:lineRule="exact"/>
        <w:rPr>
          <w:rFonts w:ascii="Times New Roman" w:cs="Times New Roman" w:eastAsia="Times New Roman" w:hAnsi="Times New Roman"/>
          <w:sz w:val="22"/>
          <w:szCs w:val="22"/>
          <w:b w:val="1"/>
          <w:bCs w:val="1"/>
          <w:color w:val="auto"/>
        </w:rPr>
      </w:pPr>
    </w:p>
    <w:p>
      <w:pPr>
        <w:jc w:val="both"/>
        <w:ind w:firstLine="1952"/>
        <w:spacing w:after="0" w:line="225" w:lineRule="auto"/>
        <w:tabs>
          <w:tab w:leader="none" w:pos="2581" w:val="left"/>
        </w:tabs>
        <w:numPr>
          <w:ilvl w:val="2"/>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description of the Plan’s review procedures and the time limits applicable to such procedures, including a statement of the claimant’s right to bring a civil action under Section 502(a) of ERISA following an Adverse Benefit Determination on review.</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3"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Request for a Review</w:t>
      </w:r>
      <w:r>
        <w:rPr>
          <w:rFonts w:ascii="Times New Roman" w:cs="Times New Roman" w:eastAsia="Times New Roman" w:hAnsi="Times New Roman"/>
          <w:sz w:val="22"/>
          <w:szCs w:val="22"/>
          <w:color w:val="auto"/>
        </w:rPr>
        <w:t>. Each claimant (or his or her authorized representative) shall have a reasonable opportunity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appeal an Adverse Benefit Determination to an appropriate named fiduciary for a full and fair review of the claim and the Adverse Benefit Determination.</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23" w:lineRule="auto"/>
        <w:tabs>
          <w:tab w:leader="none" w:pos="1932" w:val="left"/>
        </w:tabs>
        <w:numPr>
          <w:ilvl w:val="1"/>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In the case of a request for review, the written request for review must be furnished to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 within sixty (60) days following the claimant’s receipt of the Notice of an Adverse Benefit Determination. The claimant shall be provided with an opportunity to submit written comments, documents, records, and other information relating to the claimant’s claim for benefits. The Plan Administrator shall provide the claimant, upon request and free of charge, reasonable access to, and copies of, all Relevant Records. The Plan Administrator’s review of the claimant’s appeal shall take into account all comments, documents, records, and other information submitted by the claimant relating to the claim, without regard to whether such information was submitted or considered in the initial benefit determination. If the claimant fails to request a review within the above-stated period, the claimant shall have waived the right to a review of the denial of his or her claim.</w:t>
      </w:r>
    </w:p>
    <w:p>
      <w:pPr>
        <w:spacing w:after="0" w:line="148" w:lineRule="exact"/>
        <w:rPr>
          <w:rFonts w:ascii="Times New Roman" w:cs="Times New Roman" w:eastAsia="Times New Roman" w:hAnsi="Times New Roman"/>
          <w:sz w:val="21"/>
          <w:szCs w:val="21"/>
          <w:b w:val="1"/>
          <w:bCs w:val="1"/>
          <w:color w:val="auto"/>
        </w:rPr>
      </w:pPr>
    </w:p>
    <w:p>
      <w:pPr>
        <w:jc w:val="both"/>
        <w:ind w:firstLine="1304"/>
        <w:spacing w:after="0" w:line="213" w:lineRule="auto"/>
        <w:tabs>
          <w:tab w:leader="none" w:pos="1938"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Timing of Notice of Benefit Determination on Review</w:t>
      </w:r>
      <w:r>
        <w:rPr>
          <w:rFonts w:ascii="Times New Roman" w:cs="Times New Roman" w:eastAsia="Times New Roman" w:hAnsi="Times New Roman"/>
          <w:sz w:val="22"/>
          <w:szCs w:val="22"/>
          <w:color w:val="auto"/>
        </w:rPr>
        <w:t>. The Plan Administrator shall notify a claimant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decision on review within a reasonable period of time, but not later than sixty (60) days after the Plan Administrator’s receipt of the claimant’s request for review, unless the Plan Administrator determines that special circumstances require an extension of time for processing the claim. If the Plan Administrator determines that an extension of time for processing is required, written Notice of the extension shall be furnished to the claimant prior to the termination of the initial sixty (60) day period. In no event shall such extension exceed a period of sixty (60) days from the end of the initial sixty (60) day period. The extension Notice shall indicate the special circumstances requiring an extension of time and the date by which the Plan Administrator expects to render the determination on review.</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44"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Contents of Notice of Benefit Determination on Review</w:t>
      </w:r>
      <w:r>
        <w:rPr>
          <w:rFonts w:ascii="Times New Roman" w:cs="Times New Roman" w:eastAsia="Times New Roman" w:hAnsi="Times New Roman"/>
          <w:sz w:val="22"/>
          <w:szCs w:val="22"/>
          <w:color w:val="auto"/>
        </w:rPr>
        <w:t>. The Plan Administrator shall provide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claimant with written or electronic Notification of its benefit determination on review. Any electronic Notification shall comply with the standards imposed by Section 2520.104b-1(c)(1) of Part 29 of the Code of Federal Regulations. In the case of an Adverse Benefit Determination, the Notification shall set forth, in a manner calculated to be understood by the claimant:</w:t>
      </w:r>
    </w:p>
    <w:p>
      <w:pPr>
        <w:spacing w:after="0" w:line="152" w:lineRule="exact"/>
        <w:rPr>
          <w:rFonts w:ascii="Times New Roman" w:cs="Times New Roman" w:eastAsia="Times New Roman" w:hAnsi="Times New Roman"/>
          <w:sz w:val="22"/>
          <w:szCs w:val="22"/>
          <w:b w:val="1"/>
          <w:bCs w:val="1"/>
          <w:color w:val="auto"/>
        </w:rPr>
      </w:pPr>
    </w:p>
    <w:p>
      <w:pPr>
        <w:ind w:left="2580" w:hanging="628"/>
        <w:spacing w:after="0"/>
        <w:tabs>
          <w:tab w:leader="none" w:pos="2580" w:val="left"/>
        </w:tabs>
        <w:numPr>
          <w:ilvl w:val="2"/>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specific reason or reasons for the Adverse Benefit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108" w:name="page109"/>
    <w:bookmarkEnd w:id="108"/>
    <w:p>
      <w:pPr>
        <w:ind w:left="2600" w:hanging="648"/>
        <w:spacing w:after="0"/>
        <w:tabs>
          <w:tab w:leader="none" w:pos="2600" w:val="left"/>
        </w:tabs>
        <w:numPr>
          <w:ilvl w:val="2"/>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Reference to the specific Plan provision(s) on which the benefit determination is based;</w:t>
      </w:r>
    </w:p>
    <w:p>
      <w:pPr>
        <w:spacing w:after="0" w:line="179" w:lineRule="exact"/>
        <w:rPr>
          <w:rFonts w:ascii="Times New Roman" w:cs="Times New Roman" w:eastAsia="Times New Roman" w:hAnsi="Times New Roman"/>
          <w:sz w:val="22"/>
          <w:szCs w:val="22"/>
          <w:b w:val="1"/>
          <w:bCs w:val="1"/>
          <w:color w:val="auto"/>
        </w:rPr>
      </w:pPr>
    </w:p>
    <w:p>
      <w:pPr>
        <w:ind w:right="20" w:firstLine="1952"/>
        <w:spacing w:after="0" w:line="236" w:lineRule="auto"/>
        <w:tabs>
          <w:tab w:leader="none" w:pos="2581" w:val="left"/>
        </w:tabs>
        <w:numPr>
          <w:ilvl w:val="2"/>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statement that the claimant is entitled to receive, upon request and free of charge, reasonable access to, and copies of, all Relevant Records;</w:t>
      </w:r>
    </w:p>
    <w:p>
      <w:pPr>
        <w:spacing w:after="0" w:line="150" w:lineRule="exact"/>
        <w:rPr>
          <w:rFonts w:ascii="Times New Roman" w:cs="Times New Roman" w:eastAsia="Times New Roman" w:hAnsi="Times New Roman"/>
          <w:sz w:val="22"/>
          <w:szCs w:val="22"/>
          <w:b w:val="1"/>
          <w:bCs w:val="1"/>
          <w:color w:val="auto"/>
        </w:rPr>
      </w:pPr>
    </w:p>
    <w:p>
      <w:pPr>
        <w:ind w:left="2580" w:hanging="628"/>
        <w:spacing w:after="0"/>
        <w:tabs>
          <w:tab w:leader="none" w:pos="2580" w:val="left"/>
        </w:tabs>
        <w:numPr>
          <w:ilvl w:val="2"/>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statement of the claimant’s right to bring an action under Section 502(a) of ERISA;</w:t>
      </w:r>
    </w:p>
    <w:p>
      <w:pPr>
        <w:spacing w:after="0" w:line="175"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2" w:val="left"/>
        </w:tabs>
        <w:numPr>
          <w:ilvl w:val="1"/>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Furnishing Documents</w:t>
      </w:r>
      <w:r>
        <w:rPr>
          <w:rFonts w:ascii="Times New Roman" w:cs="Times New Roman" w:eastAsia="Times New Roman" w:hAnsi="Times New Roman"/>
          <w:sz w:val="22"/>
          <w:szCs w:val="22"/>
          <w:color w:val="auto"/>
        </w:rPr>
        <w:t>. In the case of an Adverse Benefit Determination on review,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shall provide the claimant access to, and copies of, documents, records and other information described in Sections 10(c)(iii)(C) and (D) above, if applicable and as appropriate.</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Calculating Time Periods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2" w:val="left"/>
        </w:tabs>
        <w:numPr>
          <w:ilvl w:val="1"/>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Calculating Time Periods for Initial Benefit Determination</w:t>
      </w:r>
      <w:r>
        <w:rPr>
          <w:rFonts w:ascii="Times New Roman" w:cs="Times New Roman" w:eastAsia="Times New Roman" w:hAnsi="Times New Roman"/>
          <w:sz w:val="22"/>
          <w:szCs w:val="22"/>
          <w:color w:val="auto"/>
        </w:rPr>
        <w:t>. The period of time within which a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is required to be made shall begin at the time a claim is filed, without regard to whether all the information necessary to make a benefit determination accompanies the filing.</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26" w:lineRule="auto"/>
        <w:tabs>
          <w:tab w:leader="none" w:pos="1938" w:val="left"/>
        </w:tabs>
        <w:numPr>
          <w:ilvl w:val="1"/>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Calculating Time Periods for Benefit Determination on Review</w:t>
      </w:r>
      <w:r>
        <w:rPr>
          <w:rFonts w:ascii="Times New Roman" w:cs="Times New Roman" w:eastAsia="Times New Roman" w:hAnsi="Times New Roman"/>
          <w:sz w:val="21"/>
          <w:szCs w:val="21"/>
          <w:color w:val="auto"/>
        </w:rPr>
        <w:t>. The period of time within which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 determination on review is required to be made shall begin at the time an appeal is filed, without regard to whether all the information necessary to make a benefit determination on review accompanies the filing. In the event that the period of time for making the benefit determination on review is extended due to a claimant’s failure to submit information necessary to decide a claim, the period for making the benefit determination on review shall be tolled from the date on which the Notification of the extension is sent to the claimant until the date on which the claimant responds to the request for additional information.</w:t>
      </w:r>
    </w:p>
    <w:p>
      <w:pPr>
        <w:spacing w:after="0" w:line="147"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 for Claims and Appeals Procedures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2" w:val="left"/>
        </w:tabs>
        <w:numPr>
          <w:ilvl w:val="1"/>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Adverse Benefit Determination</w:t>
      </w:r>
      <w:r>
        <w:rPr>
          <w:rFonts w:ascii="Times New Roman" w:cs="Times New Roman" w:eastAsia="Times New Roman" w:hAnsi="Times New Roman"/>
          <w:sz w:val="22"/>
          <w:szCs w:val="22"/>
          <w:color w:val="auto"/>
        </w:rPr>
        <w:t>” means a denial, reduction, or termination of, or a failure to provide or make payment (in whole or in part) for, a benefit, including any such denial, reduction, termination, or failure to provide or make payment that is based on a determination of an individual’s eligibility to participate in the Plan.</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8" w:val="left"/>
        </w:tabs>
        <w:numPr>
          <w:ilvl w:val="1"/>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Notification</w:t>
      </w:r>
      <w:r>
        <w:rPr>
          <w:rFonts w:ascii="Times New Roman" w:cs="Times New Roman" w:eastAsia="Times New Roman" w:hAnsi="Times New Roman"/>
          <w:sz w:val="22"/>
          <w:szCs w:val="22"/>
          <w:color w:val="auto"/>
        </w:rPr>
        <w:t>” means the delivery or furnishing of information to an individual in a manner that satisfies the requirements of the Section 2520.104b-1(b) of Part 29 of the Code of Federal Regulations as appropriate with respect to material required to be furnished or made available to an individual.</w:t>
      </w:r>
    </w:p>
    <w:p>
      <w:pPr>
        <w:spacing w:after="0" w:line="146"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Relevant Records</w:t>
      </w:r>
      <w:r>
        <w:rPr>
          <w:rFonts w:ascii="Times New Roman" w:cs="Times New Roman" w:eastAsia="Times New Roman" w:hAnsi="Times New Roman"/>
          <w:sz w:val="22"/>
          <w:szCs w:val="22"/>
          <w:color w:val="auto"/>
        </w:rPr>
        <w:t>” means any document, record, or other information that:</w:t>
      </w:r>
    </w:p>
    <w:p>
      <w:pPr>
        <w:spacing w:after="0" w:line="185" w:lineRule="exact"/>
        <w:rPr>
          <w:rFonts w:ascii="Times New Roman" w:cs="Times New Roman" w:eastAsia="Times New Roman" w:hAnsi="Times New Roman"/>
          <w:sz w:val="22"/>
          <w:szCs w:val="22"/>
          <w:b w:val="1"/>
          <w:bCs w:val="1"/>
          <w:color w:val="auto"/>
        </w:rPr>
      </w:pPr>
    </w:p>
    <w:p>
      <w:pPr>
        <w:ind w:left="2580" w:hanging="628"/>
        <w:spacing w:after="0"/>
        <w:tabs>
          <w:tab w:leader="none" w:pos="2580" w:val="left"/>
        </w:tabs>
        <w:numPr>
          <w:ilvl w:val="2"/>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Administrator relied upon in making the benefit determination for the claimant’s claim;</w:t>
      </w:r>
    </w:p>
    <w:p>
      <w:pPr>
        <w:spacing w:after="0" w:line="179" w:lineRule="exact"/>
        <w:rPr>
          <w:rFonts w:ascii="Times New Roman" w:cs="Times New Roman" w:eastAsia="Times New Roman" w:hAnsi="Times New Roman"/>
          <w:sz w:val="22"/>
          <w:szCs w:val="22"/>
          <w:b w:val="1"/>
          <w:bCs w:val="1"/>
          <w:color w:val="auto"/>
        </w:rPr>
      </w:pPr>
    </w:p>
    <w:p>
      <w:pPr>
        <w:jc w:val="both"/>
        <w:ind w:firstLine="1952"/>
        <w:spacing w:after="0" w:line="225" w:lineRule="auto"/>
        <w:tabs>
          <w:tab w:leader="none" w:pos="2583" w:val="left"/>
        </w:tabs>
        <w:numPr>
          <w:ilvl w:val="2"/>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submitted, considered, or generated in the course of making the benefit determination for the claimant’s claim, without regard to whether such document, record, or other information was relied upon in making the benefit determination;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109" w:name="page110"/>
    <w:bookmarkEnd w:id="109"/>
    <w:p>
      <w:pPr>
        <w:jc w:val="both"/>
        <w:ind w:firstLine="1952"/>
        <w:spacing w:after="0" w:line="225" w:lineRule="auto"/>
        <w:tabs>
          <w:tab w:leader="none" w:pos="2581" w:val="left"/>
        </w:tabs>
        <w:numPr>
          <w:ilvl w:val="2"/>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Demonstrates compliance with the administrative processes and safeguards required pursuant to Section 2560.503-1(b)(5) of Part 29 of the Code of Federal Regulations in making the benefit determination for the claimant’s claim.</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3" w:lineRule="auto"/>
        <w:tabs>
          <w:tab w:leader="none" w:pos="1296"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Exhaustion of Remedies</w:t>
      </w:r>
      <w:r>
        <w:rPr>
          <w:rFonts w:ascii="Times New Roman" w:cs="Times New Roman" w:eastAsia="Times New Roman" w:hAnsi="Times New Roman"/>
          <w:sz w:val="22"/>
          <w:szCs w:val="22"/>
          <w:color w:val="auto"/>
        </w:rPr>
        <w:t>. No legal action for benefits under the Plan may be brought until the claimant (A)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submitted a written claim for benefits in accordance with the procedures described by Section 10(a) above, (B) has been notified by the Plan Administrator that the claim is denied, (C) has filed a written request for a review of the claim in accordance with the appeal procedure described in Section 10(c) above, and (D) has been notified that the Plan Administrator has denied the appeal. Notwithstanding the foregoing, if the Plan fails to establish or follow claims procedures consistent with the applicable Department of Labor regulations, the claimant may bring legal action for benefits under the Plan pursuant to Section 502(a) of ERISA on the basis that the Plan has failed to provide a reasonable claims procedure that would yield a decision on the merits of the claim.</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18" w:lineRule="auto"/>
        <w:tabs>
          <w:tab w:leader="none" w:pos="1291" w:val="left"/>
        </w:tabs>
        <w:numPr>
          <w:ilvl w:val="1"/>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Statute of Limitations</w:t>
      </w:r>
      <w:r>
        <w:rPr>
          <w:rFonts w:ascii="Times New Roman" w:cs="Times New Roman" w:eastAsia="Times New Roman" w:hAnsi="Times New Roman"/>
          <w:sz w:val="21"/>
          <w:szCs w:val="21"/>
          <w:color w:val="auto"/>
        </w:rPr>
        <w:t>. A claim or action (i) to recover benefits allegedly due under the Plan or by reason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 (ii) to enforce rights under the Plan, (iii) to clarify rights to future benefits under the Plan, or (iv) that relates to the Plan and seeks a remedy, ruling or judgment of any kind against the Plan or a Plan fiduciary or party in interest (collectively, a “</w:t>
      </w:r>
      <w:r>
        <w:rPr>
          <w:rFonts w:ascii="Times New Roman" w:cs="Times New Roman" w:eastAsia="Times New Roman" w:hAnsi="Times New Roman"/>
          <w:sz w:val="21"/>
          <w:szCs w:val="21"/>
          <w:b w:val="1"/>
          <w:bCs w:val="1"/>
          <w:i w:val="1"/>
          <w:iCs w:val="1"/>
          <w:color w:val="auto"/>
        </w:rPr>
        <w:t>Judicial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Claim</w:t>
      </w:r>
      <w:r>
        <w:rPr>
          <w:rFonts w:ascii="Times New Roman" w:cs="Times New Roman" w:eastAsia="Times New Roman" w:hAnsi="Times New Roman"/>
          <w:sz w:val="21"/>
          <w:szCs w:val="21"/>
          <w:color w:val="auto"/>
        </w:rPr>
        <w:t>”), may not be commenced in any court or forum until after the claimant has exhausted the Plan’s claims and appeals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procedures (an “</w:t>
      </w:r>
      <w:r>
        <w:rPr>
          <w:rFonts w:ascii="Times New Roman" w:cs="Times New Roman" w:eastAsia="Times New Roman" w:hAnsi="Times New Roman"/>
          <w:sz w:val="21"/>
          <w:szCs w:val="21"/>
          <w:b w:val="1"/>
          <w:bCs w:val="1"/>
          <w:i w:val="1"/>
          <w:iCs w:val="1"/>
          <w:color w:val="auto"/>
        </w:rPr>
        <w:t>Administrative Claim</w:t>
      </w:r>
      <w:r>
        <w:rPr>
          <w:rFonts w:ascii="Times New Roman" w:cs="Times New Roman" w:eastAsia="Times New Roman" w:hAnsi="Times New Roman"/>
          <w:sz w:val="21"/>
          <w:szCs w:val="21"/>
          <w:color w:val="auto"/>
        </w:rPr>
        <w:t>”). A claimant must raise every argument and/or produce all evidence the claimant believes supports the claim or action in the Administrative Claim and shall be deemed to have waived any argument and/or the right to produce any evidence not submitted to the Plan Administrator or its delegate as part of the Administrative Claim. Any Judicial Claim must be commenced in Federal District Court in San Mateo County, California no later than 12 months from the earliest of</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08" w:lineRule="auto"/>
        <w:tabs>
          <w:tab w:leader="none" w:pos="38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first benefits were paid or allegedly due; (B) the date the Plan Administrator or its delegate first denied the claimant’s request; or (C) the first date the claimant knew or should have known the principal facts on which such claim or action is based; provided, however, that, if the claimant commences an Administrative Claim before the expiration of such 12 month period, the period for commencing a Judicial Claim shall expire on the later of the end of the 12 month period and the date that is three months after final denial of the claimant’s Administrative Claim, such that the claimant has exhausted the Plan’s claims and appeals procedures. Any claim or action that is commenced, filed or raised, whether a Judicial Claim or an Administrative Claim, after expiration of such 12-month period (or, if applicable, expiration of the three-month period following exhaustion of the Plan’s claims and appeals procedures) shall be time-barred. Filing or commencing a Judicial Claim before the claimant exhausts the Administrative Claim requirements shall not toll the 12-month limitations period (or, if applicable, the three-month limitations period).</w:t>
      </w:r>
    </w:p>
    <w:p>
      <w:pPr>
        <w:spacing w:after="0" w:line="15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BASIS OF PAYMENTS TO AND FROM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 shall be unfunded, and all benefits hereunder shall be paid only from the general assets of the Company.</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b w:val="1"/>
          <w:bCs w:val="1"/>
          <w:color w:val="auto"/>
        </w:rPr>
        <w:t>OTHER PLAN INFORMATION.</w:t>
      </w:r>
    </w:p>
    <w:p>
      <w:pPr>
        <w:spacing w:after="0" w:line="179" w:lineRule="exact"/>
        <w:rPr>
          <w:sz w:val="20"/>
          <w:szCs w:val="20"/>
          <w:color w:val="auto"/>
        </w:rPr>
      </w:pPr>
    </w:p>
    <w:p>
      <w:pPr>
        <w:jc w:val="both"/>
        <w:ind w:firstLine="656"/>
        <w:spacing w:after="0" w:line="227" w:lineRule="auto"/>
        <w:tabs>
          <w:tab w:leader="none" w:pos="1291"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Employer and Plan Identification Numbers</w:t>
      </w:r>
      <w:r>
        <w:rPr>
          <w:rFonts w:ascii="Times New Roman" w:cs="Times New Roman" w:eastAsia="Times New Roman" w:hAnsi="Times New Roman"/>
          <w:sz w:val="22"/>
          <w:szCs w:val="22"/>
          <w:color w:val="auto"/>
        </w:rPr>
        <w:t>. The Employer Identification Number assigned to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is the “Plan Sponsor” as that term is used in ERISA) by the Internal Revenue Service is 98-1032470. The Plan Number assigned to the Plan by the Plan Sponsor pursuant to the instructions of the Internal Revenue Service is 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110" w:name="page111"/>
    <w:bookmarkEnd w:id="110"/>
    <w:p>
      <w:pPr>
        <w:ind w:firstLine="656"/>
        <w:spacing w:after="0" w:line="238" w:lineRule="auto"/>
        <w:tabs>
          <w:tab w:leader="none" w:pos="129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Ending Date for Plan’s Fiscal Year</w:t>
      </w:r>
      <w:r>
        <w:rPr>
          <w:rFonts w:ascii="Times New Roman" w:cs="Times New Roman" w:eastAsia="Times New Roman" w:hAnsi="Times New Roman"/>
          <w:sz w:val="22"/>
          <w:szCs w:val="22"/>
          <w:color w:val="auto"/>
        </w:rPr>
        <w:t>. The date of the end of the fiscal year for the purpose of maintaining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Plan’s records is December 31.</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Agent for the Service of Legal Process</w:t>
      </w:r>
      <w:r>
        <w:rPr>
          <w:rFonts w:ascii="Times New Roman" w:cs="Times New Roman" w:eastAsia="Times New Roman" w:hAnsi="Times New Roman"/>
          <w:sz w:val="22"/>
          <w:szCs w:val="22"/>
          <w:color w:val="auto"/>
        </w:rPr>
        <w:t>. The agent for the service of legal process with respect to the Plan is: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Jazz Pharmaceuticals plc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Attn: Chief Legal Officer</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 Jazz Pharmaceuticals,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2005 Market Street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Suite 2100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163"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Sponsor and Administrator</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Plan Sponsor</w:t>
      </w:r>
      <w:r>
        <w:rPr>
          <w:rFonts w:ascii="Times New Roman" w:cs="Times New Roman" w:eastAsia="Times New Roman" w:hAnsi="Times New Roman"/>
          <w:sz w:val="22"/>
          <w:szCs w:val="22"/>
          <w:color w:val="auto"/>
        </w:rPr>
        <w:t>” of the Plan is: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Jazz Pharmaceuticals plc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Attn: Chief Legal Officer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 Jazz Pharmaceuticals,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2005 Market Street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Suite 2100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“Plan Administrator” of the Plan is as set forth in Section 2(r). The Plan Sponsor’s and Plan Administrator’s telephone number is (650) 496-3777. The Plan Administrator is the named fiduciary charged with the responsibility for administering the Plan.</w:t>
      </w:r>
    </w:p>
    <w:p>
      <w:pPr>
        <w:spacing w:after="0" w:line="13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b w:val="1"/>
          <w:bCs w:val="1"/>
          <w:color w:val="auto"/>
        </w:rPr>
        <w:t>STATEMENT OF ERISA RIGHTS FOR US PARTICIPANTS.</w:t>
      </w:r>
    </w:p>
    <w:p>
      <w:pPr>
        <w:spacing w:after="0" w:line="2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US Participants in this Plan (which is a welfare benefit plan sponsored by Jazz Pharmaceuticals plc) are entitled to certain rights and protections under ERISA.</w:t>
      </w:r>
    </w:p>
    <w:p>
      <w:pPr>
        <w:spacing w:after="0" w:line="15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If you are a US Participant, you are considered a participant in the Plan for the purposes of this Section 13 and, under ERISA, you are entitled to:</w:t>
      </w:r>
    </w:p>
    <w:p>
      <w:pPr>
        <w:spacing w:after="0" w:line="140"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Receive Information About Your Plan and Benefits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2" w:val="left"/>
        </w:tabs>
        <w:numPr>
          <w:ilvl w:val="1"/>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8" w:val="left"/>
        </w:tabs>
        <w:numPr>
          <w:ilvl w:val="1"/>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Obtain, upon written request to the Plan Administrator, copies of documents governing the operation of the Plan and copies of the latest annual report (Form 5500 Series), if applicable, and an updated (as necessary) Summary Plan Description. The Plan Administrator may make a reasonable charge for the copies; and</w:t>
      </w:r>
    </w:p>
    <w:p>
      <w:pPr>
        <w:spacing w:after="0" w:line="152"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44" w:val="left"/>
        </w:tabs>
        <w:numPr>
          <w:ilvl w:val="1"/>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Receive a summary of the Plan’s annual financial report, if applicable. The Plan Administrator is required by law to furnish each participant with a copy of this summary annual report.</w:t>
      </w: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1" w:right="339" w:bottom="1440" w:gutter="0" w:footer="0" w:header="0"/>
          <w:type w:val="continuous"/>
        </w:sectPr>
      </w:pPr>
    </w:p>
    <w:bookmarkStart w:id="111" w:name="page112"/>
    <w:bookmarkEnd w:id="111"/>
    <w:p>
      <w:pPr>
        <w:jc w:val="both"/>
        <w:ind w:firstLine="656"/>
        <w:spacing w:after="0" w:line="218" w:lineRule="auto"/>
        <w:tabs>
          <w:tab w:leader="none" w:pos="129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Prudent Actions By Plan Fiduciaries</w:t>
      </w:r>
      <w:r>
        <w:rPr>
          <w:rFonts w:ascii="Times New Roman" w:cs="Times New Roman" w:eastAsia="Times New Roman" w:hAnsi="Times New Roman"/>
          <w:sz w:val="22"/>
          <w:szCs w:val="22"/>
          <w:color w:val="auto"/>
        </w:rPr>
        <w:t>. In addition to creating rights for Plan participants, ERISA imposes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people who are responsible for the operation of the employee benefit plan. The people who operate the Plan, called “fiduciaries” of the Plan, have a duty to do so prudently and in the interest of you and other Plan participants and beneficiaries. No one, including US Participants’ employer, union or any other person, may fire you or otherwise discriminate against you in any way to prevent you from obtaining a Plan benefit or exercising your rights under ERISA.</w:t>
      </w:r>
    </w:p>
    <w:p>
      <w:pPr>
        <w:spacing w:after="0" w:line="14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Enforce Your Rights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2" w:val="left"/>
        </w:tabs>
        <w:numPr>
          <w:ilvl w:val="1"/>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your claim for a Plan benefit is denied or ignored, in whole or in part, you have a right to know why this was done, to obtain copies of documents relating to the decision without charge, and to appeal any denial, all within certain time schedules.</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38" w:val="left"/>
        </w:tabs>
        <w:numPr>
          <w:ilvl w:val="1"/>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US-based participants, 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50"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you have a claim for benefits which is denied or ignored, in whole or in part, you may file suit in a state</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or federal court.</w:t>
      </w:r>
    </w:p>
    <w:p>
      <w:pPr>
        <w:spacing w:after="0" w:line="155" w:lineRule="exact"/>
        <w:rPr>
          <w:rFonts w:ascii="Times New Roman" w:cs="Times New Roman" w:eastAsia="Times New Roman" w:hAnsi="Times New Roman"/>
          <w:sz w:val="21"/>
          <w:szCs w:val="21"/>
          <w:b w:val="1"/>
          <w:bCs w:val="1"/>
          <w:color w:val="auto"/>
        </w:rPr>
      </w:pPr>
    </w:p>
    <w:p>
      <w:pPr>
        <w:jc w:val="both"/>
        <w:ind w:firstLine="1304"/>
        <w:spacing w:after="0" w:line="220" w:lineRule="auto"/>
        <w:tabs>
          <w:tab w:leader="none" w:pos="1932" w:val="left"/>
        </w:tabs>
        <w:numPr>
          <w:ilvl w:val="1"/>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129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Assistance With Your Questions</w:t>
      </w:r>
      <w:r>
        <w:rPr>
          <w:rFonts w:ascii="Times New Roman" w:cs="Times New Roman" w:eastAsia="Times New Roman" w:hAnsi="Times New Roman"/>
          <w:sz w:val="22"/>
          <w:szCs w:val="22"/>
          <w:color w:val="auto"/>
        </w:rPr>
        <w:t>. If you have any questions about the Plan, you should contact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14.</w:t>
      </w:r>
      <w:r>
        <w:rPr>
          <w:sz w:val="20"/>
          <w:szCs w:val="20"/>
          <w:color w:val="auto"/>
        </w:rPr>
        <w:tab/>
      </w:r>
      <w:r>
        <w:rPr>
          <w:rFonts w:ascii="Times New Roman" w:cs="Times New Roman" w:eastAsia="Times New Roman" w:hAnsi="Times New Roman"/>
          <w:sz w:val="21"/>
          <w:szCs w:val="21"/>
          <w:b w:val="1"/>
          <w:bCs w:val="1"/>
          <w:color w:val="auto"/>
        </w:rPr>
        <w:t>GENERAL PROVISIONS.</w:t>
      </w:r>
    </w:p>
    <w:p>
      <w:pPr>
        <w:spacing w:after="0" w:line="179" w:lineRule="exact"/>
        <w:rPr>
          <w:sz w:val="20"/>
          <w:szCs w:val="20"/>
          <w:color w:val="auto"/>
        </w:rPr>
      </w:pPr>
    </w:p>
    <w:p>
      <w:pPr>
        <w:jc w:val="both"/>
        <w:ind w:firstLine="656"/>
        <w:spacing w:after="0" w:line="213" w:lineRule="auto"/>
        <w:tabs>
          <w:tab w:leader="none" w:pos="1291"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demand or request required or permitted to be given by the Company, an Affiliate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pursuant to the terms of this Plan shall be in writing and shall be delivered by hand, by prepaid registered or certified mail, or by overnight express courier service. Any such notice shall be deemed delivered and effective as follows: (i) if delivered by hand, at the time of delivery; (ii) if sent by prepaid registered mail, forty eight hours after deposit in the mail; and (iii) if delivered by overnight express courier service, on the next business day. Notice to the Company or an Affiliate shall be addressed to the address set forth in Section 12(d); notice to the Participant shall be addressed to the address as set forth in the Company’s or Affiliate’s employment file maintained for the Participant as previously furnished by the Participant or such other address as a party may request by notifying the other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1" w:right="339" w:bottom="1440" w:gutter="0" w:footer="0" w:header="0"/>
        </w:sectPr>
      </w:pPr>
    </w:p>
    <w:bookmarkStart w:id="112" w:name="page113"/>
    <w:bookmarkEnd w:id="112"/>
    <w:p>
      <w:pPr>
        <w:jc w:val="both"/>
        <w:ind w:firstLine="656"/>
        <w:spacing w:after="0" w:line="227" w:lineRule="auto"/>
        <w:tabs>
          <w:tab w:leader="none" w:pos="129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Consequences</w:t>
      </w:r>
      <w:r>
        <w:rPr>
          <w:rFonts w:ascii="Times New Roman" w:cs="Times New Roman" w:eastAsia="Times New Roman" w:hAnsi="Times New Roman"/>
          <w:sz w:val="22"/>
          <w:szCs w:val="22"/>
          <w:color w:val="auto"/>
        </w:rPr>
        <w:t>. The Company makes no representations or warranties with respect to the tax consequences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payments and benefits under the Plan and shall have no liability for any adverse tax effect associated with any payments or benefits or for any deduction or withholding from any payment or benefit.</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1293"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After a Participant’s Involuntary Termination, such Participant agrees to make themselves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available to the Company, including by telephone and email, to answer questions and/or provide guidance in regard to any Company-related matters in which the Participant was involved or of which the Participant has knowledge. The Participant further agrees to cooperate with the Company in connection with any contemplated, anticipated, threatened or pending claim, action, suit, investigation or proceeding of any nature regarding such matters (including, if necessary, preparation for and appearance at depositions, hearings, trials or other proceedings). The Company shall reimburse the Participant for reasonable authorized out-of-pocket expenses incurred under this Paragraph excluding lost salary or pay.</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129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and Assignment</w:t>
      </w:r>
      <w:r>
        <w:rPr>
          <w:rFonts w:ascii="Times New Roman" w:cs="Times New Roman" w:eastAsia="Times New Roman" w:hAnsi="Times New Roman"/>
          <w:sz w:val="22"/>
          <w:szCs w:val="22"/>
          <w:color w:val="auto"/>
        </w:rPr>
        <w:t>. The rights and obligations of a Participant under this Plan may not be transferred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assigned without the prior written consent of the Company. This Plan shall be binding upon (i) any surviving Entity resulting from a Change in Control in the event that such surviving Entity is not Jazz Pharmaceuticals plc, (ii) any Entity to which the assets of Jazz Pharmaceuticals plc and its Subsidiaries are sold, leased, exclusively licensed or otherwise disposed of in the event of a Change in Control under Section 2(e)(iv), and (iii) any other Entity or person who is a successor by merger, acquisition, consolidation or otherwise to the business formerly carried on by Jazz Pharmaceuticals plc, in each case without regard to whether or not such Entity or person actively assumes the obligations hereunder.</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3"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Any party’s failure to enforce any provision or provisions of this Plan shall not in any way be construed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waiver of any such provision or provisions, nor prevent any party from thereafter enforcing each and every other provision of this Plan. The rights granted the parties herein are cumulative and shall not constitute a waiver of any party’s right to assert all other legal remedies available to it under the circumstances.</w:t>
      </w:r>
    </w:p>
    <w:p>
      <w:pPr>
        <w:spacing w:after="0" w:line="148" w:lineRule="exact"/>
        <w:rPr>
          <w:rFonts w:ascii="Times New Roman" w:cs="Times New Roman" w:eastAsia="Times New Roman" w:hAnsi="Times New Roman"/>
          <w:sz w:val="22"/>
          <w:szCs w:val="22"/>
          <w:b w:val="1"/>
          <w:bCs w:val="1"/>
          <w:color w:val="auto"/>
        </w:rPr>
      </w:pPr>
    </w:p>
    <w:p>
      <w:pPr>
        <w:ind w:right="20" w:firstLine="656"/>
        <w:spacing w:after="0" w:line="259" w:lineRule="auto"/>
        <w:tabs>
          <w:tab w:leader="none" w:pos="1296"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Should any provision of this Plan be declared or determined to be invalid, illegal or unenforceable,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validity, legality and enforceability of the remaining provisions shall not in any way be affected or impaired.</w:t>
      </w:r>
    </w:p>
    <w:p>
      <w:pPr>
        <w:spacing w:after="0" w:line="126" w:lineRule="exact"/>
        <w:rPr>
          <w:rFonts w:ascii="Times New Roman" w:cs="Times New Roman" w:eastAsia="Times New Roman" w:hAnsi="Times New Roman"/>
          <w:sz w:val="21"/>
          <w:szCs w:val="21"/>
          <w:b w:val="1"/>
          <w:bCs w:val="1"/>
          <w:color w:val="auto"/>
        </w:rPr>
      </w:pPr>
    </w:p>
    <w:p>
      <w:pPr>
        <w:ind w:firstLine="656"/>
        <w:spacing w:after="0" w:line="238" w:lineRule="auto"/>
        <w:tabs>
          <w:tab w:leader="none" w:pos="1291"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Headings</w:t>
      </w:r>
      <w:r>
        <w:rPr>
          <w:rFonts w:ascii="Times New Roman" w:cs="Times New Roman" w:eastAsia="Times New Roman" w:hAnsi="Times New Roman"/>
          <w:sz w:val="22"/>
          <w:szCs w:val="22"/>
          <w:color w:val="auto"/>
        </w:rPr>
        <w:t>. Section headings in this Plan are included for convenience of reference only and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considered part of this Plan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For U.S. Employees Age 40 or Older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Individual Termination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 AGREEMENT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b w:val="1"/>
          <w:bCs w:val="1"/>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signed on my date of Involuntary Termination or within 21 days thereafter.]</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I understand and agree completely to the terms set forth in the Jazz Pharmaceuticals plc Executive Committee Severance Benefit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b w:val="1"/>
          <w:bCs w:val="1"/>
          <w:color w:val="auto"/>
        </w:rPr>
        <w:t>”).</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 understand that this Release, together with the Plan, constitutes the complete, final and exclusive agreement between me and my employer entity within the Jazz Pharmaceuticals group of companies (such relevant entity to be referenced herein as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with regard to the subject matter hereof. I am not relying on any promise or representation by the Company that is not expressly stated therein. Certain capitalized terms used in this Release are defined in the Plan.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exchange for the consideration provided to me by this Release and under the Plan (summarized in [the Severance Benefits Overview and Calculation previously provided to me by the Company on DATE] [Attachment XX hereto])</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Times New Roman" w:cs="Times New Roman" w:eastAsia="Times New Roman" w:hAnsi="Times New Roman"/>
          <w:sz w:val="22"/>
          <w:szCs w:val="22"/>
          <w:b w:val="1"/>
          <w:bCs w:val="1"/>
          <w:i w:val="1"/>
          <w:iCs w:val="1"/>
          <w:color w:val="auto"/>
        </w:rPr>
        <w:t>Released Parties</w:t>
      </w:r>
      <w:r>
        <w:rPr>
          <w:rFonts w:ascii="Times New Roman" w:cs="Times New Roman" w:eastAsia="Times New Roman" w:hAnsi="Times New Roman"/>
          <w:sz w:val="22"/>
          <w:szCs w:val="22"/>
          <w:color w:val="auto"/>
        </w:rPr>
        <w:t>”) of and from, and I forever waive, any and all claims, liabilities and obligations, both known and unknown, that arise out of or are in any way related to events, acts, conduct, or omissions occurring prior to my signing this Release (collectively, the “</w:t>
      </w:r>
      <w:r>
        <w:rPr>
          <w:rFonts w:ascii="Times New Roman" w:cs="Times New Roman" w:eastAsia="Times New Roman" w:hAnsi="Times New Roman"/>
          <w:sz w:val="22"/>
          <w:szCs w:val="22"/>
          <w:b w:val="1"/>
          <w:bCs w:val="1"/>
          <w:i w:val="1"/>
          <w:iCs w:val="1"/>
          <w:color w:val="auto"/>
        </w:rPr>
        <w:t>Released Claims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6459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event of a conflict between [the Severance Benefits Overview and Calculation] [Attachment XX] and the Plan, the terms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22" w:right="339" w:bottom="1440" w:gutter="0" w:footer="0" w:header="0"/>
        </w:sectPr>
      </w:pPr>
    </w:p>
    <w:bookmarkStart w:id="114" w:name="page115"/>
    <w:bookmarkEnd w:id="114"/>
    <w:p>
      <w:pPr>
        <w:jc w:val="both"/>
        <w:spacing w:after="0" w:line="250" w:lineRule="auto"/>
        <w:rPr>
          <w:sz w:val="20"/>
          <w:szCs w:val="20"/>
          <w:color w:val="auto"/>
        </w:rPr>
      </w:pPr>
      <w:r>
        <w:rPr>
          <w:rFonts w:ascii="Times New Roman" w:cs="Times New Roman" w:eastAsia="Times New Roman" w:hAnsi="Times New Roman"/>
          <w:sz w:val="22"/>
          <w:szCs w:val="22"/>
          <w:color w:val="auto"/>
        </w:rPr>
        <w:t>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the Employee Retirement Income Security Act (as amended), the federal Worker Adjustment and Retraining Notification Act and any state and local law equivalent (“</w:t>
      </w:r>
      <w:r>
        <w:rPr>
          <w:rFonts w:ascii="Times New Roman" w:cs="Times New Roman" w:eastAsia="Times New Roman" w:hAnsi="Times New Roman"/>
          <w:sz w:val="22"/>
          <w:szCs w:val="22"/>
          <w:b w:val="1"/>
          <w:bCs w:val="1"/>
          <w:i w:val="1"/>
          <w:iCs w:val="1"/>
          <w:color w:val="auto"/>
        </w:rPr>
        <w:t>WARN Act</w:t>
      </w:r>
      <w:r>
        <w:rPr>
          <w:rFonts w:ascii="Times New Roman" w:cs="Times New Roman" w:eastAsia="Times New Roman" w:hAnsi="Times New Roman"/>
          <w:sz w:val="22"/>
          <w:szCs w:val="22"/>
          <w:color w:val="auto"/>
        </w:rPr>
        <w:t>”), the federal Family Medical Leave Act (“</w:t>
      </w:r>
      <w:r>
        <w:rPr>
          <w:rFonts w:ascii="Times New Roman" w:cs="Times New Roman" w:eastAsia="Times New Roman" w:hAnsi="Times New Roman"/>
          <w:sz w:val="22"/>
          <w:szCs w:val="22"/>
          <w:b w:val="1"/>
          <w:bCs w:val="1"/>
          <w:i w:val="1"/>
          <w:iCs w:val="1"/>
          <w:color w:val="auto"/>
        </w:rPr>
        <w:t>FMLA</w:t>
      </w:r>
      <w:r>
        <w:rPr>
          <w:rFonts w:ascii="Times New Roman" w:cs="Times New Roman" w:eastAsia="Times New Roman" w:hAnsi="Times New Roman"/>
          <w:sz w:val="22"/>
          <w:szCs w:val="22"/>
          <w:color w:val="auto"/>
        </w:rPr>
        <w:t>”), the California Labor Code (as amended), the California Fair Employment and Housing Act (as amended), the California Family Rights Act (“</w:t>
      </w:r>
      <w:r>
        <w:rPr>
          <w:rFonts w:ascii="Times New Roman" w:cs="Times New Roman" w:eastAsia="Times New Roman" w:hAnsi="Times New Roman"/>
          <w:sz w:val="22"/>
          <w:szCs w:val="22"/>
          <w:b w:val="1"/>
          <w:bCs w:val="1"/>
          <w:i w:val="1"/>
          <w:iCs w:val="1"/>
          <w:color w:val="auto"/>
        </w:rPr>
        <w:t>CFRA</w:t>
      </w:r>
      <w:r>
        <w:rPr>
          <w:rFonts w:ascii="Times New Roman" w:cs="Times New Roman" w:eastAsia="Times New Roman" w:hAnsi="Times New Roman"/>
          <w:sz w:val="22"/>
          <w:szCs w:val="22"/>
          <w:color w:val="auto"/>
        </w:rPr>
        <w:t>”), the Pennsylvania Equal Pay Law, the Pennsylvania Wage Payment and Collection Law, the City of Philadelphia Fair Practices Code, the Pennsylvania Human Relations Act[, and the laws of the state in which I work and/or reside as may be applicable and identified in Attachment YY hereto].</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Notwithstanding the foregoing, the following are not included in the Released Claims (the “</w:t>
      </w:r>
      <w:r>
        <w:rPr>
          <w:rFonts w:ascii="Times New Roman" w:cs="Times New Roman" w:eastAsia="Times New Roman" w:hAnsi="Times New Roman"/>
          <w:sz w:val="21"/>
          <w:szCs w:val="21"/>
          <w:b w:val="1"/>
          <w:bCs w:val="1"/>
          <w:i w:val="1"/>
          <w:iCs w:val="1"/>
          <w:color w:val="auto"/>
        </w:rPr>
        <w:t>Excluded Claims</w:t>
      </w:r>
      <w:r>
        <w:rPr>
          <w:rFonts w:ascii="Times New Roman" w:cs="Times New Roman" w:eastAsia="Times New Roman" w:hAnsi="Times New Roman"/>
          <w:sz w:val="21"/>
          <w:szCs w:val="21"/>
          <w:color w:val="auto"/>
        </w:rPr>
        <w:t>”): (1) any rights or claims for indemnification I may have pursuant to any written indemnification agreement with any of the Released Parties to which I am a party, the charter, bylaws, or operating agreements of the Released Parties, or under applicable law; (2) any claim or right I may have under COBRA; (3) any claim or right I may have for unemployment insurance or workers’ compensation benefits (except for claims of retaliation); (4) any vested benefits I may have under the written terms of a Company benefit plan;</w:t>
      </w:r>
    </w:p>
    <w:p>
      <w:pPr>
        <w:spacing w:after="0" w:line="1" w:lineRule="exact"/>
        <w:rPr>
          <w:sz w:val="20"/>
          <w:szCs w:val="20"/>
          <w:color w:val="auto"/>
        </w:rPr>
      </w:pPr>
    </w:p>
    <w:p>
      <w:pPr>
        <w:jc w:val="both"/>
        <w:ind w:firstLine="8"/>
        <w:spacing w:after="0" w:line="247" w:lineRule="auto"/>
        <w:tabs>
          <w:tab w:leader="none" w:pos="37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medical claim I have incurred during my employment that is payable under applicable Company medical plans in which I am a covered participant; (5) any claim or right that I may have under this Release or the Plan; (6) any claim I may have that may arise after I execute this Release; (7) any claims or rights which are not waivable as a matter of law; or (8) as otherwise provided for in this Release (below). I hereby represent and warrant that, other than the Excluded Claims, I am not aware of any claims I have or might have against any of the Released Parties that are not included in the Released Claims.</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the Company advises me by this writing, as required by the ADEA, that: (1) the Released Claims do not apply to any rights or claims that arise after the date I sign this Release; (2) I should consult with an attorney prior to signing this Release (although I may choose voluntarily not to do so); (3) I have twenty-one (21) days to consider this Release (although I may choose to voluntarily sign it sooner); (4) I have seven (7) days following the date I sign this Release to revoke it by providing written notice (in the form of email) to the Jazz Pharmaceuticals Legal Department to the attention of [LEGAL CONTACT NAME AND EMAIL ADDRESS]; and (5) this Release will not be effective until the date upon which the revocation period has expired provided I have not exercised my right to revoke, which will be the eighth day after I sign this Release (the “</w:t>
      </w:r>
      <w:r>
        <w:rPr>
          <w:rFonts w:ascii="Times New Roman" w:cs="Times New Roman" w:eastAsia="Times New Roman" w:hAnsi="Times New Roman"/>
          <w:sz w:val="22"/>
          <w:szCs w:val="22"/>
          <w:b w:val="1"/>
          <w:bCs w:val="1"/>
          <w:i w:val="1"/>
          <w:iCs w:val="1"/>
          <w:color w:val="auto"/>
        </w:rPr>
        <w:t>Release Effective Date</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the purpose of providing a full and complete waiver and release, I understand and agree that this Release is intended to waive and release all claims, if any, which I may have and which I may not now know or suspect to exist in my favor against the Released Parties and that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22" w:right="339" w:bottom="1440" w:gutter="0" w:footer="0" w:header="0"/>
        </w:sectPr>
      </w:pPr>
    </w:p>
    <w:bookmarkStart w:id="115" w:name="page116"/>
    <w:bookmarkEnd w:id="115"/>
    <w:p>
      <w:pPr>
        <w:jc w:val="both"/>
        <w:spacing w:after="0" w:line="254" w:lineRule="auto"/>
        <w:rPr>
          <w:sz w:val="20"/>
          <w:szCs w:val="20"/>
          <w:color w:val="auto"/>
        </w:rPr>
      </w:pPr>
      <w:r>
        <w:rPr>
          <w:rFonts w:ascii="Times New Roman" w:cs="Times New Roman" w:eastAsia="Times New Roman" w:hAnsi="Times New Roman"/>
          <w:sz w:val="22"/>
          <w:szCs w:val="22"/>
          <w:color w:val="auto"/>
        </w:rPr>
        <w:t xml:space="preserve">Release extinguishes those claims. Accordingly, I expressly waive all rights afforded by Section 1542 of the California Civil Code and any other law or legal principle of similar effect. Section 1542 of the California Civil Code reads as follows: </w:t>
      </w:r>
      <w:r>
        <w:rPr>
          <w:rFonts w:ascii="Times New Roman" w:cs="Times New Roman" w:eastAsia="Times New Roman" w:hAnsi="Times New Roman"/>
          <w:sz w:val="22"/>
          <w:szCs w:val="22"/>
          <w:b w:val="1"/>
          <w:bCs w:val="1"/>
          <w:color w:val="auto"/>
        </w:rPr>
        <w:t>A</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 acknowledge that I must sign and return this Release to the Company so that it is received not later than twenty-one (21) days following the date it is provided to me. By signing below, I represent that I have carefully read and understand the terms of this Release and the Plan, and I have signed this Release knowingly and voluntarily.</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I hereby confirm I will abide by my obligations under my </w:t>
      </w:r>
      <w:r>
        <w:rPr>
          <w:rFonts w:ascii="Times New Roman" w:cs="Times New Roman" w:eastAsia="Times New Roman" w:hAnsi="Times New Roman"/>
          <w:sz w:val="22"/>
          <w:szCs w:val="22"/>
          <w:i w:val="1"/>
          <w:iCs w:val="1"/>
          <w:color w:val="auto"/>
        </w:rPr>
        <w:t>Employee Confidential Information and Inventions Agreement</w:t>
      </w:r>
      <w:r>
        <w:rPr>
          <w:rFonts w:ascii="Times New Roman" w:cs="Times New Roman" w:eastAsia="Times New Roman" w:hAnsi="Times New Roman"/>
          <w:sz w:val="22"/>
          <w:szCs w:val="22"/>
          <w:color w:val="auto"/>
        </w:rPr>
        <w:t xml:space="preserve"> or other similar agreement (if containing a different name) with the Company (the “</w:t>
      </w:r>
      <w:r>
        <w:rPr>
          <w:rFonts w:ascii="Times New Roman" w:cs="Times New Roman" w:eastAsia="Times New Roman" w:hAnsi="Times New Roman"/>
          <w:sz w:val="22"/>
          <w:szCs w:val="22"/>
          <w:b w:val="1"/>
          <w:bCs w:val="1"/>
          <w:i w:val="1"/>
          <w:iCs w:val="1"/>
          <w:color w:val="auto"/>
        </w:rPr>
        <w:t>ECII Agreement</w:t>
      </w:r>
      <w:r>
        <w:rPr>
          <w:rFonts w:ascii="Times New Roman" w:cs="Times New Roman" w:eastAsia="Times New Roman" w:hAnsi="Times New Roman"/>
          <w:sz w:val="22"/>
          <w:szCs w:val="22"/>
          <w:color w:val="auto"/>
        </w:rPr>
        <w:t>”), which continue in full-force and effect following my employment. I also agree not to disparage the Company or any other Released Parties (as defined below), or each of their respective officers, directors, employees, shareholders, subsidiaries, affiliates, and agents, in any manner likely to be harmful to them or their business, business reputation or personal reputation. I further agree to provide reasonable assistance to the Company in legal matters involving the Company or another Released Party about which I have personal knowledge or expertise deriving from my employment with the Company. Such assistance may include, but is not necessarily limited to, providing information and materials to the Company’s legal counsel and providing truthful testimony or sworn statements in connection with any such legal matters.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Notwithstanding the foregoing, I understand that nothing in my ECII Agreement or this Release prevents me from lawfully (a) initiating communications directly with, cooperating with, providing information to, causing information to be provided to, initiating a charge or complaint with or otherwise testifying, participating or assisting in an investigation or proceeding by the EEOC, the NLRB, the SEC or any other governmental or regulatory agency, entity, or official(s) (collectively, “</w:t>
      </w:r>
      <w:r>
        <w:rPr>
          <w:rFonts w:ascii="Times New Roman" w:cs="Times New Roman" w:eastAsia="Times New Roman" w:hAnsi="Times New Roman"/>
          <w:sz w:val="22"/>
          <w:szCs w:val="22"/>
          <w:b w:val="1"/>
          <w:bCs w:val="1"/>
          <w:i w:val="1"/>
          <w:iCs w:val="1"/>
          <w:color w:val="auto"/>
        </w:rPr>
        <w:t>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Authorities</w:t>
      </w:r>
      <w:r>
        <w:rPr>
          <w:rFonts w:ascii="Times New Roman" w:cs="Times New Roman" w:eastAsia="Times New Roman" w:hAnsi="Times New Roman"/>
          <w:sz w:val="22"/>
          <w:szCs w:val="22"/>
          <w:color w:val="auto"/>
        </w:rPr>
        <w:t>”) regarding a possible violation of any law; (b) responding to any inquiry or legal process directed to me individually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from any such Governmental Authorities; (c) testifying, participating or otherwise assisting in an action or proceeding by any such Governmental Authorities relating to a possible violation of law; (d) filing or disclosing any facts necessary to receive unemployment insurance, Medicaid, or other public benefits to which I am entitled; or (e) making any other disclosures that are protected under the whistleblower provisions of any applicable law. I have no obligation to inform the Company before engaging in any activity discussed in the preceding sentence. I agree, however, that if any court, agency or self-regulatory organization assumes jurisdiction over any complaint, charge, lawsuit, or other legal action that is the subject of the Released Claims, I waive all personal relief available to me in any such action, including without limitation, monetary damages, attorney’s fees, and/or reinstatement and, if notwithstanding I receive any personal or monetary award, the Company shall be entitled to an offset against the payments made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48" w:lineRule="auto"/>
        <w:rPr>
          <w:sz w:val="20"/>
          <w:szCs w:val="20"/>
          <w:color w:val="auto"/>
        </w:rPr>
      </w:pPr>
      <w:r>
        <w:rPr>
          <w:rFonts w:ascii="Times New Roman" w:cs="Times New Roman" w:eastAsia="Times New Roman" w:hAnsi="Times New Roman"/>
          <w:sz w:val="22"/>
          <w:szCs w:val="22"/>
          <w:color w:val="auto"/>
        </w:rPr>
        <w:t>to this Release; provided, however, that I may receive money properly awarded by the SEC as a reward for providing information to that Governmental Agency. Additionally, I understand that, notwithstanding anything in my ECII Agreement, federal law provides that I shall not be held criminally or civilly liable under any federal or state trade secret law for the disclosure of a trade secret under either of the following conditions: (a) where the disclosure is made (i) in confidence to a federal, state, or local government official, either directly or indirectly, or to an attorney; and (ii) solely for the purpose of reporting or investigating a suspected violation of law; or (b) to my attorney in relation to a lawsuit for retaliation against me for reporting a suspected violation of law; or (c) where the disclosure is made in a complaint or other document filed in a lawsuit or other proceeding, if such filing is made under seal. I understand that federal law also provides that if I were to file a lawsuit for retaliation by the Company for reporting a suspected violation of law, I may disclose the trade secret to my attorney and use the trade secret information in the court proceeding, provided I (i) file any document containing the trade secret under seal; and (ii) do not disclose the trade secret, except pursuant to court order. Further, nothing in this Release prevents me from engaging in conduct protected by Section 7 of the National Labor Relations Act, such as lawful discussions with co-workers, former employees, or others (including but not limited to unions and the National Labor Relations Board) about wages, hours, or working conditions, nor does it prevent me from discussing or disclosing information about unlawful acts in the workplace, such as harassment or discrimination or any other conduct that I have reason to believe is unlawful.</w:t>
      </w:r>
    </w:p>
    <w:p>
      <w:pPr>
        <w:spacing w:after="0" w:line="1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This Release and all matters arising out of or relating to this Release shall be governed by the law of the Commonwealth of Pennsylvania without reference to that jurisdiction’s choice of law rules.</w:t>
      </w:r>
    </w:p>
    <w:p>
      <w:pPr>
        <w:spacing w:after="0" w:line="18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Printed Name:</w:t>
      </w:r>
    </w:p>
    <w:p>
      <w:pPr>
        <w:spacing w:after="0" w:line="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-158750</wp:posOffset>
            </wp:positionV>
            <wp:extent cx="31203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12065</wp:posOffset>
            </wp:positionV>
            <wp:extent cx="31203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-158750</wp:posOffset>
            </wp:positionV>
            <wp:extent cx="31203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2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For U.S. Employees Age 40 or Older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Termination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 AGREEMENT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b w:val="1"/>
          <w:bCs w:val="1"/>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signed on my date of Involuntary Termination or within 45 days thereafter.]</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I understand and agree completely to the terms set forth in the Jazz Pharmaceuticals plc Executive Committee Severance Benefit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b w:val="1"/>
          <w:bCs w:val="1"/>
          <w:color w:val="auto"/>
        </w:rPr>
        <w:t>”).</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 understand that this Release, together with the Plan, constitutes the complete, final and exclusive agreement between me and my employer entity within the Jazz Pharmaceuticals group of companies (such relevant entity to be referenced herein as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with regard to the subject matter hereof. I am not relying on any promise or representation by the Company that is not expressly stated therein. Certain capitalized terms used in this Release are defined in the Plan.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exchange for the consideration provided to me by this Release and under the Plan (summarized in [the Severance Benefits Overview and Calculation previously provided to me by the Company on DATE] [Attachment XX hereto])</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Times New Roman" w:cs="Times New Roman" w:eastAsia="Times New Roman" w:hAnsi="Times New Roman"/>
          <w:sz w:val="22"/>
          <w:szCs w:val="22"/>
          <w:b w:val="1"/>
          <w:bCs w:val="1"/>
          <w:i w:val="1"/>
          <w:iCs w:val="1"/>
          <w:color w:val="auto"/>
        </w:rPr>
        <w:t>Released Parties</w:t>
      </w:r>
      <w:r>
        <w:rPr>
          <w:rFonts w:ascii="Times New Roman" w:cs="Times New Roman" w:eastAsia="Times New Roman" w:hAnsi="Times New Roman"/>
          <w:sz w:val="22"/>
          <w:szCs w:val="22"/>
          <w:color w:val="auto"/>
        </w:rPr>
        <w:t>”) of and from, and I forever waive, any and all claims, liabilities and obligations, both known and unknown, that arise out of or are in any way related to events, acts, conduct, or omissions occurring prior to my signing this Release (collectively, the “</w:t>
      </w:r>
      <w:r>
        <w:rPr>
          <w:rFonts w:ascii="Times New Roman" w:cs="Times New Roman" w:eastAsia="Times New Roman" w:hAnsi="Times New Roman"/>
          <w:sz w:val="22"/>
          <w:szCs w:val="22"/>
          <w:b w:val="1"/>
          <w:bCs w:val="1"/>
          <w:i w:val="1"/>
          <w:iCs w:val="1"/>
          <w:color w:val="auto"/>
        </w:rPr>
        <w:t>Released Claims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6459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event of a conflict between [the Severance Benefits Overview and Calculation] [Attachment XX] and the Plan, the terms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50" w:lineRule="auto"/>
        <w:rPr>
          <w:sz w:val="20"/>
          <w:szCs w:val="20"/>
          <w:color w:val="auto"/>
        </w:rPr>
      </w:pPr>
      <w:r>
        <w:rPr>
          <w:rFonts w:ascii="Times New Roman" w:cs="Times New Roman" w:eastAsia="Times New Roman" w:hAnsi="Times New Roman"/>
          <w:sz w:val="22"/>
          <w:szCs w:val="22"/>
          <w:color w:val="auto"/>
        </w:rPr>
        <w:t>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the Employee Retirement Income Security Act (as amended), the federal Worker Adjustment and Retraining Notification Act and any state and local law equivalent (“</w:t>
      </w:r>
      <w:r>
        <w:rPr>
          <w:rFonts w:ascii="Times New Roman" w:cs="Times New Roman" w:eastAsia="Times New Roman" w:hAnsi="Times New Roman"/>
          <w:sz w:val="22"/>
          <w:szCs w:val="22"/>
          <w:b w:val="1"/>
          <w:bCs w:val="1"/>
          <w:i w:val="1"/>
          <w:iCs w:val="1"/>
          <w:color w:val="auto"/>
        </w:rPr>
        <w:t>WARN Act</w:t>
      </w:r>
      <w:r>
        <w:rPr>
          <w:rFonts w:ascii="Times New Roman" w:cs="Times New Roman" w:eastAsia="Times New Roman" w:hAnsi="Times New Roman"/>
          <w:sz w:val="22"/>
          <w:szCs w:val="22"/>
          <w:color w:val="auto"/>
        </w:rPr>
        <w:t>”), the federal Family Medical Leave Act (“</w:t>
      </w:r>
      <w:r>
        <w:rPr>
          <w:rFonts w:ascii="Times New Roman" w:cs="Times New Roman" w:eastAsia="Times New Roman" w:hAnsi="Times New Roman"/>
          <w:sz w:val="22"/>
          <w:szCs w:val="22"/>
          <w:b w:val="1"/>
          <w:bCs w:val="1"/>
          <w:i w:val="1"/>
          <w:iCs w:val="1"/>
          <w:color w:val="auto"/>
        </w:rPr>
        <w:t>FMLA</w:t>
      </w:r>
      <w:r>
        <w:rPr>
          <w:rFonts w:ascii="Times New Roman" w:cs="Times New Roman" w:eastAsia="Times New Roman" w:hAnsi="Times New Roman"/>
          <w:sz w:val="22"/>
          <w:szCs w:val="22"/>
          <w:color w:val="auto"/>
        </w:rPr>
        <w:t>”), the California Labor Code (as amended), the California Fair Employment and Housing Act (as amended), the California Family Rights Act (“</w:t>
      </w:r>
      <w:r>
        <w:rPr>
          <w:rFonts w:ascii="Times New Roman" w:cs="Times New Roman" w:eastAsia="Times New Roman" w:hAnsi="Times New Roman"/>
          <w:sz w:val="22"/>
          <w:szCs w:val="22"/>
          <w:b w:val="1"/>
          <w:bCs w:val="1"/>
          <w:i w:val="1"/>
          <w:iCs w:val="1"/>
          <w:color w:val="auto"/>
        </w:rPr>
        <w:t>CFRA</w:t>
      </w:r>
      <w:r>
        <w:rPr>
          <w:rFonts w:ascii="Times New Roman" w:cs="Times New Roman" w:eastAsia="Times New Roman" w:hAnsi="Times New Roman"/>
          <w:sz w:val="22"/>
          <w:szCs w:val="22"/>
          <w:color w:val="auto"/>
        </w:rPr>
        <w:t>”), the Pennsylvania Equal Pay Law, the Pennsylvania Wage Payment and Collection Law, the City of Philadelphia Fair Practices Code, the Pennsylvania Human Relations Act[, and the laws of the state in which I work and/or reside as may be applicable and identified in Attachment YY hereto].</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Notwithstanding the foregoing, the following are not included in the Released Claims (the “</w:t>
      </w:r>
      <w:r>
        <w:rPr>
          <w:rFonts w:ascii="Times New Roman" w:cs="Times New Roman" w:eastAsia="Times New Roman" w:hAnsi="Times New Roman"/>
          <w:sz w:val="21"/>
          <w:szCs w:val="21"/>
          <w:b w:val="1"/>
          <w:bCs w:val="1"/>
          <w:i w:val="1"/>
          <w:iCs w:val="1"/>
          <w:color w:val="auto"/>
        </w:rPr>
        <w:t>Excluded Claims</w:t>
      </w:r>
      <w:r>
        <w:rPr>
          <w:rFonts w:ascii="Times New Roman" w:cs="Times New Roman" w:eastAsia="Times New Roman" w:hAnsi="Times New Roman"/>
          <w:sz w:val="21"/>
          <w:szCs w:val="21"/>
          <w:color w:val="auto"/>
        </w:rPr>
        <w:t>”): (1) any rights or claims for indemnification I may have pursuant to any written indemnification agreement with any of the Released Parties to which I am a party, the charter, bylaws, or operating agreements of the Released Parties, or under applicable law; (2) any claim or right I may have under COBRA; (3) any claim or right I may have for unemployment insurance or workers’ compensation benefits (except for claims of retaliation); (4) any vested benefits I may have under the written terms of a Company benefit plan;</w:t>
      </w:r>
    </w:p>
    <w:p>
      <w:pPr>
        <w:spacing w:after="0" w:line="1" w:lineRule="exact"/>
        <w:rPr>
          <w:sz w:val="20"/>
          <w:szCs w:val="20"/>
          <w:color w:val="auto"/>
        </w:rPr>
      </w:pPr>
    </w:p>
    <w:p>
      <w:pPr>
        <w:jc w:val="both"/>
        <w:ind w:firstLine="8"/>
        <w:spacing w:after="0" w:line="247" w:lineRule="auto"/>
        <w:tabs>
          <w:tab w:leader="none" w:pos="37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medical claim I have incurred during my employment that is payable under applicable Company medical plans in which I am a covered participant; (5) any claim or right that I may have under this Release or the Plan; (6) any claim I may have that may arise after I execute this Release; (7) any claims or rights which are not waivable as a matter of law or (8) as otherwise provided for in this Release (below). I hereby represent and warrant that, other than the Excluded Claims, I am not aware of any claims I have or might have against any of the Released Parties that are not included in the Released Claims.</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the Company advises me by this writing, as required by the ADEA, that: (1) the Released Claims do not apply to any rights or claims that arise after the date I sign this Release; (2) I should consult with an attorney prior to signing this Release (although I may choose voluntarily not to do so); (3) I have forty-five (45) days to consider this Release (although I may choose to voluntarily sign it sooner); (4) I have seven (7) days following the date I sign this Release to revoke it by providing written notice (in the form of an email) to the Jazz Pharmaceuticals Legal Department to the attention of [LEGAL CONTACT NAME AND EMAIL ADDRESS]; and (5) this Release will not be effective until the date upon which the revocation period has expired provided I have not exercised my right to revoke, which will be the eighth day after I sign this Release (the “</w:t>
      </w:r>
      <w:r>
        <w:rPr>
          <w:rFonts w:ascii="Times New Roman" w:cs="Times New Roman" w:eastAsia="Times New Roman" w:hAnsi="Times New Roman"/>
          <w:sz w:val="22"/>
          <w:szCs w:val="22"/>
          <w:b w:val="1"/>
          <w:bCs w:val="1"/>
          <w:i w:val="1"/>
          <w:iCs w:val="1"/>
          <w:color w:val="auto"/>
        </w:rPr>
        <w:t>Release Effective Date</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 have received with this Release a written disclosure of all of the information required by the ADEA (Attachment ZZ), including without limitation a list of the job titles and ages of all employees who were terminated in this group termination and the job titles and ages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40"/>
          </w:cols>
          <w:pgMar w:left="320" w:top="1422" w:right="339" w:bottom="1440" w:gutter="0" w:footer="0" w:header="0"/>
        </w:sectPr>
      </w:pPr>
    </w:p>
    <w:bookmarkStart w:id="119" w:name="page120"/>
    <w:bookmarkEnd w:id="119"/>
    <w:p>
      <w:pPr>
        <w:jc w:val="both"/>
        <w:spacing w:after="0" w:line="295" w:lineRule="auto"/>
        <w:rPr>
          <w:sz w:val="20"/>
          <w:szCs w:val="20"/>
          <w:color w:val="auto"/>
        </w:rPr>
      </w:pPr>
      <w:r>
        <w:rPr>
          <w:rFonts w:ascii="Times New Roman" w:cs="Times New Roman" w:eastAsia="Times New Roman" w:hAnsi="Times New Roman"/>
          <w:sz w:val="21"/>
          <w:szCs w:val="21"/>
          <w:color w:val="auto"/>
        </w:rPr>
        <w:t>employees in the same job classification or organizational unit who were not terminated, along with information on the eligibility factors used to select employees for the group termination and any time limits applicable to this group termination program.</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For the purpose of providing a full and complete waiver and release, I understand and agree that this Release is intended to waive and release all claims, if any, which I may have and which I may not now know or suspect to exist in my favor against the Released Parties and that this Release extinguishes those claims. Accordingly, I expressly waive all rights afforded by Section 1542 of the California Civil Code and any other law or legal principle of similar effect. Section 1542 of the California Civil Code reads as follows: </w:t>
      </w:r>
      <w:r>
        <w:rPr>
          <w:rFonts w:ascii="Times New Roman" w:cs="Times New Roman" w:eastAsia="Times New Roman" w:hAnsi="Times New Roman"/>
          <w:sz w:val="22"/>
          <w:szCs w:val="22"/>
          <w:b w:val="1"/>
          <w:bCs w:val="1"/>
          <w:color w:val="auto"/>
        </w:rPr>
        <w:t>A GENERAL RELEASE DOES NOT EXTEND TO CLAIMS THAT THE CREDITOR OR</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 acknowledge that I must sign and return this Release to the Company so that it is received not later than forty-five (45) days following the date this Release and its attachments are provided to me. By signing below, I represent that I have carefully read and understand the terms of this Release and the Plan, and I have signed this Release knowingly and voluntarily.</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 hereby confirm I will abide by my obligations under my </w:t>
      </w:r>
      <w:r>
        <w:rPr>
          <w:rFonts w:ascii="Times New Roman" w:cs="Times New Roman" w:eastAsia="Times New Roman" w:hAnsi="Times New Roman"/>
          <w:sz w:val="22"/>
          <w:szCs w:val="22"/>
          <w:i w:val="1"/>
          <w:iCs w:val="1"/>
          <w:color w:val="auto"/>
        </w:rPr>
        <w:t>Employee Confidential Information and Inventions Agreement</w:t>
      </w:r>
      <w:r>
        <w:rPr>
          <w:rFonts w:ascii="Times New Roman" w:cs="Times New Roman" w:eastAsia="Times New Roman" w:hAnsi="Times New Roman"/>
          <w:sz w:val="22"/>
          <w:szCs w:val="22"/>
          <w:color w:val="auto"/>
        </w:rPr>
        <w:t xml:space="preserve"> or other similar agreement (if containing a different name) with the Company (the “</w:t>
      </w:r>
      <w:r>
        <w:rPr>
          <w:rFonts w:ascii="Times New Roman" w:cs="Times New Roman" w:eastAsia="Times New Roman" w:hAnsi="Times New Roman"/>
          <w:sz w:val="22"/>
          <w:szCs w:val="22"/>
          <w:b w:val="1"/>
          <w:bCs w:val="1"/>
          <w:i w:val="1"/>
          <w:iCs w:val="1"/>
          <w:color w:val="auto"/>
        </w:rPr>
        <w:t>ECII Agreement</w:t>
      </w:r>
      <w:r>
        <w:rPr>
          <w:rFonts w:ascii="Times New Roman" w:cs="Times New Roman" w:eastAsia="Times New Roman" w:hAnsi="Times New Roman"/>
          <w:sz w:val="22"/>
          <w:szCs w:val="22"/>
          <w:color w:val="auto"/>
        </w:rPr>
        <w:t>”), which continue in full-force and effect following my employment. I also agree not to disparage the Company or any other Released Parties (as defined below), or each of their respective officers, directors, employees, shareholders, subsidiaries, affiliates, and agents, in any manner likely to be harmful to them or their business, business reputation or personal reputation. I further agree to provide reasonable assistance to the Company in legal matters involving the Company or another Released Party about which I have personal knowledge or expertise deriving from my employment with the Company. Such assistance may include, but is not necessarily limited to, providing information and materials to the Company’s legal counsel and providing truthful testimony or sworn statements in connection with any such legal matters.</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the foregoing, I understand that nothing in my ECII Agreement or this Release prevents me from lawfully (a) initiating communications directly with, cooperating with, providing information to, causing information to be provided to, initiating a charge or complaint with or otherwise testifying, participating or assisting in an investigation or proceeding by the EEOC, the NLRB, the SEC or any other governmental or regulatory agency, entity, or official(s) (collectively, “</w:t>
      </w:r>
      <w:r>
        <w:rPr>
          <w:rFonts w:ascii="Times New Roman" w:cs="Times New Roman" w:eastAsia="Times New Roman" w:hAnsi="Times New Roman"/>
          <w:sz w:val="22"/>
          <w:szCs w:val="22"/>
          <w:b w:val="1"/>
          <w:bCs w:val="1"/>
          <w:i w:val="1"/>
          <w:iCs w:val="1"/>
          <w:color w:val="auto"/>
        </w:rPr>
        <w:t>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Authorities</w:t>
      </w:r>
      <w:r>
        <w:rPr>
          <w:rFonts w:ascii="Times New Roman" w:cs="Times New Roman" w:eastAsia="Times New Roman" w:hAnsi="Times New Roman"/>
          <w:sz w:val="22"/>
          <w:szCs w:val="22"/>
          <w:color w:val="auto"/>
        </w:rPr>
        <w:t>”) regarding a possible violation of any law; (b) responding to any inquiry or legal process directed to me individually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from any such Governmental Authorities; (c) testifying, participating or otherwise assisting in an action or proceeding by any such Governmental Authorities relating to a possible violation of law; (d) filing or disclosing any facts necessary to receive unemployment insurance, Medicaid, or other public benefits to which I am entitled; or (e) making any other disclosures that are protected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59" w:lineRule="auto"/>
        <w:rPr>
          <w:sz w:val="20"/>
          <w:szCs w:val="20"/>
          <w:color w:val="auto"/>
        </w:rPr>
      </w:pPr>
      <w:r>
        <w:rPr>
          <w:rFonts w:ascii="Times New Roman" w:cs="Times New Roman" w:eastAsia="Times New Roman" w:hAnsi="Times New Roman"/>
          <w:sz w:val="21"/>
          <w:szCs w:val="21"/>
          <w:color w:val="auto"/>
        </w:rPr>
        <w:t>under the whistleblower provisions of any applicable law. I have no obligation to inform the Company before engaging in any activity discussed in the preceding sentence. I agree, however, that if any court, agency or self-regulatory organization assumes jurisdiction over any complaint, charge, lawsuit, or other legal action that is the subject of the Released Claims, I waive all personal relief available to me in any such action, including without limitation, monetary damages, attorney’s fees, and/or reinstatement and, if notwithstanding I receive any personal or monetary award, the Company shall be entitled to an offset against the payments made pursuant to this Release; provided, however, that I may receive money properly awarded by the SEC as a reward for providing information to that Government Agency. Additionally, I understand that, notwithstanding anything in my ECII Agreement, federal law provides that I shall not be held criminally or civilly liable under any federal or state trade secret law for the disclosure of a trade secret under either of the following conditions: (a) where the disclosure is made (i) in confidence to a federal, state, or local government official, either directly or indirectly, or to an attorney; and (ii) solely for the purpose of reporting or investigating a suspected violation of law; or (b) to my attorney in relation to a lawsuit for retaliation against me for reporting a suspected violation of law; or (c) where the disclosure is made in a complaint or other document filed in a lawsuit or other proceeding, if such filing is made under seal. I understand that federal law also provides that if I were to file a lawsuit for retaliation by the Company for reporting a suspected violation of law, I may disclose the trade secret to my attorney and use the trade secret information in the court proceeding, provided I (i) file any document containing the trade secret under seal; and (ii) do not disclose the trade secret, except pursuant to court order. Further, nothing in this Release prevents me from engaging in conduct protected by Section 7 of the National Labor Relations Act, such as lawful discussions with co-workers, former employees, or others (including but not limited to unions and the National Labor Relations Board) about wages, hours, or working conditions, nor does it prevent me from discussing or disclosing information about unlawful acts in the workplace, such as harassment or discrimination or any other conduct that I have reason to believe is unlawful.</w:t>
      </w:r>
    </w:p>
    <w:p>
      <w:pPr>
        <w:spacing w:after="0" w:line="18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This Release and all matters arising out of or relating to this Release shall be governed by the law of the Commonwealth of Pennsylvania without reference to that jurisdiction’s choice of law rules.</w:t>
      </w:r>
    </w:p>
    <w:p>
      <w:pPr>
        <w:spacing w:after="0" w:line="18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Printed Name:</w:t>
      </w:r>
    </w:p>
    <w:p>
      <w:pPr>
        <w:spacing w:after="0" w:line="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-158750</wp:posOffset>
            </wp:positionV>
            <wp:extent cx="31203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12065</wp:posOffset>
            </wp:positionV>
            <wp:extent cx="31203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-158750</wp:posOffset>
            </wp:positionV>
            <wp:extent cx="31203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ectPr>
          <w:pgSz w:w="11900" w:h="16838" w:orient="portrait"/>
          <w:cols w:equalWidth="0" w:num="1">
            <w:col w:w="11240"/>
          </w:cols>
          <w:pgMar w:left="320" w:top="1422"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For U.S. Employees under Age 40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Individual and Group Termination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 AGREEMENT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b w:val="1"/>
          <w:bCs w:val="1"/>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signed on my date of Involuntary Termination or within fourteen (14) days thereafter.]</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I understand and agree completely to the terms set forth in the Jazz Pharmaceuticals plc Executive Committee Severance Benefit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b w:val="1"/>
          <w:bCs w:val="1"/>
          <w:color w:val="auto"/>
        </w:rPr>
        <w:t>”).</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 understand that this Release, together with the Plan, constitutes the complete, final and exclusive agreement between me and my employer entity within the Jazz Pharmaceuticals group of companies (such relevant entity to be referenced herein as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with regard to the subject matter hereof. I am not relying on any promise or representation by the Company that is not expressly stated therein. Certain capitalized terms used in this Release are defined in the Plan.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exchange for the consideration provided to me by this Release and under the Plan (summarized in [the Severance Benefits Overview and Calculation previously provided to me by the Company on DATE] [Attachment XX hereto])</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Times New Roman" w:cs="Times New Roman" w:eastAsia="Times New Roman" w:hAnsi="Times New Roman"/>
          <w:sz w:val="22"/>
          <w:szCs w:val="22"/>
          <w:b w:val="1"/>
          <w:bCs w:val="1"/>
          <w:i w:val="1"/>
          <w:iCs w:val="1"/>
          <w:color w:val="auto"/>
        </w:rPr>
        <w:t>Released Parties</w:t>
      </w:r>
      <w:r>
        <w:rPr>
          <w:rFonts w:ascii="Times New Roman" w:cs="Times New Roman" w:eastAsia="Times New Roman" w:hAnsi="Times New Roman"/>
          <w:sz w:val="22"/>
          <w:szCs w:val="22"/>
          <w:color w:val="auto"/>
        </w:rPr>
        <w:t>”) of and from, and I forever waive, any and all claims, liabilities and obligations, both known and unknown, that arise out of or are in any way related to events, acts, conduct, or omissions occurring prior to my signing this Release (collectively, the “</w:t>
      </w:r>
      <w:r>
        <w:rPr>
          <w:rFonts w:ascii="Times New Roman" w:cs="Times New Roman" w:eastAsia="Times New Roman" w:hAnsi="Times New Roman"/>
          <w:sz w:val="22"/>
          <w:szCs w:val="22"/>
          <w:b w:val="1"/>
          <w:bCs w:val="1"/>
          <w:i w:val="1"/>
          <w:iCs w:val="1"/>
          <w:color w:val="auto"/>
        </w:rPr>
        <w:t>Released Claims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6459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1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event of a conflict between [the Severance Benefits Overview and Calculation] [Attachment XX] and the Plan, the terms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49" w:lineRule="auto"/>
        <w:rPr>
          <w:sz w:val="20"/>
          <w:szCs w:val="20"/>
          <w:color w:val="auto"/>
        </w:rPr>
      </w:pPr>
      <w:r>
        <w:rPr>
          <w:rFonts w:ascii="Times New Roman" w:cs="Times New Roman" w:eastAsia="Times New Roman" w:hAnsi="Times New Roman"/>
          <w:sz w:val="22"/>
          <w:szCs w:val="22"/>
          <w:color w:val="auto"/>
        </w:rPr>
        <w:t>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Employee Retirement Income Security Act (as amended), the federal Worker Adjustment and Retraining Notification Act and any state and local law equivalent (“</w:t>
      </w:r>
      <w:r>
        <w:rPr>
          <w:rFonts w:ascii="Times New Roman" w:cs="Times New Roman" w:eastAsia="Times New Roman" w:hAnsi="Times New Roman"/>
          <w:sz w:val="22"/>
          <w:szCs w:val="22"/>
          <w:b w:val="1"/>
          <w:bCs w:val="1"/>
          <w:i w:val="1"/>
          <w:iCs w:val="1"/>
          <w:color w:val="auto"/>
        </w:rPr>
        <w:t>WARN Act</w:t>
      </w:r>
      <w:r>
        <w:rPr>
          <w:rFonts w:ascii="Times New Roman" w:cs="Times New Roman" w:eastAsia="Times New Roman" w:hAnsi="Times New Roman"/>
          <w:sz w:val="22"/>
          <w:szCs w:val="22"/>
          <w:color w:val="auto"/>
        </w:rPr>
        <w:t>”), the federal Family Medical Leave Act (“</w:t>
      </w:r>
      <w:r>
        <w:rPr>
          <w:rFonts w:ascii="Times New Roman" w:cs="Times New Roman" w:eastAsia="Times New Roman" w:hAnsi="Times New Roman"/>
          <w:sz w:val="22"/>
          <w:szCs w:val="22"/>
          <w:b w:val="1"/>
          <w:bCs w:val="1"/>
          <w:i w:val="1"/>
          <w:iCs w:val="1"/>
          <w:color w:val="auto"/>
        </w:rPr>
        <w:t>FMLA</w:t>
      </w:r>
      <w:r>
        <w:rPr>
          <w:rFonts w:ascii="Times New Roman" w:cs="Times New Roman" w:eastAsia="Times New Roman" w:hAnsi="Times New Roman"/>
          <w:sz w:val="22"/>
          <w:szCs w:val="22"/>
          <w:color w:val="auto"/>
        </w:rPr>
        <w:t>”), the California Labor Code (as amended), the California Fair Employment and Housing Act (as amended), the California Family Rights Act (“</w:t>
      </w:r>
      <w:r>
        <w:rPr>
          <w:rFonts w:ascii="Times New Roman" w:cs="Times New Roman" w:eastAsia="Times New Roman" w:hAnsi="Times New Roman"/>
          <w:sz w:val="22"/>
          <w:szCs w:val="22"/>
          <w:b w:val="1"/>
          <w:bCs w:val="1"/>
          <w:i w:val="1"/>
          <w:iCs w:val="1"/>
          <w:color w:val="auto"/>
        </w:rPr>
        <w:t>CFRA</w:t>
      </w:r>
      <w:r>
        <w:rPr>
          <w:rFonts w:ascii="Times New Roman" w:cs="Times New Roman" w:eastAsia="Times New Roman" w:hAnsi="Times New Roman"/>
          <w:sz w:val="22"/>
          <w:szCs w:val="22"/>
          <w:color w:val="auto"/>
        </w:rPr>
        <w:t>”), the Pennsylvania Equal Pay Law, the Pennsylvania Wage Payment and Collection Law, City of Philadelphia Fair Practices Code, and the Pennsylvania Human Relations Act[, and the laws of the state in which I work and/or reside as may be applicable and identified in Attachment YY hereto].</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Notwithstanding the foregoing, the following are not included in the Released Claims (the “</w:t>
      </w:r>
      <w:r>
        <w:rPr>
          <w:rFonts w:ascii="Times New Roman" w:cs="Times New Roman" w:eastAsia="Times New Roman" w:hAnsi="Times New Roman"/>
          <w:sz w:val="21"/>
          <w:szCs w:val="21"/>
          <w:b w:val="1"/>
          <w:bCs w:val="1"/>
          <w:i w:val="1"/>
          <w:iCs w:val="1"/>
          <w:color w:val="auto"/>
        </w:rPr>
        <w:t>Excluded Claims</w:t>
      </w:r>
      <w:r>
        <w:rPr>
          <w:rFonts w:ascii="Times New Roman" w:cs="Times New Roman" w:eastAsia="Times New Roman" w:hAnsi="Times New Roman"/>
          <w:sz w:val="21"/>
          <w:szCs w:val="21"/>
          <w:color w:val="auto"/>
        </w:rPr>
        <w:t>”): (1) any rights or claims for indemnification I may have pursuant to any written indemnification agreement with any of the Released Parties to which I am a party, the charter, bylaws, or operating agreements of the Released Parties, or under applicable law; (2) any claim or right I may have under COBRA; (3) any claim or right I may have for unemployment insurance or workers’ compensation benefits (except for claims of retaliation); (4) any vested benefits I may have under the written terms of a Company benefit plan;</w:t>
      </w:r>
    </w:p>
    <w:p>
      <w:pPr>
        <w:spacing w:after="0" w:line="4" w:lineRule="exact"/>
        <w:rPr>
          <w:sz w:val="20"/>
          <w:szCs w:val="20"/>
          <w:color w:val="auto"/>
        </w:rPr>
      </w:pPr>
    </w:p>
    <w:p>
      <w:pPr>
        <w:jc w:val="both"/>
        <w:ind w:firstLine="8"/>
        <w:spacing w:after="0" w:line="247" w:lineRule="auto"/>
        <w:tabs>
          <w:tab w:leader="none" w:pos="37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medical claim I have incurred during my employment that is payable under applicable Company medical plans in which I am a covered participant; (5) any claim or right that I may have under this Release or the Plan; (6) any claim I may have that may arise after I execute this Release; (7) any claims or rights which are not waivable as a matter of law; or (8) as otherwise provided for in this Release (below). I hereby represent and warrant that, other than the Excluded Claims, I am not aware of any claims I have or might have against any of the Released Parties that are not included in the Released Claims.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For the purpose of providing a full and complete waiver and release, I understand and agree that this Release is intended to waive and release all claims, if any, which I may have and which I may not now know or suspect to exist in my favor against the Released Parties and that this Release extinguishes those claims. Accordingly, I expressly waive all rights afforded by Section 1542 of the California Civil Code and any other law or legal principle of similar effect. Section 1542 of the California Civil Code reads as follows: </w:t>
      </w:r>
      <w:r>
        <w:rPr>
          <w:rFonts w:ascii="Times New Roman" w:cs="Times New Roman" w:eastAsia="Times New Roman" w:hAnsi="Times New Roman"/>
          <w:sz w:val="22"/>
          <w:szCs w:val="22"/>
          <w:b w:val="1"/>
          <w:bCs w:val="1"/>
          <w:color w:val="auto"/>
        </w:rPr>
        <w:t>A GENERAL RELEASE DOES NOT EXTEND TO CLAIMS THAT THE CREDITOR OR</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 acknowledge that I must sign and return this Release to the Company so that it is received not later than fourteen (14) days following the date it is provided to me. By signing below, I represent that I have carefully read and understand the terms of this Release and the Plan, and I have signed this Release knowingly and voluntarily. This Release shall become effective on the date that I sign the Release and return it to the Company (the “</w:t>
      </w:r>
      <w:r>
        <w:rPr>
          <w:rFonts w:ascii="Times New Roman" w:cs="Times New Roman" w:eastAsia="Times New Roman" w:hAnsi="Times New Roman"/>
          <w:sz w:val="22"/>
          <w:szCs w:val="22"/>
          <w:b w:val="1"/>
          <w:bCs w:val="1"/>
          <w:i w:val="1"/>
          <w:iCs w:val="1"/>
          <w:color w:val="auto"/>
        </w:rPr>
        <w:t>Release Effective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 hereby confirm I will abide by my obligations under my </w:t>
      </w:r>
      <w:r>
        <w:rPr>
          <w:rFonts w:ascii="Times New Roman" w:cs="Times New Roman" w:eastAsia="Times New Roman" w:hAnsi="Times New Roman"/>
          <w:sz w:val="22"/>
          <w:szCs w:val="22"/>
          <w:i w:val="1"/>
          <w:iCs w:val="1"/>
          <w:color w:val="auto"/>
        </w:rPr>
        <w:t>Employee Confidential Information and Inventions Agreement</w:t>
      </w:r>
      <w:r>
        <w:rPr>
          <w:rFonts w:ascii="Times New Roman" w:cs="Times New Roman" w:eastAsia="Times New Roman" w:hAnsi="Times New Roman"/>
          <w:sz w:val="22"/>
          <w:szCs w:val="22"/>
          <w:color w:val="auto"/>
        </w:rPr>
        <w:t xml:space="preserve"> or other similar agreement (if containing a different name) with the Company (the “</w:t>
      </w:r>
      <w:r>
        <w:rPr>
          <w:rFonts w:ascii="Times New Roman" w:cs="Times New Roman" w:eastAsia="Times New Roman" w:hAnsi="Times New Roman"/>
          <w:sz w:val="22"/>
          <w:szCs w:val="22"/>
          <w:b w:val="1"/>
          <w:bCs w:val="1"/>
          <w:i w:val="1"/>
          <w:iCs w:val="1"/>
          <w:color w:val="auto"/>
        </w:rPr>
        <w:t>ECII Agreement</w:t>
      </w:r>
      <w:r>
        <w:rPr>
          <w:rFonts w:ascii="Times New Roman" w:cs="Times New Roman" w:eastAsia="Times New Roman" w:hAnsi="Times New Roman"/>
          <w:sz w:val="22"/>
          <w:szCs w:val="22"/>
          <w:color w:val="auto"/>
        </w:rPr>
        <w:t>”), which continue in full-force and effect following my employment. I also agree not to disparage the Company or any other Released Parties (as defined below), or each of their respective officers, directors, employees, shareholders, subsidiaries, affiliates, and agents, in any manner likely to be harmful to them or their business, business reputation or personal reputation. I further agree to provide reasonable assistance to the Company in legal matters involving the Company or another Released Party about which I have personal knowledge or expertise deriving from my employment with the Company. Such assistance may include, but is not necessarily limited to, providing information and materials to the Company’s legal counsel and providing truthful testimony or sworn statements in connection with any such legal matters.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Notwithstanding the foregoing, I understand that nothing in my ECII Agreement or this Release prevents me from lawfully (a) initiating communications directly with, cooperating with, providing information to, causing information to be provided to, initiating a charge or complaint with or otherwise testifying, participating or assisting in an investigation or proceeding by the EEOC, the NLRB, the SEC or any other governmental or regulatory agency, entity, or official(s) (collectively, “</w:t>
      </w:r>
      <w:r>
        <w:rPr>
          <w:rFonts w:ascii="Times New Roman" w:cs="Times New Roman" w:eastAsia="Times New Roman" w:hAnsi="Times New Roman"/>
          <w:sz w:val="21"/>
          <w:szCs w:val="21"/>
          <w:b w:val="1"/>
          <w:bCs w:val="1"/>
          <w:i w:val="1"/>
          <w:iCs w:val="1"/>
          <w:color w:val="auto"/>
        </w:rPr>
        <w:t>Governmental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Authorities</w:t>
      </w:r>
      <w:r>
        <w:rPr>
          <w:rFonts w:ascii="Times New Roman" w:cs="Times New Roman" w:eastAsia="Times New Roman" w:hAnsi="Times New Roman"/>
          <w:sz w:val="21"/>
          <w:szCs w:val="21"/>
          <w:color w:val="auto"/>
        </w:rPr>
        <w:t>”) regarding a possible violation of any law; (b) responding to any inquiry or legal process directed to me individually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from any such Governmental Authorities; (c) testifying, participating or otherwise assisting in an action or proceeding by any such Governmental Authorities relating to a possible violation of law; (d) filing or disclosing any facts necessary to receive unemployment insurance, Medicaid, or other public benefits to which I am entitled; or (e) making any other disclosures that are protected under the whistleblower provisions of any applicable law. I have no obligation to inform the Company before engaging in any activity discussed in the preceding sentence. I agree, however, that if any court, agency or self-regulatory organization assumes jurisdiction over any complaint, charge, lawsuit, or other legal action that is the subject of the Released Claims, I waive all personal relief available to me in any such action, including without limitation, monetary damages, attorney’s fees, and/or reinstatement and, if notwithstanding I receive any personal or monetary award, the Company shall be entitled to an offset against the payments made pursuant to this Release; provided, however, that I may receive money properly awarded by the SEC as a reward for providing information to that Government Agency. Additionally, I understand that, notwithstanding anything in my ECII Agreement, federal law provides that I shall not be held criminally or civilly liable under any federal or state trade secret law for the disclosure of a trade secret under either of the following conditions: (a) where the disclosure is made (i) in confidence to a federal, state, or local government official, either directly or indirectly, or to an attorney; and (ii) solely for the purpose of reporting or investigating a suspected violation of law; or (b) to my attorney in relation to a lawsuit for retaliation against me for reporting a suspected violation of law; or (c) where the disclosure is made in a complaint or other document filed in a lawsuit or other proceeding, if such filing is made under seal. I understand that federal law also provides that if I were to file a lawsuit for retaliation by the Company for reporting a suspected violation of law, I may disclose the trade secret to my attorney and use the trade secret information in the court proceeding, provided I (i) file any document containing the trade secret under seal; and (ii) do not disclose the trade secret, except pursuant to court order. Further, nothing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C-3</w:t>
      </w:r>
    </w:p>
    <w:p>
      <w:pPr>
        <w:sectPr>
          <w:pgSz w:w="11900" w:h="16838" w:orient="portrait"/>
          <w:cols w:equalWidth="0" w:num="1">
            <w:col w:w="11240"/>
          </w:cols>
          <w:pgMar w:left="320" w:top="1418" w:right="33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22"/>
          <w:szCs w:val="22"/>
          <w:color w:val="auto"/>
        </w:rPr>
        <w:t>prevents me from engaging in conduct protected by Section 7 of the National Labor Relations Act, such as lawful discussions with co-workers, former employees, or others (including but not limited to unions and the National Labor Relations Board) about wages, hours, or working conditions, nor does it prevent me from discussing or disclosing information about unlawful acts in the workplace, such as harassment or discrimination or any other conduct that I have reason to believe is unlawful.</w:t>
      </w:r>
    </w:p>
    <w:p>
      <w:pPr>
        <w:spacing w:after="0" w:line="1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This Release and all matters arising out of or relating to this Release shall be governed by the law of the Commonwealth of Pennsylvania without reference to that jurisdiction’s choice of law rules.</w:t>
      </w: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Printed Name:</w:t>
      </w:r>
    </w:p>
    <w:p>
      <w:pPr>
        <w:spacing w:after="0" w:line="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-158750</wp:posOffset>
            </wp:positionV>
            <wp:extent cx="31203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12065</wp:posOffset>
            </wp:positionV>
            <wp:extent cx="31203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-158750</wp:posOffset>
            </wp:positionV>
            <wp:extent cx="31203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318458263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C-4</w:t>
      </w:r>
    </w:p>
    <w:p>
      <w:pPr>
        <w:sectPr>
          <w:pgSz w:w="11900" w:h="16838" w:orient="portrait"/>
          <w:cols w:equalWidth="0" w:num="1">
            <w:col w:w="11240"/>
          </w:cols>
          <w:pgMar w:left="320" w:top="1422"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Bruce C. Cozadd</w:t>
      </w:r>
    </w:p>
    <w:p>
      <w:pPr>
        <w:jc w:val="center"/>
        <w:ind w:left="6180"/>
        <w:spacing w:after="0" w:line="221" w:lineRule="auto"/>
        <w:rPr>
          <w:sz w:val="20"/>
          <w:szCs w:val="20"/>
          <w:color w:val="auto"/>
        </w:rPr>
      </w:pPr>
      <w:r>
        <w:rPr>
          <w:rFonts w:ascii="Times New Roman" w:cs="Times New Roman" w:eastAsia="Times New Roman" w:hAnsi="Times New Roman"/>
          <w:sz w:val="14"/>
          <w:szCs w:val="14"/>
          <w:b w:val="1"/>
          <w:bCs w:val="1"/>
          <w:color w:val="auto"/>
        </w:rPr>
        <w:t>Chairman, Chief Executive Officer and Director</w:t>
      </w:r>
    </w:p>
    <w:p>
      <w:pPr>
        <w:ind w:left="78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100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L. Johnson, certify that:</w:t>
      </w:r>
    </w:p>
    <w:p>
      <w:pPr>
        <w:spacing w:after="0" w:line="293"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600" w:val="left"/>
          <w:tab w:leader="none" w:pos="7880" w:val="left"/>
          <w:tab w:leader="none" w:pos="824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Philip L. Johnson</w:t>
      </w:r>
    </w:p>
    <w:p>
      <w:pPr>
        <w:jc w:val="center"/>
        <w:ind w:left="6180"/>
        <w:spacing w:after="0" w:line="221" w:lineRule="auto"/>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79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100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3"/>
          <w:szCs w:val="23"/>
          <w:b w:val="1"/>
          <w:bCs w:val="1"/>
          <w:color w:val="auto"/>
          <w:vertAlign w:val="superscript"/>
        </w:rPr>
        <w:t>(1)</w:t>
      </w:r>
    </w:p>
    <w:p>
      <w:pPr>
        <w:ind w:right="20"/>
        <w:spacing w:after="0" w:line="23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Philip L. Johnson, Executive Vice President and Chief Financial Officer of the Company, each hereby certifies that, to the best of his knowledge:</w:t>
      </w:r>
    </w:p>
    <w:p>
      <w:pPr>
        <w:spacing w:after="0" w:line="266" w:lineRule="exact"/>
        <w:rPr>
          <w:sz w:val="20"/>
          <w:szCs w:val="20"/>
          <w:color w:val="auto"/>
        </w:rPr>
      </w:pPr>
    </w:p>
    <w:p>
      <w:pPr>
        <w:ind w:left="740" w:right="80" w:hanging="327"/>
        <w:spacing w:after="0" w:line="282" w:lineRule="auto"/>
        <w:tabs>
          <w:tab w:leader="none" w:pos="7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32.1 (the “Periodic Report”), fully complies with the requirements of Section 13(a) or Section 15(d) of the Exchange Act; and</w:t>
      </w:r>
    </w:p>
    <w:p>
      <w:pPr>
        <w:spacing w:after="0" w:line="121"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333" w:lineRule="exact"/>
        <w:rPr>
          <w:sz w:val="20"/>
          <w:szCs w:val="20"/>
          <w:color w:val="auto"/>
        </w:rPr>
      </w:pPr>
    </w:p>
    <w:p>
      <w:pPr>
        <w:jc w:val="center"/>
        <w:ind w:right="63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43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7"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4"/>
          <w:szCs w:val="14"/>
          <w:b w:val="1"/>
          <w:bCs w:val="1"/>
          <w:color w:val="auto"/>
        </w:rPr>
        <w:t>Bruce C. Cozadd</w:t>
      </w:r>
    </w:p>
    <w:p>
      <w:pPr>
        <w:spacing w:after="0" w:line="42"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4"/>
          <w:szCs w:val="14"/>
          <w:b w:val="1"/>
          <w:bCs w:val="1"/>
          <w:color w:val="auto"/>
        </w:rPr>
        <w:t>Chairman, Chief Executive Officer and Director (Principal Executive Officer)</w:t>
      </w:r>
    </w:p>
    <w:p>
      <w:pPr>
        <w:spacing w:after="0" w:line="318" w:lineRule="exact"/>
        <w:rPr>
          <w:sz w:val="20"/>
          <w:szCs w:val="20"/>
          <w:color w:val="auto"/>
        </w:rPr>
      </w:pPr>
    </w:p>
    <w:p>
      <w:pPr>
        <w:jc w:val="center"/>
        <w:ind w:right="63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43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Philip L. Johnson</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15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420" w:right="80" w:hanging="331"/>
        <w:spacing w:after="0" w:line="252" w:lineRule="auto"/>
        <w:tabs>
          <w:tab w:leader="none" w:pos="41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1"/>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lvl w:ilvl="1">
      <w:lvlJc w:val="left"/>
      <w:lvlText w:val="%2"/>
      <w:numFmt w:val="decimal"/>
      <w:start w:val="104"/>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1."/>
      <w:numFmt w:val="decimal"/>
      <w:start w:val="1"/>
    </w:lvl>
  </w:abstractNum>
  <w:abstractNum w:abstractNumId="17">
    <w:nsid w:val="98A3148"/>
    <w:multiLevelType w:val="hybridMultilevel"/>
    <w:lvl w:ilvl="0">
      <w:lvlJc w:val="left"/>
      <w:lvlText w:val="(%1)"/>
      <w:numFmt w:val="lowerLetter"/>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1."/>
      <w:numFmt w:val="decimal"/>
      <w:start w:val="2"/>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1."/>
      <w:numFmt w:val="decimal"/>
      <w:start w:val="3"/>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1."/>
      <w:numFmt w:val="decimal"/>
      <w:start w:val="4"/>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1."/>
      <w:numFmt w:val="decimal"/>
      <w:start w:val="5"/>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1."/>
      <w:numFmt w:val="decimal"/>
      <w:start w:val="6"/>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1."/>
      <w:numFmt w:val="decimal"/>
      <w:start w:val="7"/>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1."/>
      <w:numFmt w:val="decimal"/>
      <w:start w:val="8"/>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1."/>
      <w:numFmt w:val="decimal"/>
      <w:start w:val="9"/>
    </w:lvl>
  </w:abstractNum>
  <w:abstractNum w:abstractNumId="42">
    <w:nsid w:val="1A27709E"/>
    <w:multiLevelType w:val="hybridMultilevel"/>
    <w:lvl w:ilvl="0">
      <w:lvlJc w:val="left"/>
      <w:lvlText w:val="[*]"/>
      <w:numFmt w:val="bullet"/>
      <w:start w:val="1"/>
    </w:lvl>
    <w:lvl w:ilvl="1">
      <w:lvlJc w:val="left"/>
      <w:lvlText w:val="(%2)"/>
      <w:numFmt w:val="lowerLetter"/>
      <w:start w:val="1"/>
    </w:lvl>
  </w:abstractNum>
  <w:abstractNum w:abstractNumId="43">
    <w:nsid w:val="71EA1109"/>
    <w:multiLevelType w:val="hybridMultilevel"/>
    <w:lvl w:ilvl="0">
      <w:lvlJc w:val="left"/>
      <w:lvlText w:val="(%1)"/>
      <w:numFmt w:val="lowerLetter"/>
      <w:start w:val="2"/>
    </w:lvl>
  </w:abstractNum>
  <w:abstractNum w:abstractNumId="44">
    <w:nsid w:val="100F59DC"/>
    <w:multiLevelType w:val="hybridMultilevel"/>
    <w:lvl w:ilvl="0">
      <w:lvlJc w:val="left"/>
      <w:lvlText w:val="%1."/>
      <w:numFmt w:val="decimal"/>
      <w:start w:val="10"/>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1."/>
      <w:numFmt w:val="decimal"/>
      <w:start w:val="11"/>
    </w:lvl>
  </w:abstractNum>
  <w:abstractNum w:abstractNumId="47">
    <w:nsid w:val="6F6DD9AC"/>
    <w:multiLevelType w:val="hybridMultilevel"/>
    <w:lvl w:ilvl="0">
      <w:lvlJc w:val="left"/>
      <w:lvlText w:val="(%1)"/>
      <w:numFmt w:val="lowerLetter"/>
      <w:start w:val="1"/>
    </w:lvl>
  </w:abstractNum>
  <w:abstractNum w:abstractNumId="48">
    <w:nsid w:val="94211F2"/>
    <w:multiLevelType w:val="hybridMultilevel"/>
    <w:lvl w:ilvl="0">
      <w:lvlJc w:val="left"/>
      <w:lvlText w:val="[*]"/>
      <w:numFmt w:val="bullet"/>
      <w:start w:val="1"/>
    </w:lvl>
    <w:lvl w:ilvl="1">
      <w:lvlJc w:val="left"/>
      <w:lvlText w:val="(%2)"/>
      <w:numFmt w:val="lowerLetter"/>
      <w:start w:val="1"/>
    </w:lvl>
  </w:abstractNum>
  <w:abstractNum w:abstractNumId="49">
    <w:nsid w:val="885E1B"/>
    <w:multiLevelType w:val="hybridMultilevel"/>
    <w:lvl w:ilvl="0">
      <w:lvlJc w:val="left"/>
      <w:lvlText w:val="(%1)"/>
      <w:numFmt w:val="lowerLetter"/>
      <w:start w:val="2"/>
    </w:lvl>
    <w:lvl w:ilvl="1">
      <w:lvlJc w:val="left"/>
      <w:lvlText w:val="(%2)"/>
      <w:numFmt w:val="lowerLetter"/>
      <w:start w:val="9"/>
    </w:lvl>
  </w:abstractNum>
  <w:abstractNum w:abstractNumId="50">
    <w:nsid w:val="76272110"/>
    <w:multiLevelType w:val="hybridMultilevel"/>
    <w:lvl w:ilvl="0">
      <w:lvlJc w:val="left"/>
      <w:lvlText w:val="%1."/>
      <w:numFmt w:val="decimal"/>
      <w:start w:val="12"/>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1)"/>
      <w:numFmt w:val="lowerLetter"/>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1."/>
      <w:numFmt w:val="decimal"/>
      <w:start w:val="13"/>
    </w:lvl>
  </w:abstractNum>
  <w:abstractNum w:abstractNumId="55">
    <w:nsid w:val="74DE0EE3"/>
    <w:multiLevelType w:val="hybridMultilevel"/>
    <w:lvl w:ilvl="0">
      <w:lvlJc w:val="left"/>
      <w:lvlText w:val="%1."/>
      <w:numFmt w:val="decimal"/>
      <w:start w:val="15"/>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1"/>
      <w:numFmt w:val="decimal"/>
      <w:start w:val="16"/>
    </w:lvl>
  </w:abstractNum>
  <w:abstractNum w:abstractNumId="58">
    <w:nsid w:val="46B7D447"/>
    <w:multiLevelType w:val="hybridMultilevel"/>
    <w:lvl w:ilvl="0">
      <w:lvlJc w:val="left"/>
      <w:lvlText w:val="%1."/>
      <w:numFmt w:val="decimal"/>
      <w:start w:val="17"/>
    </w:lvl>
  </w:abstractNum>
  <w:abstractNum w:abstractNumId="59">
    <w:nsid w:val="4A2AC315"/>
    <w:multiLevelType w:val="hybridMultilevel"/>
    <w:lvl w:ilvl="0">
      <w:lvlJc w:val="left"/>
      <w:lvlText w:val="%1."/>
      <w:numFmt w:val="decimal"/>
      <w:start w:val="18"/>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1."/>
      <w:numFmt w:val="decimal"/>
      <w:start w:val="19"/>
    </w:lvl>
  </w:abstractNum>
  <w:abstractNum w:abstractNumId="62">
    <w:nsid w:val="CC1016F"/>
    <w:multiLevelType w:val="hybridMultilevel"/>
    <w:lvl w:ilvl="0">
      <w:lvlJc w:val="left"/>
      <w:lvlText w:val="%1."/>
      <w:numFmt w:val="decimal"/>
      <w:start w:val="20"/>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1)"/>
      <w:numFmt w:val="lowerLetter"/>
      <w:start w:val="1"/>
    </w:lvl>
  </w:abstractNum>
  <w:abstractNum w:abstractNumId="65">
    <w:nsid w:val="26F324BA"/>
    <w:multiLevelType w:val="hybridMultilevel"/>
    <w:lvl w:ilvl="0">
      <w:lvlJc w:val="left"/>
      <w:lvlText w:val="(%1)"/>
      <w:numFmt w:val="lowerLetter"/>
      <w:start w:val="8"/>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1)"/>
      <w:numFmt w:val="lowerLetter"/>
      <w:start w:val="1"/>
    </w:lvl>
  </w:abstractNum>
  <w:abstractNum w:abstractNumId="74">
    <w:nsid w:val="7672BD23"/>
    <w:multiLevelType w:val="hybridMultilevel"/>
    <w:lvl w:ilvl="0">
      <w:lvlJc w:val="left"/>
      <w:lvlText w:val="(%1)"/>
      <w:numFmt w:val="lowerLetter"/>
      <w:start w:val="5"/>
    </w:lvl>
    <w:lvl w:ilvl="1">
      <w:lvlJc w:val="left"/>
      <w:lvlText w:val="(%2)"/>
      <w:numFmt w:val="lowerRoman"/>
      <w:start w:val="1"/>
    </w:lvl>
  </w:abstractNum>
  <w:abstractNum w:abstractNumId="75">
    <w:nsid w:val="6FC75AF8"/>
    <w:multiLevelType w:val="hybridMultilevel"/>
    <w:lvl w:ilvl="0">
      <w:lvlJc w:val="left"/>
      <w:lvlText w:val="%1"/>
      <w:numFmt w:val="lowerLetter"/>
      <w:start w:val="1"/>
    </w:lvl>
    <w:lvl w:ilvl="1">
      <w:lvlJc w:val="left"/>
      <w:lvlText w:val="(%2)"/>
      <w:numFmt w:val="lowerLetter"/>
      <w:start w:val="22"/>
    </w:lvl>
  </w:abstractNum>
  <w:abstractNum w:abstractNumId="76">
    <w:nsid w:val="6A5F7029"/>
    <w:multiLevelType w:val="hybridMultilevel"/>
    <w:lvl w:ilvl="0">
      <w:lvlJc w:val="left"/>
      <w:lvlText w:val="(%1)"/>
      <w:numFmt w:val="lowerLetter"/>
      <w:start w:val="6"/>
    </w:lvl>
    <w:lvl w:ilvl="1">
      <w:lvlJc w:val="left"/>
      <w:lvlText w:val="(%2)"/>
      <w:numFmt w:val="lowerLetter"/>
      <w:start w:val="9"/>
    </w:lvl>
  </w:abstractNum>
  <w:abstractNum w:abstractNumId="77">
    <w:nsid w:val="7D5E18F8"/>
    <w:multiLevelType w:val="hybridMultilevel"/>
    <w:lvl w:ilvl="0">
      <w:lvlJc w:val="left"/>
      <w:lvlText w:val="%1"/>
      <w:numFmt w:val="lowerLetter"/>
      <w:start w:val="1"/>
    </w:lvl>
    <w:lvl w:ilvl="1">
      <w:lvlJc w:val="left"/>
      <w:lvlText w:val="(%2)"/>
      <w:numFmt w:val="lowerLetter"/>
      <w:start w:val="35"/>
    </w:lvl>
  </w:abstractNum>
  <w:abstractNum w:abstractNumId="78">
    <w:nsid w:val="5F3534A4"/>
    <w:multiLevelType w:val="hybridMultilevel"/>
    <w:lvl w:ilvl="0">
      <w:lvlJc w:val="left"/>
      <w:lvlText w:val="(%1)"/>
      <w:numFmt w:val="lowerLetter"/>
      <w:start w:val="10"/>
    </w:lvl>
    <w:lvl w:ilvl="1">
      <w:lvlJc w:val="left"/>
      <w:lvlText w:val="%2"/>
      <w:numFmt w:val="lowerLetter"/>
      <w:start w:val="1"/>
    </w:lvl>
  </w:abstractNum>
  <w:abstractNum w:abstractNumId="79">
    <w:nsid w:val="73A1821B"/>
    <w:multiLevelType w:val="hybridMultilevel"/>
    <w:lvl w:ilvl="0">
      <w:lvlJc w:val="left"/>
      <w:lvlText w:val="(%1)"/>
      <w:numFmt w:val="lowerLetter"/>
      <w:start w:val="14"/>
    </w:lvl>
  </w:abstractNum>
  <w:abstractNum w:abstractNumId="80">
    <w:nsid w:val="7DE67713"/>
    <w:multiLevelType w:val="hybridMultilevel"/>
    <w:lvl w:ilvl="0">
      <w:lvlJc w:val="left"/>
      <w:lvlText w:val="(%1)"/>
      <w:numFmt w:val="lowerLetter"/>
      <w:start w:val="1"/>
    </w:lvl>
    <w:lvl w:ilvl="1">
      <w:lvlJc w:val="left"/>
      <w:lvlText w:val="(%2)"/>
      <w:numFmt w:val="lowerRoman"/>
      <w:start w:val="1"/>
    </w:lvl>
  </w:abstractNum>
  <w:abstractNum w:abstractNumId="81">
    <w:nsid w:val="555C55B5"/>
    <w:multiLevelType w:val="hybridMultilevel"/>
    <w:lvl w:ilvl="0">
      <w:lvlJc w:val="left"/>
      <w:lvlText w:val="(%1)"/>
      <w:numFmt w:val="lowerLetter"/>
      <w:start w:val="3"/>
    </w:lvl>
  </w:abstractNum>
  <w:abstractNum w:abstractNumId="82">
    <w:nsid w:val="3FA62ACA"/>
    <w:multiLevelType w:val="hybridMultilevel"/>
    <w:lvl w:ilvl="0">
      <w:lvlJc w:val="left"/>
      <w:lvlText w:val="(%1)"/>
      <w:numFmt w:val="lowerLetter"/>
      <w:start w:val="1"/>
    </w:lvl>
    <w:lvl w:ilvl="1">
      <w:lvlJc w:val="left"/>
      <w:lvlText w:val="(%2)"/>
      <w:numFmt w:val="lowerRoman"/>
      <w:start w:val="1"/>
    </w:lvl>
  </w:abstractNum>
  <w:abstractNum w:abstractNumId="83">
    <w:nsid w:val="14FCE74E"/>
    <w:multiLevelType w:val="hybridMultilevel"/>
    <w:lvl w:ilvl="0">
      <w:lvlJc w:val="left"/>
      <w:lvlText w:val="%1"/>
      <w:numFmt w:val="lowerLetter"/>
      <w:start w:val="1"/>
    </w:lvl>
    <w:lvl w:ilvl="1">
      <w:lvlJc w:val="left"/>
      <w:lvlText w:val="(%2)"/>
      <w:numFmt w:val="lowerRoman"/>
      <w:start w:val="2"/>
    </w:lvl>
  </w:abstractNum>
  <w:abstractNum w:abstractNumId="84">
    <w:nsid w:val="6A3DD3E8"/>
    <w:multiLevelType w:val="hybridMultilevel"/>
    <w:lvl w:ilvl="0">
      <w:lvlJc w:val="left"/>
      <w:lvlText w:val="(%1)"/>
      <w:numFmt w:val="lowerLetter"/>
      <w:start w:val="3"/>
    </w:lvl>
    <w:lvl w:ilvl="1">
      <w:lvlJc w:val="left"/>
      <w:lvlText w:val="%2"/>
      <w:numFmt w:val="lowerRoman"/>
      <w:start w:val="1"/>
    </w:lvl>
  </w:abstractNum>
  <w:abstractNum w:abstractNumId="85">
    <w:nsid w:val="71C91298"/>
    <w:multiLevelType w:val="hybridMultilevel"/>
    <w:lvl w:ilvl="0">
      <w:lvlJc w:val="left"/>
      <w:lvlText w:val="(%1)"/>
      <w:numFmt w:val="lowerRoman"/>
      <w:start w:val="1"/>
    </w:lvl>
  </w:abstractNum>
  <w:abstractNum w:abstractNumId="86">
    <w:nsid w:val="9DAF632"/>
    <w:multiLevelType w:val="hybridMultilevel"/>
    <w:lvl w:ilvl="0">
      <w:lvlJc w:val="left"/>
      <w:lvlText w:val="(%1)"/>
      <w:numFmt w:val="lowerLetter"/>
      <w:start w:val="4"/>
    </w:lvl>
  </w:abstractNum>
  <w:abstractNum w:abstractNumId="87">
    <w:nsid w:val="5329993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88">
    <w:nsid w:val="1FBFE8E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89">
    <w:nsid w:val="5092CA79"/>
    <w:multiLevelType w:val="hybridMultilevel"/>
    <w:lvl w:ilvl="0">
      <w:lvlJc w:val="left"/>
      <w:lvlText w:val="(%1)"/>
      <w:numFmt w:val="upperLetter"/>
      <w:start w:val="2"/>
    </w:lvl>
    <w:lvl w:ilvl="1">
      <w:lvlJc w:val="left"/>
      <w:lvlText w:val="(%2)"/>
      <w:numFmt w:val="lowerRoman"/>
      <w:start w:val="2"/>
    </w:lvl>
  </w:abstractNum>
  <w:abstractNum w:abstractNumId="90">
    <w:nsid w:val="1D545C4D"/>
    <w:multiLevelType w:val="hybridMultilevel"/>
    <w:lvl w:ilvl="0">
      <w:lvlJc w:val="left"/>
      <w:lvlText w:val="(%1)"/>
      <w:numFmt w:val="lowerLetter"/>
      <w:start w:val="4"/>
    </w:lvl>
  </w:abstractNum>
  <w:abstractNum w:abstractNumId="91">
    <w:nsid w:val="59ADEA3D"/>
    <w:multiLevelType w:val="hybridMultilevel"/>
    <w:lvl w:ilvl="0">
      <w:lvlJc w:val="left"/>
      <w:lvlText w:val="(%1)"/>
      <w:numFmt w:val="lowerLetter"/>
      <w:start w:val="1"/>
    </w:lvl>
    <w:lvl w:ilvl="1">
      <w:lvlJc w:val="left"/>
      <w:lvlText w:val="(%2)"/>
      <w:numFmt w:val="lowerRoman"/>
      <w:start w:val="1"/>
    </w:lvl>
  </w:abstractNum>
  <w:abstractNum w:abstractNumId="92">
    <w:nsid w:val="288F1A34"/>
    <w:multiLevelType w:val="hybridMultilevel"/>
    <w:lvl w:ilvl="0">
      <w:lvlJc w:val="left"/>
      <w:lvlText w:val="%1"/>
      <w:numFmt w:val="lowerLetter"/>
      <w:start w:val="1"/>
    </w:lvl>
    <w:lvl w:ilvl="1">
      <w:lvlJc w:val="left"/>
      <w:lvlText w:val="(%2)"/>
      <w:numFmt w:val="lowerLetter"/>
      <w:start w:val="22"/>
    </w:lvl>
  </w:abstractNum>
  <w:abstractNum w:abstractNumId="93">
    <w:nsid w:val="2A155DBC"/>
    <w:multiLevelType w:val="hybridMultilevel"/>
    <w:lvl w:ilvl="0">
      <w:lvlJc w:val="left"/>
      <w:lvlText w:val="(%1)"/>
      <w:numFmt w:val="lowerLetter"/>
      <w:start w:val="2"/>
    </w:lvl>
    <w:lvl w:ilvl="1">
      <w:lvlJc w:val="left"/>
      <w:lvlText w:val="%2"/>
      <w:numFmt w:val="lowerLetter"/>
      <w:start w:val="1"/>
    </w:lvl>
  </w:abstractNum>
  <w:abstractNum w:abstractNumId="94">
    <w:nsid w:val="1D9F6E5F"/>
    <w:multiLevelType w:val="hybridMultilevel"/>
    <w:lvl w:ilvl="0">
      <w:lvlJc w:val="left"/>
      <w:lvlText w:val="(%1)"/>
      <w:numFmt w:val="lowerLetter"/>
      <w:start w:val="6"/>
    </w:lvl>
    <w:lvl w:ilvl="1">
      <w:lvlJc w:val="left"/>
      <w:lvlText w:val="(%2)"/>
      <w:numFmt w:val="lowerRoman"/>
      <w:start w:val="1"/>
    </w:lvl>
  </w:abstractNum>
  <w:abstractNum w:abstractNumId="95">
    <w:nsid w:val="97E1B4E"/>
    <w:multiLevelType w:val="hybridMultilevel"/>
    <w:lvl w:ilvl="0">
      <w:lvlJc w:val="left"/>
      <w:lvlText w:val="(%1)"/>
      <w:numFmt w:val="lowerLetter"/>
      <w:start w:val="1"/>
    </w:lvl>
  </w:abstractNum>
  <w:abstractNum w:abstractNumId="96">
    <w:nsid w:val="51088277"/>
    <w:multiLevelType w:val="hybridMultilevel"/>
    <w:lvl w:ilvl="0">
      <w:lvlJc w:val="left"/>
      <w:lvlText w:val="(%1)"/>
      <w:numFmt w:val="lowerLetter"/>
      <w:start w:val="2"/>
    </w:lvl>
  </w:abstractNum>
  <w:abstractNum w:abstractNumId="97">
    <w:nsid w:val="1CA0C5FA"/>
    <w:multiLevelType w:val="hybridMultilevel"/>
    <w:lvl w:ilvl="0">
      <w:lvlJc w:val="left"/>
      <w:lvlText w:val="(%1)"/>
      <w:numFmt w:val="lowerLetter"/>
      <w:start w:val="1"/>
    </w:lvl>
    <w:lvl w:ilvl="1">
      <w:lvlJc w:val="left"/>
      <w:lvlText w:val="(%2)"/>
      <w:numFmt w:val="lowerRoman"/>
      <w:start w:val="1"/>
    </w:lvl>
  </w:abstractNum>
  <w:abstractNum w:abstractNumId="98">
    <w:nsid w:val="53584B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9">
    <w:nsid w:val="415E286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0">
    <w:nsid w:val="7C58FD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01">
    <w:nsid w:val="23D86AA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02">
    <w:nsid w:val="45E6D48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3">
    <w:nsid w:val="5C10FE21"/>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3"/>
    </w:lvl>
  </w:abstractNum>
  <w:abstractNum w:abstractNumId="104">
    <w:nsid w:val="E7FFA2B"/>
    <w:multiLevelType w:val="hybridMultilevel"/>
    <w:lvl w:ilvl="0">
      <w:lvlJc w:val="left"/>
      <w:lvlText w:val="%1"/>
      <w:numFmt w:val="upperLetter"/>
      <w:start w:val="1"/>
    </w:lvl>
    <w:lvl w:ilvl="1">
      <w:lvlJc w:val="left"/>
      <w:lvlText w:val="(%2)"/>
      <w:numFmt w:val="lowerLetter"/>
      <w:start w:val="6"/>
    </w:lvl>
    <w:lvl w:ilvl="2">
      <w:lvlJc w:val="left"/>
      <w:lvlText w:val="%3"/>
      <w:numFmt w:val="upperLetter"/>
      <w:start w:val="1"/>
    </w:lvl>
  </w:abstractNum>
  <w:abstractNum w:abstractNumId="105">
    <w:nsid w:val="3C5991AA"/>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106">
    <w:nsid w:val="4BD8591A"/>
    <w:multiLevelType w:val="hybridMultilevel"/>
    <w:lvl w:ilvl="0">
      <w:lvlJc w:val="left"/>
      <w:lvlText w:val="(%1)"/>
      <w:numFmt w:val="lowerLetter"/>
      <w:start w:val="1"/>
    </w:lvl>
  </w:abstractNum>
  <w:abstractNum w:abstractNumId="107">
    <w:nsid w:val="78DF6A55"/>
    <w:multiLevelType w:val="hybridMultilevel"/>
    <w:lvl w:ilvl="0">
      <w:lvlJc w:val="left"/>
      <w:lvlText w:val="(%1)"/>
      <w:numFmt w:val="lowerLetter"/>
      <w:start w:val="2"/>
    </w:lvl>
  </w:abstractNum>
  <w:abstractNum w:abstractNumId="108">
    <w:nsid w:val="39B7AAA2"/>
    <w:multiLevelType w:val="hybridMultilevel"/>
    <w:lvl w:ilvl="0">
      <w:lvlJc w:val="left"/>
      <w:lvlText w:val="(%1)"/>
      <w:numFmt w:val="lowerLetter"/>
      <w:start w:val="4"/>
    </w:lvl>
  </w:abstractNum>
  <w:abstractNum w:abstractNumId="109">
    <w:nsid w:val="2B0D8DBE"/>
    <w:multiLevelType w:val="hybridMultilevel"/>
    <w:lvl w:ilvl="0">
      <w:lvlJc w:val="left"/>
      <w:lvlText w:val="(%1)"/>
      <w:numFmt w:val="lowerLetter"/>
      <w:start w:val="1"/>
    </w:lvl>
    <w:lvl w:ilvl="1">
      <w:lvlJc w:val="left"/>
      <w:lvlText w:val="(%2)"/>
      <w:numFmt w:val="lowerRoman"/>
      <w:start w:val="1"/>
    </w:lvl>
  </w:abstractNum>
  <w:abstractNum w:abstractNumId="110">
    <w:nsid w:val="6C80EC70"/>
    <w:multiLevelType w:val="hybridMultilevel"/>
    <w:lvl w:ilvl="0">
      <w:lvlJc w:val="left"/>
      <w:lvlText w:val="(%1)"/>
      <w:numFmt w:val="lowerLetter"/>
      <w:start w:val="2"/>
    </w:lvl>
    <w:lvl w:ilvl="1">
      <w:lvlJc w:val="left"/>
      <w:lvlText w:val="(%2)"/>
      <w:numFmt w:val="lowerRoman"/>
      <w:start w:val="1"/>
    </w:lvl>
  </w:abstractNum>
  <w:abstractNum w:abstractNumId="111">
    <w:nsid w:val="379E21B5"/>
    <w:multiLevelType w:val="hybridMultilevel"/>
    <w:lvl w:ilvl="0">
      <w:lvlJc w:val="left"/>
      <w:lvlText w:val="(%1)"/>
      <w:numFmt w:val="lowerLetter"/>
      <w:start w:val="1"/>
    </w:lvl>
  </w:abstractNum>
  <w:abstractNum w:abstractNumId="112">
    <w:nsid w:val="69E373"/>
    <w:multiLevelType w:val="hybridMultilevel"/>
    <w:lvl w:ilvl="0">
      <w:lvlJc w:val="left"/>
      <w:lvlText w:val="(%1)"/>
      <w:numFmt w:val="lowerLetter"/>
      <w:start w:val="2"/>
    </w:lvl>
  </w:abstractNum>
  <w:abstractNum w:abstractNumId="113">
    <w:nsid w:val="2C27173B"/>
    <w:multiLevelType w:val="hybridMultilevel"/>
    <w:lvl w:ilvl="0">
      <w:lvlJc w:val="left"/>
      <w:lvlText w:val="1"/>
      <w:numFmt w:val="bullet"/>
      <w:start w:val="1"/>
    </w:lvl>
  </w:abstractNum>
  <w:abstractNum w:abstractNumId="114">
    <w:nsid w:val="4C9B0904"/>
    <w:multiLevelType w:val="hybridMultilevel"/>
    <w:lvl w:ilvl="0">
      <w:lvlJc w:val="left"/>
      <w:lvlText w:val="(%1)"/>
      <w:numFmt w:val="lowerRoman"/>
      <w:start w:val="4"/>
    </w:lvl>
  </w:abstractNum>
  <w:abstractNum w:abstractNumId="115">
    <w:nsid w:val="6AA7B75C"/>
    <w:multiLevelType w:val="hybridMultilevel"/>
    <w:lvl w:ilvl="0">
      <w:lvlJc w:val="left"/>
      <w:lvlText w:val="1"/>
      <w:numFmt w:val="bullet"/>
      <w:start w:val="1"/>
    </w:lvl>
  </w:abstractNum>
  <w:abstractNum w:abstractNumId="116">
    <w:nsid w:val="1DF029D3"/>
    <w:multiLevelType w:val="hybridMultilevel"/>
    <w:lvl w:ilvl="0">
      <w:lvlJc w:val="left"/>
      <w:lvlText w:val="(%1)"/>
      <w:numFmt w:val="lowerRoman"/>
      <w:start w:val="4"/>
    </w:lvl>
  </w:abstractNum>
  <w:abstractNum w:abstractNumId="117">
    <w:nsid w:val="5675FF36"/>
    <w:multiLevelType w:val="hybridMultilevel"/>
    <w:lvl w:ilvl="0">
      <w:lvlJc w:val="left"/>
      <w:lvlText w:val="1"/>
      <w:numFmt w:val="bullet"/>
      <w:start w:val="1"/>
    </w:lvl>
  </w:abstractNum>
  <w:abstractNum w:abstractNumId="118">
    <w:nsid w:val="3DD15094"/>
    <w:multiLevelType w:val="hybridMultilevel"/>
    <w:lvl w:ilvl="0">
      <w:lvlJc w:val="left"/>
      <w:lvlText w:val="(%1)"/>
      <w:numFmt w:val="lowerRoman"/>
      <w:start w:val="4"/>
    </w:lvl>
  </w:abstractNum>
  <w:abstractNum w:abstractNumId="119">
    <w:nsid w:val="3DB012B3"/>
    <w:multiLevelType w:val="hybridMultilevel"/>
    <w:lvl w:ilvl="0">
      <w:lvlJc w:val="left"/>
      <w:lvlText w:val="%1."/>
      <w:numFmt w:val="decimal"/>
      <w:start w:val="1"/>
    </w:lvl>
    <w:lvl w:ilvl="1">
      <w:lvlJc w:val="left"/>
      <w:lvlText w:val="%2)"/>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85" Type="http://schemas.openxmlformats.org/officeDocument/2006/relationships/hyperlink" Target="https://www.sec.gov/Archives/edgar/data/1232524/000119312521027577/d117870dex21.htm" TargetMode="External"/><Relationship Id="rId86" Type="http://schemas.openxmlformats.org/officeDocument/2006/relationships/hyperlink" Target="https://www.sec.gov/Archives/edgar/data/1232524/000123252416000303/jazzq22016ex31.htm" TargetMode="External"/><Relationship Id="rId87" Type="http://schemas.openxmlformats.org/officeDocument/2006/relationships/hyperlink" Target="https://www.sec.gov/Archives/edgar/data/1232524/000119312525046226/d927269dex21.htm" TargetMode="External"/><Relationship Id="rId88" Type="http://schemas.openxmlformats.org/officeDocument/2006/relationships/hyperlink" Target="https://www.sec.gov/Archives/edgar/data/1232524/000119312525075871/d90176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2025-05-07T06:45:53Z</dcterms:created>
  <dcterms:modified xsi:type="dcterms:W3CDTF">2025-05-07T06:45:53Z</dcterms:modified>
</cp:coreProperties>
</file>