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144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Smith Karen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Jazz Pharmaceuticals plc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JAZZ</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20" w:type="dxa"/>
            <w:vAlign w:val="bottom"/>
            <w:tcBorders>
              <w:top w:val="single" w:sz="8" w:color="0000EE"/>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CONNAUGHT HOUSE, 1 BURLINGTON RD, FL.</w:t>
            </w:r>
          </w:p>
        </w:tc>
        <w:tc>
          <w:tcPr>
            <w:tcW w:w="2300" w:type="dxa"/>
            <w:vAlign w:val="bottom"/>
            <w:gridSpan w:val="3"/>
          </w:tcPr>
          <w:p>
            <w:pPr>
              <w:ind w:left="160"/>
              <w:spacing w:after="0"/>
              <w:rPr>
                <w:sz w:val="20"/>
                <w:szCs w:val="20"/>
                <w:color w:val="auto"/>
              </w:rPr>
            </w:pPr>
            <w:r>
              <w:rPr>
                <w:rFonts w:ascii="Arial" w:cs="Arial" w:eastAsia="Arial" w:hAnsi="Arial"/>
                <w:sz w:val="17"/>
                <w:szCs w:val="17"/>
                <w:color w:val="0000FF"/>
              </w:rPr>
              <w:t>05/11/2015</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860" w:type="dxa"/>
            <w:vAlign w:val="bottom"/>
            <w:gridSpan w:val="2"/>
          </w:tcPr>
          <w:p>
            <w:pPr>
              <w:ind w:left="40"/>
              <w:spacing w:after="0"/>
              <w:rPr>
                <w:sz w:val="20"/>
                <w:szCs w:val="20"/>
                <w:color w:val="auto"/>
              </w:rPr>
            </w:pPr>
            <w:r>
              <w:rPr>
                <w:rFonts w:ascii="Arial" w:cs="Arial" w:eastAsia="Arial" w:hAnsi="Arial"/>
                <w:sz w:val="17"/>
                <w:szCs w:val="17"/>
                <w:color w:val="0000FF"/>
              </w:rPr>
              <w:t>4</w:t>
            </w: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26"/>
        <w:spacing w:after="0"/>
        <w:rPr>
          <w:sz w:val="20"/>
          <w:szCs w:val="20"/>
          <w:color w:val="auto"/>
        </w:rPr>
      </w:pPr>
      <w:r>
        <w:rPr>
          <w:rFonts w:ascii="Arial" w:cs="Arial" w:eastAsia="Arial" w:hAnsi="Arial"/>
          <w:sz w:val="17"/>
          <w:szCs w:val="17"/>
          <w:color w:val="0000FF"/>
        </w:rPr>
        <w:t>Global Head of R&amp;D and CMO</w:t>
      </w:r>
    </w:p>
    <w:p>
      <w:pPr>
        <w:spacing w:after="0" w:line="453"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DUBLIN 4</w:t>
            </w:r>
          </w:p>
        </w:tc>
        <w:tc>
          <w:tcPr>
            <w:tcW w:w="1080" w:type="dxa"/>
            <w:vAlign w:val="bottom"/>
          </w:tcPr>
          <w:p>
            <w:pPr>
              <w:ind w:left="240"/>
              <w:spacing w:after="0"/>
              <w:rPr>
                <w:sz w:val="20"/>
                <w:szCs w:val="20"/>
                <w:color w:val="auto"/>
              </w:rPr>
            </w:pPr>
            <w:r>
              <w:rPr>
                <w:rFonts w:ascii="Arial" w:cs="Arial" w:eastAsia="Arial" w:hAnsi="Arial"/>
                <w:sz w:val="17"/>
                <w:szCs w:val="17"/>
                <w:color w:val="0000FF"/>
              </w:rPr>
              <w:t>L2</w:t>
            </w:r>
          </w:p>
        </w:tc>
        <w:tc>
          <w:tcPr>
            <w:tcW w:w="1680" w:type="dxa"/>
            <w:vAlign w:val="bottom"/>
          </w:tcPr>
          <w:p>
            <w:pPr>
              <w:spacing w:after="0"/>
              <w:rPr>
                <w:sz w:val="20"/>
                <w:szCs w:val="20"/>
                <w:color w:val="auto"/>
              </w:rPr>
            </w:pPr>
          </w:p>
        </w:tc>
      </w:tr>
      <w:tr>
        <w:trPr>
          <w:trHeight w:val="156"/>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408" w:lineRule="exact"/>
        <w:rPr>
          <w:sz w:val="20"/>
          <w:szCs w:val="20"/>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4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05/11/2015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6,830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7"/>
                <w:szCs w:val="17"/>
                <w:color w:val="0000FF"/>
              </w:rPr>
              <w:t>6,830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05/11/2015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1"/>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0000FF"/>
              </w:rPr>
              <w:t>275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1400" w:type="dxa"/>
            <w:vAlign w:val="bottom"/>
            <w:tcBorders>
              <w:bottom w:val="single" w:sz="8" w:color="2C2C2C"/>
            </w:tcBorders>
            <w:gridSpan w:val="3"/>
          </w:tcPr>
          <w:p>
            <w:pPr>
              <w:ind w:left="540"/>
              <w:spacing w:after="0"/>
              <w:rPr>
                <w:sz w:val="20"/>
                <w:szCs w:val="20"/>
                <w:color w:val="auto"/>
              </w:rPr>
            </w:pPr>
            <w:r>
              <w:rPr>
                <w:rFonts w:ascii="Arial" w:cs="Arial" w:eastAsia="Arial" w:hAnsi="Arial"/>
                <w:sz w:val="17"/>
                <w:szCs w:val="17"/>
                <w:color w:val="0000FF"/>
              </w:rPr>
              <w:t>7,105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7"/>
                <w:szCs w:val="17"/>
                <w:color w:val="0000FF"/>
                <w:w w:val="98"/>
              </w:rPr>
              <w:t>2,264</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176.51</w:t>
            </w:r>
          </w:p>
        </w:tc>
        <w:tc>
          <w:tcPr>
            <w:tcW w:w="1080" w:type="dxa"/>
            <w:vAlign w:val="bottom"/>
            <w:vMerge w:val="restart"/>
          </w:tcPr>
          <w:p>
            <w:pPr>
              <w:jc w:val="right"/>
              <w:ind w:right="137"/>
              <w:spacing w:after="0" w:line="148" w:lineRule="exact"/>
              <w:rPr>
                <w:sz w:val="20"/>
                <w:szCs w:val="20"/>
                <w:color w:val="auto"/>
              </w:rPr>
            </w:pPr>
            <w:r>
              <w:rPr>
                <w:rFonts w:ascii="Arial" w:cs="Arial" w:eastAsia="Arial" w:hAnsi="Arial"/>
                <w:sz w:val="13"/>
                <w:szCs w:val="13"/>
                <w:color w:val="0000FF"/>
              </w:rPr>
              <w:t>05/11/2015</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2,264</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05/10/2025</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2,264</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176.51</w:t>
            </w:r>
          </w:p>
        </w:tc>
        <w:tc>
          <w:tcPr>
            <w:tcW w:w="1080" w:type="dxa"/>
            <w:vAlign w:val="bottom"/>
          </w:tcPr>
          <w:p>
            <w:pPr>
              <w:jc w:val="right"/>
              <w:ind w:right="137"/>
              <w:spacing w:after="0"/>
              <w:rPr>
                <w:sz w:val="20"/>
                <w:szCs w:val="20"/>
                <w:color w:val="auto"/>
              </w:rPr>
            </w:pPr>
            <w:r>
              <w:rPr>
                <w:rFonts w:ascii="Arial" w:cs="Arial" w:eastAsia="Arial" w:hAnsi="Arial"/>
                <w:sz w:val="13"/>
                <w:szCs w:val="13"/>
                <w:color w:val="0000FF"/>
              </w:rPr>
              <w:t>05/11/2015</w:t>
            </w:r>
          </w:p>
        </w:tc>
        <w:tc>
          <w:tcPr>
            <w:tcW w:w="1180" w:type="dxa"/>
            <w:vAlign w:val="bottom"/>
          </w:tcPr>
          <w:p>
            <w:pPr>
              <w:spacing w:after="0"/>
              <w:rPr>
                <w:sz w:val="17"/>
                <w:szCs w:val="17"/>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600" w:type="dxa"/>
            <w:vAlign w:val="bottom"/>
          </w:tcPr>
          <w:p>
            <w:pPr>
              <w:jc w:val="right"/>
              <w:ind w:right="19"/>
              <w:spacing w:after="0"/>
              <w:rPr>
                <w:sz w:val="20"/>
                <w:szCs w:val="20"/>
                <w:color w:val="auto"/>
              </w:rPr>
            </w:pPr>
            <w:r>
              <w:rPr>
                <w:rFonts w:ascii="Arial" w:cs="Arial" w:eastAsia="Arial" w:hAnsi="Arial"/>
                <w:sz w:val="13"/>
                <w:szCs w:val="13"/>
                <w:color w:val="0000FF"/>
              </w:rPr>
              <w:t>15,516</w:t>
            </w:r>
          </w:p>
        </w:tc>
        <w:tc>
          <w:tcPr>
            <w:tcW w:w="340" w:type="dxa"/>
            <w:vAlign w:val="bottom"/>
          </w:tcPr>
          <w:p>
            <w:pPr>
              <w:spacing w:after="0"/>
              <w:rPr>
                <w:sz w:val="17"/>
                <w:szCs w:val="17"/>
                <w:color w:val="auto"/>
              </w:rPr>
            </w:pPr>
          </w:p>
        </w:tc>
        <w:tc>
          <w:tcPr>
            <w:tcW w:w="800" w:type="dxa"/>
            <w:vAlign w:val="bottom"/>
            <w:gridSpan w:val="2"/>
          </w:tcPr>
          <w:p>
            <w:pPr>
              <w:jc w:val="center"/>
              <w:ind w:right="1"/>
              <w:spacing w:after="0"/>
              <w:rPr>
                <w:sz w:val="20"/>
                <w:szCs w:val="20"/>
                <w:color w:val="auto"/>
              </w:rPr>
            </w:pPr>
            <w:r>
              <w:rPr>
                <w:rFonts w:ascii="Arial" w:cs="Arial" w:eastAsia="Arial" w:hAnsi="Arial"/>
                <w:sz w:val="11"/>
                <w:szCs w:val="11"/>
                <w:color w:val="008000"/>
              </w:rPr>
              <w:t>(3)</w:t>
            </w: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05/10/2025</w:t>
            </w:r>
          </w:p>
        </w:tc>
        <w:tc>
          <w:tcPr>
            <w:tcW w:w="660" w:type="dxa"/>
            <w:vAlign w:val="bottom"/>
          </w:tcPr>
          <w:p>
            <w:pPr>
              <w:ind w:left="40"/>
              <w:spacing w:after="0"/>
              <w:rPr>
                <w:sz w:val="20"/>
                <w:szCs w:val="20"/>
                <w:color w:val="auto"/>
              </w:rPr>
            </w:pPr>
            <w:r>
              <w:rPr>
                <w:rFonts w:ascii="Arial" w:cs="Arial" w:eastAsia="Arial" w:hAnsi="Arial"/>
                <w:sz w:val="13"/>
                <w:szCs w:val="13"/>
                <w:color w:val="0000FF"/>
              </w:rPr>
              <w:t>Ordinary</w:t>
            </w:r>
          </w:p>
        </w:tc>
        <w:tc>
          <w:tcPr>
            <w:tcW w:w="560" w:type="dxa"/>
            <w:vAlign w:val="bottom"/>
          </w:tcPr>
          <w:p>
            <w:pPr>
              <w:jc w:val="right"/>
              <w:ind w:right="9"/>
              <w:spacing w:after="0"/>
              <w:rPr>
                <w:sz w:val="20"/>
                <w:szCs w:val="20"/>
                <w:color w:val="auto"/>
              </w:rPr>
            </w:pPr>
            <w:r>
              <w:rPr>
                <w:rFonts w:ascii="Arial" w:cs="Arial" w:eastAsia="Arial" w:hAnsi="Arial"/>
                <w:sz w:val="17"/>
                <w:szCs w:val="17"/>
                <w:color w:val="0000FF"/>
                <w:w w:val="88"/>
              </w:rPr>
              <w:t>15,516</w:t>
            </w:r>
          </w:p>
        </w:tc>
        <w:tc>
          <w:tcPr>
            <w:tcW w:w="78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20" w:type="dxa"/>
            <w:vAlign w:val="bottom"/>
          </w:tcPr>
          <w:p>
            <w:pPr>
              <w:jc w:val="right"/>
              <w:spacing w:after="0"/>
              <w:rPr>
                <w:sz w:val="20"/>
                <w:szCs w:val="20"/>
                <w:color w:val="auto"/>
              </w:rPr>
            </w:pPr>
            <w:r>
              <w:rPr>
                <w:rFonts w:ascii="Arial" w:cs="Arial" w:eastAsia="Arial" w:hAnsi="Arial"/>
                <w:sz w:val="13"/>
                <w:szCs w:val="13"/>
                <w:color w:val="0000FF"/>
              </w:rPr>
              <w:t>15,516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Option</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ind w:left="100"/>
              <w:spacing w:after="0" w:line="109" w:lineRule="exact"/>
              <w:rPr>
                <w:sz w:val="20"/>
                <w:szCs w:val="20"/>
                <w:color w:val="auto"/>
              </w:rPr>
            </w:pPr>
            <w:r>
              <w:rPr>
                <w:rFonts w:ascii="Arial" w:cs="Arial" w:eastAsia="Arial" w:hAnsi="Arial"/>
                <w:sz w:val="12"/>
                <w:szCs w:val="12"/>
                <w:color w:val="0000FF"/>
              </w:rPr>
              <w:t>Shares</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are granted pursuant to the Issuer's 2011 Equity Incentive Plan. Each restricted stock unit represents a contingent right to receive one ordinary share upon the vesting of the unit. These units will vest in four successive equal annual installments on the anniversary of the grant date, May 11, 2015.</w:t>
      </w:r>
    </w:p>
    <w:p>
      <w:pPr>
        <w:spacing w:after="0" w:line="9" w:lineRule="exact"/>
        <w:rPr>
          <w:rFonts w:ascii="Arial" w:cs="Arial" w:eastAsia="Arial" w:hAnsi="Arial"/>
          <w:sz w:val="13"/>
          <w:szCs w:val="13"/>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are granted pursuant to the Issuer's 2011 Equity Incentive Plan. Each restricted stock unit represents a contingent right to receive one ordinary share upon the vesting of the unit. These units will vest on the first anniversary of the vesting commencement date, April 13, 2015.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two options are granted pursuant to the Issuer's 2011 Equity Incentive Plan. The ordinary shares subject to these two options will vest over four years measured from the vesting commencement date, April 13, 2015, with 1/4th vesting on the first anniversary of the vesting commencement date and the remainder vesting in 36 equal monthly installments thereafter.</w:t>
      </w:r>
    </w:p>
    <w:p>
      <w:pPr>
        <w:spacing w:after="0" w:line="3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By: /s/ Larissa Schwartz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198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9888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 in fact For: Karen L.</w:t>
      </w:r>
      <w:r>
        <w:rPr>
          <w:sz w:val="20"/>
          <w:szCs w:val="20"/>
          <w:color w:val="auto"/>
        </w:rPr>
        <w:tab/>
      </w:r>
      <w:r>
        <w:rPr>
          <w:rFonts w:ascii="Arial" w:cs="Arial" w:eastAsia="Arial" w:hAnsi="Arial"/>
          <w:sz w:val="15"/>
          <w:szCs w:val="15"/>
          <w:color w:val="0000FF"/>
        </w:rPr>
        <w:t>05/13/2015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647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637" TargetMode="External"/><Relationship Id="rId13" Type="http://schemas.openxmlformats.org/officeDocument/2006/relationships/hyperlink" Target="http://www.sec.gov/cgi-bin/browse-edgar?action=getcompany&amp;CIK=00012325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2019-12-08T05:13:30Z</dcterms:created>
  <dcterms:modified xsi:type="dcterms:W3CDTF">2019-12-08T05:13:30Z</dcterms:modified>
</cp:coreProperties>
</file>