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147955</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001-33500</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JAZZ PHARMACEUTICALS PUBLIC LIMITED COMPANY</w:t>
      </w:r>
    </w:p>
    <w:p>
      <w:pPr>
        <w:spacing w:after="0" w:line="73" w:lineRule="exact"/>
        <w:rPr>
          <w:sz w:val="24"/>
          <w:szCs w:val="24"/>
          <w:color w:val="auto"/>
        </w:rPr>
      </w:pPr>
    </w:p>
    <w:tbl>
      <w:tblPr>
        <w:tblLayout w:type="fixed"/>
        <w:tblInd w:w="186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5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8"/>
                <w:szCs w:val="18"/>
                <w:b w:val="1"/>
                <w:bCs w:val="1"/>
                <w:color w:val="auto"/>
                <w:w w:val="98"/>
              </w:rPr>
              <w:t>98-1032470</w:t>
            </w:r>
          </w:p>
        </w:tc>
      </w:tr>
      <w:tr>
        <w:trPr>
          <w:trHeight w:val="148"/>
        </w:trPr>
        <w:tc>
          <w:tcPr>
            <w:tcW w:w="20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116205</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$0.0001 per share</w:t>
            </w:r>
          </w:p>
        </w:tc>
        <w:tc>
          <w:tcPr>
            <w:tcW w:w="2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JAZZ</w:t>
            </w:r>
          </w:p>
        </w:tc>
        <w:tc>
          <w:tcPr>
            <w:tcW w:w="4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6" w:lineRule="exact"/>
        <w:rPr>
          <w:sz w:val="24"/>
          <w:szCs w:val="24"/>
          <w:color w:val="auto"/>
        </w:rPr>
      </w:pPr>
    </w:p>
    <w:p>
      <w:pPr>
        <w:ind w:right="4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 w:name="page2"/>
    <w:bookmarkEnd w:id="1"/>
    <w:p>
      <w:pPr>
        <w:ind w:right="47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25, 2024, 61,753,510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262255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7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JUNE 30, 2024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8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20"/>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0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2024 and December 31, 2023</w:t>
            </w: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 Three and Six Months Ended June 30, 2024 and 2023</w:t>
            </w:r>
          </w:p>
        </w:tc>
        <w:tc>
          <w:tcPr>
            <w:tcW w:w="1120" w:type="dxa"/>
            <w:vAlign w:val="bottom"/>
            <w:gridSpan w:val="3"/>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Six Months Ended June 30, 2024 and</w:t>
            </w:r>
          </w:p>
        </w:tc>
        <w:tc>
          <w:tcPr>
            <w:tcW w:w="840" w:type="dxa"/>
            <w:vAlign w:val="bottom"/>
            <w:gridSpan w:val="4"/>
            <w:vMerge w:val="restart"/>
          </w:tcPr>
          <w:p>
            <w:pPr>
              <w:jc w:val="center"/>
              <w:ind w:left="592"/>
              <w:spacing w:after="0"/>
              <w:rPr>
                <w:sz w:val="20"/>
                <w:szCs w:val="20"/>
                <w:color w:val="auto"/>
              </w:rPr>
            </w:pPr>
            <w:r>
              <w:rPr>
                <w:rFonts w:ascii="Times New Roman" w:cs="Times New Roman" w:eastAsia="Times New Roman" w:hAnsi="Times New Roman"/>
                <w:sz w:val="18"/>
                <w:szCs w:val="18"/>
                <w:color w:val="0000FF"/>
                <w:w w:val="88"/>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2023</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0000FF"/>
            </w:tcBorders>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8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 Three and Six Months Ended June 30, 2024 and 2023</w:t>
            </w:r>
          </w:p>
        </w:tc>
        <w:tc>
          <w:tcPr>
            <w:tcW w:w="140" w:type="dxa"/>
            <w:vAlign w:val="bottom"/>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Six Months Ended June 30, 2024 and 2023</w:t>
            </w:r>
          </w:p>
        </w:tc>
        <w:tc>
          <w:tcPr>
            <w:tcW w:w="14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000" w:type="dxa"/>
            <w:vAlign w:val="bottom"/>
            <w:gridSpan w:val="5"/>
          </w:tcPr>
          <w:p>
            <w:pPr>
              <w:spacing w:after="0"/>
              <w:rPr>
                <w:sz w:val="18"/>
                <w:szCs w:val="18"/>
                <w:color w:val="auto"/>
              </w:rPr>
            </w:pPr>
          </w:p>
        </w:tc>
        <w:tc>
          <w:tcPr>
            <w:tcW w:w="1580" w:type="dxa"/>
            <w:vAlign w:val="bottom"/>
            <w:gridSpan w:val="4"/>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Times New Roman" w:cs="Times New Roman" w:eastAsia="Times New Roman" w:hAnsi="Times New Roman"/>
                <w:sz w:val="18"/>
                <w:szCs w:val="18"/>
                <w:color w:val="0000FF"/>
                <w:w w:val="88"/>
              </w:rPr>
              <w:t>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color w:val="0000FF"/>
                <w:w w:val="9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20" w:type="dxa"/>
            <w:vAlign w:val="bottom"/>
            <w:tcBorders>
              <w:top w:val="single" w:sz="8" w:color="0000FF"/>
            </w:tcBorders>
            <w:gridSpan w:val="7"/>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7980" w:type="dxa"/>
            <w:vAlign w:val="bottom"/>
            <w:gridSpan w:val="1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8560" w:type="dxa"/>
            <w:vAlign w:val="bottom"/>
            <w:gridSpan w:val="19"/>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0" w:firstLine="445"/>
        <w:spacing w:after="0" w:line="222" w:lineRule="exact"/>
        <w:rPr>
          <w:sz w:val="20"/>
          <w:szCs w:val="20"/>
          <w:color w:val="auto"/>
        </w:rPr>
      </w:pPr>
      <w:r>
        <w:rPr>
          <w:rFonts w:ascii="Times New Roman" w:cs="Times New Roman" w:eastAsia="Times New Roman" w:hAnsi="Times New Roman"/>
          <w:sz w:val="18"/>
          <w:szCs w:val="18"/>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Xywav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(calcium, magnesium, potassium, and sodium oxybates) oral solution,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oral solution, Epidiolex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(cannabidiol) oral solution, Epidyolex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for Epidiolex), 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(asparaginase erwinia chrysanthemi (recombinant)-rywn), Enrylaze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and Canada for Rylaze), Zepzelca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(lurbinectedin),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sodium),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(daunorubicin and cytarabine) liposome for injection,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liposomal 44 mg/100 mg powder for concentrate for solution for infusion, CombiPlex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Sativex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(nabiximols) oral solution. 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1,506,310</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705,794</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597,039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320,809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3,435,428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5,079,462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1,753,130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477,834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11,393,359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604,954</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0" w:type="dxa"/>
            <w:vAlign w:val="bottom"/>
          </w:tcPr>
          <w:p>
            <w:pPr>
              <w:spacing w:after="0"/>
              <w:rPr>
                <w:sz w:val="1"/>
                <w:szCs w:val="1"/>
                <w:color w:val="auto"/>
              </w:rPr>
            </w:pP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1,536,692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5,107,988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847,706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Non-voting euro deferred shares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3,699,954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(842,147)</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878,656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3,736,997</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11,361,868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11,393,359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964,144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1,806,246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1,831,206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1,850,129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690,235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638,761</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398,648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301,848</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824,382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1,660,158</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1,566,438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283,691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(147,617)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benefit and equity in loss of investees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136,885</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168,568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104,438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153,950</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173,858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basic</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69,625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73,540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69,684</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73,657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153,950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(50,149)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253,778</w:t>
            </w:r>
          </w:p>
        </w:tc>
      </w:tr>
      <w:tr>
        <w:trPr>
          <w:trHeight w:val="24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cash flow hedging activities, net of income tax expense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of $529, $1,887, $2,249 and $1,887 respectively</w:t>
      </w:r>
    </w:p>
    <w:p>
      <w:pPr>
        <w:spacing w:after="0" w:line="31" w:lineRule="exact"/>
        <w:rPr>
          <w:sz w:val="20"/>
          <w:szCs w:val="20"/>
          <w:color w:val="auto"/>
        </w:rPr>
      </w:pPr>
    </w:p>
    <w:p>
      <w:pPr>
        <w:ind w:left="140" w:right="280"/>
        <w:spacing w:after="0" w:line="222" w:lineRule="auto"/>
        <w:rPr>
          <w:sz w:val="20"/>
          <w:szCs w:val="20"/>
          <w:color w:val="auto"/>
        </w:rPr>
      </w:pPr>
      <w:r>
        <w:rPr>
          <w:rFonts w:ascii="Times New Roman" w:cs="Times New Roman" w:eastAsia="Times New Roman" w:hAnsi="Times New Roman"/>
          <w:sz w:val="18"/>
          <w:szCs w:val="18"/>
          <w:color w:val="auto"/>
        </w:rPr>
        <w:t>Gain on cash flow hedging activities reclassified from accumulated other comprehensive income (loss) to interest expense,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expense of $446, $256, $897 and $256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1,592</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5,679</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6,769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594"/>
        </w:trPr>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(1,344)</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(771)</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bl>
    <w:p>
      <w:pPr>
        <w:spacing w:after="0" w:line="1" w:lineRule="exact"/>
        <w:rPr>
          <w:sz w:val="20"/>
          <w:szCs w:val="20"/>
          <w:color w:val="auto"/>
        </w:rPr>
      </w:pPr>
    </w:p>
    <w:p>
      <w:pPr>
        <w:sectPr>
          <w:pgSz w:w="11900" w:h="16838" w:orient="portrait"/>
          <w:cols w:equalWidth="0" w:num="2">
            <w:col w:w="5680" w:space="720"/>
            <w:col w:w="4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113,407</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(46,080)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258,686</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107,870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432,544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780" w:type="dxa"/>
            <w:vAlign w:val="bottom"/>
            <w:gridSpan w:val="5"/>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5"/>
                <w:szCs w:val="5"/>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92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760" w:type="dxa"/>
            <w:vAlign w:val="bottom"/>
            <w:vMerge w:val="restart"/>
          </w:tcPr>
          <w:p>
            <w:pPr>
              <w:jc w:val="right"/>
              <w:ind w:right="24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3,699,954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(842,147)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performance-based restricted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0" w:type="dxa"/>
            <w:vAlign w:val="bottom"/>
          </w:tcPr>
          <w:p>
            <w:pPr>
              <w:spacing w:after="0"/>
              <w:rPr>
                <w:sz w:val="1"/>
                <w:szCs w:val="1"/>
                <w:color w:val="auto"/>
              </w:rPr>
            </w:pPr>
          </w:p>
        </w:tc>
      </w:tr>
      <w:tr>
        <w:trPr>
          <w:trHeight w:val="203"/>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3,714,283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(882,394)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864,038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3,696,461</w:t>
            </w: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10,886</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56,738</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(161,428)</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168,568</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61,745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3,779,114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(888,227)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871,178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3,762,599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7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760" w:type="dxa"/>
            <w:vAlign w:val="bottom"/>
            <w:vMerge w:val="restart"/>
          </w:tcPr>
          <w:p>
            <w:pPr>
              <w:jc w:val="right"/>
              <w:ind w:right="24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6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3,477,124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(1,125,509)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733,586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3,085,734</w:t>
            </w: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(43,266)</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56,646</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145,279</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69,420</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63,987</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3,511,732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(980,230)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803,006</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3,335,041</w:t>
            </w: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0" w:type="dxa"/>
            <w:vAlign w:val="bottom"/>
          </w:tcPr>
          <w:p>
            <w:pPr>
              <w:spacing w:after="0"/>
              <w:rPr>
                <w:sz w:val="1"/>
                <w:szCs w:val="1"/>
                <w:color w:val="auto"/>
              </w:rPr>
            </w:pPr>
          </w:p>
        </w:tc>
      </w:tr>
      <w:tr>
        <w:trPr>
          <w:trHeight w:val="19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61,705</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(95,594)</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113,407</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104,438</w:t>
            </w:r>
          </w:p>
        </w:tc>
        <w:tc>
          <w:tcPr>
            <w:tcW w:w="0" w:type="dxa"/>
            <w:vAlign w:val="bottom"/>
          </w:tcPr>
          <w:p>
            <w:pPr>
              <w:spacing w:after="0"/>
              <w:rPr>
                <w:sz w:val="1"/>
                <w:szCs w:val="1"/>
                <w:color w:val="auto"/>
              </w:rPr>
            </w:pPr>
          </w:p>
        </w:tc>
      </w:tr>
      <w:tr>
        <w:trPr>
          <w:trHeight w:val="228"/>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3,580,115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(866,823)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811,849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3,525,675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22225</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153,950</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173,858</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301,848</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117,785</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accounting inventory fair value step-up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88,272</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15,089</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losses on accounts receivable and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10,193</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tax benefit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(145,395)</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non-cash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48,156</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42,439</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(7,082)</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11,578</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(12,908)</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7,462</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(89,808)</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45,937</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(11,950)</w:t>
            </w:r>
          </w:p>
        </w:tc>
      </w:tr>
      <w:tr>
        <w:trPr>
          <w:trHeight w:val="226"/>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19,300</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617,473</w:t>
            </w: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investments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(9,561)</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Proceeds from maturity of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(528,995)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(90,561)</w:t>
            </w: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 repurchases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(95,595)</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employee withholding taxes related to share-based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(47,454)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(15,500)</w:t>
            </w:r>
          </w:p>
        </w:tc>
      </w:tr>
      <w:tr>
        <w:trPr>
          <w:trHeight w:val="22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Proceeds from employee equity incentive and purchase plans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32,094</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(126,455)</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400,822</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881,482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1,355,802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1,282,304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17" w:lineRule="exact"/>
        <w:rPr>
          <w:sz w:val="20"/>
          <w:szCs w:val="20"/>
          <w:color w:val="auto"/>
        </w:rPr>
      </w:pPr>
    </w:p>
    <w:p>
      <w:pPr>
        <w:ind w:left="740" w:right="80" w:hanging="327"/>
        <w:spacing w:after="0" w:line="259"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Xywav® (calcium, magnesium, potassium, and sodium oxybates) oral solution</w:t>
      </w:r>
      <w:r>
        <w:rPr>
          <w:rFonts w:ascii="Times New Roman" w:cs="Times New Roman" w:eastAsia="Times New Roman" w:hAnsi="Times New Roman"/>
          <w:sz w:val="18"/>
          <w:szCs w:val="18"/>
          <w:color w:val="auto"/>
        </w:rPr>
        <w:t>, a product approved by the U.S. Food and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or FDA, in July 2020, and launched in the U.S. in November 2020 for the treatment of cataplexy or excessive daytime sleepiness, or EDS, in patients seven years of age and older with narcolepsy, and also approved by FDA in August 2021 for the treatment of idiopathic hypersomnia, or IH, in adults and launched in the U.S. in November 2021. Xywav contains 92% less sodium than Xyrem®. Xywav is also approved in Canada for the treatment of cataplexy in patients with narcolepsy.</w:t>
      </w:r>
    </w:p>
    <w:p>
      <w:pPr>
        <w:spacing w:after="0" w:line="71" w:lineRule="exact"/>
        <w:rPr>
          <w:rFonts w:ascii="Times New Roman" w:cs="Times New Roman" w:eastAsia="Times New Roman" w:hAnsi="Times New Roman"/>
          <w:sz w:val="18"/>
          <w:szCs w:val="18"/>
          <w:color w:val="auto"/>
        </w:rPr>
      </w:pPr>
    </w:p>
    <w:p>
      <w:pPr>
        <w:ind w:left="740" w:hanging="327"/>
        <w:spacing w:after="0" w:line="26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Xyrem (sodium oxybate) oral solution</w:t>
      </w:r>
      <w:r>
        <w:rPr>
          <w:rFonts w:ascii="Times New Roman" w:cs="Times New Roman" w:eastAsia="Times New Roman" w:hAnsi="Times New Roman"/>
          <w:sz w:val="18"/>
          <w:szCs w:val="18"/>
          <w:color w:val="auto"/>
        </w:rPr>
        <w:t>, a product approved by FDA and distributed in the U.S. for the treatment of cataplexy or EDS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seven years of age or older with narcolepsy; Jazz also markets Xyrem in Canada for the treatment of cataplexy in patients with narcolepsy. Xyrem is also approved and distributed in the European Union, or EU (EU market authorizations include Northern Ireland), Great Britain and other markets through a licensing agreement.</w:t>
      </w:r>
    </w:p>
    <w:p>
      <w:pPr>
        <w:spacing w:after="0" w:line="68" w:lineRule="exact"/>
        <w:rPr>
          <w:rFonts w:ascii="Times New Roman" w:cs="Times New Roman" w:eastAsia="Times New Roman" w:hAnsi="Times New Roman"/>
          <w:sz w:val="18"/>
          <w:szCs w:val="18"/>
          <w:color w:val="auto"/>
        </w:rPr>
      </w:pPr>
    </w:p>
    <w:p>
      <w:pPr>
        <w:ind w:left="740" w:right="60" w:hanging="327"/>
        <w:spacing w:after="0" w:line="259"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Epidiolex® (cannabidiol) oral solution</w:t>
      </w:r>
      <w:r>
        <w:rPr>
          <w:rFonts w:ascii="Times New Roman" w:cs="Times New Roman" w:eastAsia="Times New Roman" w:hAnsi="Times New Roman"/>
          <w:sz w:val="18"/>
          <w:szCs w:val="18"/>
          <w:color w:val="auto"/>
        </w:rPr>
        <w:t>, a product approved by FDA and launched in the U.S. in 2018 by GW Pharmaceuticals plc, or GW,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17" w:lineRule="exact"/>
        <w:rPr>
          <w:sz w:val="20"/>
          <w:szCs w:val="20"/>
          <w:color w:val="auto"/>
        </w:rPr>
      </w:pPr>
    </w:p>
    <w:p>
      <w:pPr>
        <w:ind w:left="740" w:right="40" w:hanging="327"/>
        <w:spacing w:after="0" w:line="259"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Rylaze® (asparaginase erwinia chrysanthemi (recombinant)-rywn)</w:t>
      </w:r>
      <w:r>
        <w:rPr>
          <w:rFonts w:ascii="Times New Roman" w:cs="Times New Roman" w:eastAsia="Times New Roman" w:hAnsi="Times New Roman"/>
          <w:sz w:val="18"/>
          <w:szCs w:val="18"/>
          <w:color w:val="auto"/>
        </w:rPr>
        <w:t>, a product approved by FDA in June 2021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July 2021 for use as a component of a multi-agent chemotherapeutic regimen for the treatment of acute lymphoblastic leukemia or lymphoblastic lymphoma in adults and pediatric patients aged one month or older who have developed hypersensitivity to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-derived asparaginase. In September 2023, the European Commission granted marketing authorization under the trade name Enrylaze. This therapy is also approved in Great Britain, Canada and Switzerland.</w:t>
      </w:r>
    </w:p>
    <w:p>
      <w:pPr>
        <w:spacing w:after="0" w:line="71" w:lineRule="exact"/>
        <w:rPr>
          <w:rFonts w:ascii="Times New Roman" w:cs="Times New Roman" w:eastAsia="Times New Roman" w:hAnsi="Times New Roman"/>
          <w:sz w:val="18"/>
          <w:szCs w:val="18"/>
          <w:color w:val="auto"/>
        </w:rPr>
      </w:pPr>
    </w:p>
    <w:p>
      <w:pPr>
        <w:ind w:left="740" w:right="40" w:hanging="327"/>
        <w:spacing w:after="0" w:line="26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Zepzelca® (lurbinectedin)</w:t>
      </w:r>
      <w:r>
        <w:rPr>
          <w:rFonts w:ascii="Times New Roman" w:cs="Times New Roman" w:eastAsia="Times New Roman" w:hAnsi="Times New Roman"/>
          <w:sz w:val="18"/>
          <w:szCs w:val="18"/>
          <w:color w:val="auto"/>
        </w:rPr>
        <w:t>, a product approved by FDA in June 2020 under FDA's accelerated approval pathway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445"/>
        <w:spacing w:after="0" w:line="220" w:lineRule="exact"/>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should be read in conjunction with our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40"/>
        <w:spacing w:after="0" w:line="245" w:lineRule="exact"/>
        <w:rPr>
          <w:sz w:val="20"/>
          <w:szCs w:val="20"/>
          <w:color w:val="auto"/>
        </w:rPr>
      </w:pPr>
      <w:r>
        <w:rPr>
          <w:rFonts w:ascii="Times New Roman" w:cs="Times New Roman" w:eastAsia="Times New Roman" w:hAnsi="Times New Roman"/>
          <w:sz w:val="18"/>
          <w:szCs w:val="18"/>
          <w:color w:val="auto"/>
        </w:rPr>
        <w:t>annual audited consolidated financial statements and accompanying notes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91"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and six months ended June 30, 2024, are not necessarily indicative of the results to be expected for the year ending December 31, 2024, for any other interim period or for any future period.</w:t>
      </w:r>
    </w:p>
    <w:p>
      <w:pPr>
        <w:spacing w:after="0" w:line="31" w:lineRule="exact"/>
        <w:rPr>
          <w:sz w:val="20"/>
          <w:szCs w:val="20"/>
          <w:color w:val="auto"/>
        </w:rPr>
      </w:pPr>
    </w:p>
    <w:p>
      <w:pPr>
        <w:ind w:right="120" w:firstLine="445"/>
        <w:spacing w:after="0" w:line="245" w:lineRule="exact"/>
        <w:rPr>
          <w:sz w:val="20"/>
          <w:szCs w:val="20"/>
          <w:color w:val="auto"/>
        </w:rPr>
      </w:pPr>
      <w:r>
        <w:rPr>
          <w:rFonts w:ascii="Times New Roman" w:cs="Times New Roman" w:eastAsia="Times New Roman" w:hAnsi="Times New Roman"/>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9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Jazz Pharmaceuticals plc and our subsidiaries, and intercompany transactions and balances have been eliminated.</w:t>
      </w:r>
    </w:p>
    <w:p>
      <w:pPr>
        <w:spacing w:after="0" w:line="5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or FASB, issued ASU 2023-07, “Segment Reporting (Topic 280) - Improvements to Reportable Segment Disclosures”, which requires enhanced disclosures about significant segment expenses. The amendments are effective retrospectively to all prior periods presented in the financial statements, for fiscal years beginning after December 15, 2023. The new guidance is not expected to have a material impact on our financial statement disclosures.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Historically, our business was substantially dependent on Xyrem. While we expect that our business will continue to meaningfully depend on oxybate revenues, there is no guarantee that oxybate revenues will remain at current levels. In this regard, our ability to maintain oxybate revenues and realize the anticipated benefits from our investment in Xywav are subject to a number of risks and uncertainties including, without limitation, those related to the commercialization of Xywav for the treatment of IH in adults and adoption in that indication; competition from the introduction of two authorized generic, or AG, versions of high-sodium oxybate and a branded fixed-dose, high-sodium oxybate, Avadel’s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Xywav and/or Xyrem, including from pending antitrust and intellectual property litigation; and continued acceptance of Xywav and Xyrem by physicians and patients. A significant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8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or acquired products such as Epidiolex, Rylaze and Zepzelca; obtaining and maintaining adequate coverage and reimbursement for our products; contracting and rebates to pharmacy benefit managers and similar organizations that reduce our net revenue; increasing scrutiny of pharmaceutical product pricing and resulting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Epidiolex and zanidatamab, at the expected levels, with the expected costs and within the expected timeframe;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7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June 30, 2024, we had foreign exchange forward contracts with notional amounts totaling $489.1 million. As of June 30, 2024, the outstanding foreign exchange forward contracts had a net liability fair value of $0.7 million. As of June 30, 2024, we had interest rate swap contracts with notional amounts totaling $500.0 million. These outstanding interest rate swap contracts had an asset fair value of $5.8 million as of June 30, 2024. The counterparties to these contracts are large multinational commercial banks, and we believe the risk of nonperformance is not significant.</w:t>
      </w:r>
    </w:p>
    <w:p>
      <w:pPr>
        <w:spacing w:after="0" w:line="7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June 30, 2024 and December 31, 2023, allowances on receivables were not material. As of June 30, 2024, five customers accounted for 80% of gross accounts receivable, including Express Scripts Specialty Distribution Services, Inc. and its affiliates, or ESSDS, which accounted for 41% of gross accounts receivable, ASD Specialty Healthcare LLC, or ASD, which accounted for 13% of gross accounts receivable and McKesson Corporation and affiliates, or McKesson, which accounted for 11% of gross accounts receivable. As of December 31, 2023, five customers accounted for 79% of gross accounts receivable, including ESSDS, which accounted for 41% of gross accounts receivable, ASD, which accounted for 13% of gross accounts receivable and McKesson, which accounted for 11% of gross accounts receivable.</w:t>
      </w:r>
    </w:p>
    <w:p>
      <w:pPr>
        <w:spacing w:after="0" w:line="84"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additional enhanced tax disclosures providing greater disaggregation of information in the Company's effective tax rate reconciliation and disaggregates income taxes paid by jurisdiction. The amendments are effective on a prospective basis, with the option to apply it retrospectively, for fiscal years beginning after December 15, 2024. We are currently evaluating the impact of adopting this new accounting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Cash and Available-for-Sale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1,980,802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1,980,802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1,355,802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Our investment balances represent time deposits with original maturities of greater than three months and less than one year. Interest income from available-for-sale securities was $25.4 million and $48.6 million in the three and six months ended June 30, 2024, respectively, and $14.7 million and $25.3 million in the three and six months ended June 30, 2023, respectively.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by major security type, our available-for-sale securities and derivative contracts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that were measured at fair value on a recurring basis and were categorized using the fair value hierarchy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1"/>
                <w:szCs w:val="11"/>
                <w:color w:val="auto"/>
              </w:rPr>
            </w:pPr>
          </w:p>
        </w:tc>
        <w:tc>
          <w:tcPr>
            <w:tcW w:w="1020" w:type="dxa"/>
            <w:vAlign w:val="bottom"/>
          </w:tcPr>
          <w:p>
            <w:pPr>
              <w:jc w:val="right"/>
              <w:ind w:right="195"/>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4"/>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1,210,405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As of June 30, 2024,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derived from observable market data, or if not directly observable, were derived from or corroborated by other observable market data.</w:t>
      </w:r>
    </w:p>
    <w:p>
      <w:pPr>
        <w:spacing w:after="0" w:line="117" w:lineRule="exact"/>
        <w:rPr>
          <w:sz w:val="20"/>
          <w:szCs w:val="20"/>
          <w:color w:val="auto"/>
        </w:rPr>
      </w:pPr>
    </w:p>
    <w:p>
      <w:pPr>
        <w:ind w:right="340" w:firstLine="445"/>
        <w:spacing w:after="0" w:line="266" w:lineRule="auto"/>
        <w:rPr>
          <w:sz w:val="20"/>
          <w:szCs w:val="20"/>
          <w:color w:val="auto"/>
        </w:rPr>
      </w:pPr>
      <w:r>
        <w:rPr>
          <w:rFonts w:ascii="Times New Roman" w:cs="Times New Roman" w:eastAsia="Times New Roman" w:hAnsi="Times New Roman"/>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different levels of the fair value hierarchy in 2024 or 2023.</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spacing w:after="0" w:line="6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As of June 30, 2024, the estimated fair values of the 1.50% exchangeable senior notes due 2024, or 2024 Notes, the 2.00% exchangeable senior notes due 2026, or 2026 Notes, which we refer to collectively as the Exchangeable Senior Notes, the 4.375% senior secured notes, due 2029, or the Secured Notes, and the seven-year $3.1 billion term loan B facility, or the Dollar Term Loan were approximately $572 million, $1.0 billion, $1.4 billion and $2.7 billion, respectively. The fair values of each of these debt facilities was estimated using quoted market prices obtained from brokers (Level 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Instruments and Hedging Activities</w:t>
      </w:r>
    </w:p>
    <w:p>
      <w:pPr>
        <w:spacing w:after="0" w:line="121" w:lineRule="exact"/>
        <w:rPr>
          <w:sz w:val="20"/>
          <w:szCs w:val="20"/>
          <w:color w:val="auto"/>
        </w:rPr>
      </w:pPr>
    </w:p>
    <w:p>
      <w:pPr>
        <w:ind w:right="20" w:firstLine="445"/>
        <w:spacing w:after="0" w:line="281"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56"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June 30, 2024 and December 31, 2023, the notional amount of foreign exchange contracts where hedge accounting is not applied was $489.1 million and $511.7 million, respectively.</w:t>
      </w:r>
    </w:p>
    <w:p>
      <w:pPr>
        <w:spacing w:after="0" w:line="75"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foreign exchange gain (loss) in our condensed consolidated statements of income included the following gains (losses) associated with foreign exchange contracts not designated as hedging instruments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80" w:type="dxa"/>
            <w:vAlign w:val="bottom"/>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4"/>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recognized in foreign exchange gain (loss)</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r>
    </w:tbl>
    <w:p>
      <w:pPr>
        <w:spacing w:after="0" w:line="184" w:lineRule="exact"/>
        <w:rPr>
          <w:sz w:val="20"/>
          <w:szCs w:val="20"/>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8"/>
          <w:szCs w:val="18"/>
          <w:color w:val="auto"/>
        </w:rPr>
        <w:t>To achieve a desired mix of floating and fixed interest rates on our variable rate debt, we entered into interest rate swap agreements in April 2023, which are effective until April 2026. These agreements hedge contractual term loan interest rates. As of June 30, 2024, the interest rate swap agreements had a notional amount of $500.0 million. As a result of these agreements, the interest rate on a portion of our term loan borrowings is fixed at 3.9086%, plus the borrowing spread, until April 30, 2026.</w:t>
      </w:r>
    </w:p>
    <w:p>
      <w:pPr>
        <w:spacing w:after="0" w:line="7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impact on accumulated other comprehensive loss and earnings from derivative instruments that qualified as cash flow hedges for the three and six months ended June 30, 2024 was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6"/>
        </w:trPr>
        <w:tc>
          <w:tcPr>
            <w:tcW w:w="5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recognized in accumulated other comprehensive loss, net of tax</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reclassified from accumulated other comprehensive loss to</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tax</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bl>
    <w:p>
      <w:pPr>
        <w:spacing w:after="0" w:line="171"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Assuming no change in the U.S dollar Secured Overnight Financing Rate, or Term SOFR, based interest rates from market rates as of June 30, 2024, $3.7 million of gains, net of tax, recognized in accumulated other comprehensive loss will be reclassified to earnings over the next 12 months.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cash flow effects of our derivative contracts for the six months ended June 30, 2024 and 2023 are included within net cash provided by operating activities in the condensed consolidated statements of cash flows.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fair value of outstanding derivatives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7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asset instruments</w:t>
            </w:r>
          </w:p>
        </w:tc>
        <w:tc>
          <w:tcPr>
            <w:tcW w:w="3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liability instruments</w:t>
            </w:r>
          </w:p>
        </w:tc>
        <w:tc>
          <w:tcPr>
            <w:tcW w:w="37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condensed consolidated balance sheets of offsetting our interest rate and foreign exchange forward contracts subject to such provisions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7"/>
          </w:tcPr>
          <w:p>
            <w:pPr>
              <w:jc w:val="center"/>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2"/>
                <w:szCs w:val="12"/>
                <w:color w:val="auto"/>
              </w:rPr>
            </w:pPr>
          </w:p>
        </w:tc>
        <w:tc>
          <w:tcPr>
            <w:tcW w:w="10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382"/>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left="402"/>
              <w:spacing w:after="0"/>
              <w:rPr>
                <w:sz w:val="20"/>
                <w:szCs w:val="20"/>
                <w:color w:val="auto"/>
              </w:rPr>
            </w:pPr>
            <w:r>
              <w:rPr>
                <w:rFonts w:ascii="Times New Roman" w:cs="Times New Roman" w:eastAsia="Times New Roman" w:hAnsi="Times New Roman"/>
                <w:sz w:val="18"/>
                <w:szCs w:val="18"/>
                <w:color w:val="auto"/>
                <w:w w:val="98"/>
              </w:rPr>
              <w:t>1,063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741"/>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7"/>
          </w:tcPr>
          <w:p>
            <w:pPr>
              <w:jc w:val="center"/>
              <w:ind w:right="56"/>
              <w:spacing w:after="0" w:line="158"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1"/>
                <w:szCs w:val="11"/>
                <w:color w:val="auto"/>
              </w:rPr>
            </w:pPr>
          </w:p>
        </w:tc>
        <w:tc>
          <w:tcPr>
            <w:tcW w:w="10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382"/>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left="402"/>
              <w:spacing w:after="0"/>
              <w:rPr>
                <w:sz w:val="20"/>
                <w:szCs w:val="20"/>
                <w:color w:val="auto"/>
              </w:rPr>
            </w:pPr>
            <w:r>
              <w:rPr>
                <w:rFonts w:ascii="Times New Roman" w:cs="Times New Roman" w:eastAsia="Times New Roman" w:hAnsi="Times New Roman"/>
                <w:sz w:val="18"/>
                <w:szCs w:val="18"/>
                <w:color w:val="auto"/>
                <w:w w:val="98"/>
              </w:rPr>
              <w:t>4,091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431,732</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139,712</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597,039</w:t>
            </w:r>
          </w:p>
        </w:tc>
      </w:tr>
      <w:tr>
        <w:trPr>
          <w:trHeight w:val="20"/>
        </w:trPr>
        <w:tc>
          <w:tcPr>
            <w:tcW w:w="7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inventories included $264.1 million and $328.0 million, respectively, related to the purchase accounting inventory fair value step-up on inventory acquired as part of our acquisition of GW, which we refer to as the GW Acquisition.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1,753,130</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1,735,931</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gross carrying amounts and net book values of our intangible assets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228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Acquired developed</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7,739,307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(2,659,845)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5,079,462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7,785,495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(2,367,456)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22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finite-lived intangible</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7,753,643</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(2,674,181)</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5,079,462</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7,800,209</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(2,382,170)</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5,418,039</w:t>
            </w:r>
          </w:p>
        </w:tc>
        <w:tc>
          <w:tcPr>
            <w:tcW w:w="0" w:type="dxa"/>
            <w:vAlign w:val="bottom"/>
          </w:tcPr>
          <w:p>
            <w:pPr>
              <w:spacing w:after="0"/>
              <w:rPr>
                <w:sz w:val="1"/>
                <w:szCs w:val="1"/>
                <w:color w:val="auto"/>
              </w:rPr>
            </w:pPr>
          </w:p>
        </w:tc>
      </w:tr>
      <w:tr>
        <w:trPr>
          <w:trHeight w:val="212"/>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decrease in the gross carrying amount of intangible assets as of June 30, 2024, compared to December 31, 2023, relates to the negative impact of foreign currency translation adjustments due to the weakening of the sterling and the euro against the U.S. dollar.</w:t>
      </w:r>
    </w:p>
    <w:p>
      <w:pPr>
        <w:spacing w:after="0" w:line="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Based on finite-lived intangible assets recorded as of June 30, 2024, and assuming the underlying assets will not be impaired and that we will not change the expected lives of the assets, future amortization expenses were estimated as follows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8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51"/>
        </w:trPr>
        <w:tc>
          <w:tcPr>
            <w:tcW w:w="1660" w:type="dxa"/>
            <w:vAlign w:val="bottom"/>
            <w:tcBorders>
              <w:bottom w:val="single" w:sz="8" w:color="auto"/>
            </w:tcBorders>
            <w:vMerge w:val="continue"/>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2024 (remainder)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Certain Balance Sheet Items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20" w:lineRule="exact"/>
        <w:rPr>
          <w:sz w:val="20"/>
          <w:szCs w:val="20"/>
          <w:color w:val="auto"/>
        </w:rPr>
      </w:pPr>
      <w:r>
        <w:rPr>
          <w:sz w:val="20"/>
          <w:szCs w:val="20"/>
          <w:color w:val="auto"/>
        </w:rPr>
        <w:br w:type="column"/>
      </w:r>
    </w:p>
    <w:p>
      <w:pPr>
        <w:ind w:left="2200" w:hanging="976"/>
        <w:spacing w:after="0"/>
        <w:tabs>
          <w:tab w:leader="none" w:pos="22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310,564</w:t>
      </w:r>
    </w:p>
    <w:p>
      <w:pPr>
        <w:spacing w:after="0" w:line="34" w:lineRule="exact"/>
        <w:rPr>
          <w:rFonts w:ascii="Times New Roman" w:cs="Times New Roman" w:eastAsia="Times New Roman" w:hAnsi="Times New Roman"/>
          <w:sz w:val="17"/>
          <w:szCs w:val="17"/>
          <w:color w:val="auto"/>
        </w:rPr>
      </w:pPr>
    </w:p>
    <w:p>
      <w:pPr>
        <w:ind w:left="2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621,128</w:t>
      </w:r>
    </w:p>
    <w:p>
      <w:pPr>
        <w:spacing w:after="0" w:line="34" w:lineRule="exact"/>
        <w:rPr>
          <w:rFonts w:ascii="Times New Roman" w:cs="Times New Roman" w:eastAsia="Times New Roman" w:hAnsi="Times New Roman"/>
          <w:sz w:val="17"/>
          <w:szCs w:val="17"/>
          <w:color w:val="auto"/>
        </w:rPr>
      </w:pPr>
    </w:p>
    <w:p>
      <w:pPr>
        <w:ind w:left="2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621,128</w:t>
      </w:r>
    </w:p>
    <w:p>
      <w:pPr>
        <w:spacing w:after="0" w:line="34" w:lineRule="exact"/>
        <w:rPr>
          <w:rFonts w:ascii="Times New Roman" w:cs="Times New Roman" w:eastAsia="Times New Roman" w:hAnsi="Times New Roman"/>
          <w:sz w:val="17"/>
          <w:szCs w:val="17"/>
          <w:color w:val="auto"/>
        </w:rPr>
      </w:pPr>
    </w:p>
    <w:p>
      <w:pPr>
        <w:ind w:left="2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621,128</w:t>
      </w:r>
    </w:p>
    <w:p>
      <w:pPr>
        <w:spacing w:after="0" w:line="34" w:lineRule="exact"/>
        <w:rPr>
          <w:rFonts w:ascii="Times New Roman" w:cs="Times New Roman" w:eastAsia="Times New Roman" w:hAnsi="Times New Roman"/>
          <w:sz w:val="17"/>
          <w:szCs w:val="17"/>
          <w:color w:val="auto"/>
        </w:rPr>
      </w:pPr>
    </w:p>
    <w:p>
      <w:pPr>
        <w:ind w:left="2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619,796</w:t>
      </w:r>
    </w:p>
    <w:p>
      <w:pPr>
        <w:spacing w:after="0" w:line="3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2,285,718</w:t>
      </w:r>
    </w:p>
    <w:p>
      <w:pPr>
        <w:spacing w:after="0" w:line="31" w:lineRule="exact"/>
        <w:rPr>
          <w:sz w:val="20"/>
          <w:szCs w:val="20"/>
          <w:color w:val="auto"/>
        </w:rPr>
      </w:pPr>
    </w:p>
    <w:p>
      <w:pPr>
        <w:ind w:left="2060" w:hanging="836"/>
        <w:spacing w:after="0"/>
        <w:tabs>
          <w:tab w:leader="none" w:pos="2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5,079,462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43180</wp:posOffset>
            </wp:positionV>
            <wp:extent cx="10458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ind w:left="120"/>
        <w:spacing w:after="0"/>
        <w:tabs>
          <w:tab w:leader="none" w:pos="18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5" w:lineRule="exact"/>
        <w:rPr>
          <w:sz w:val="20"/>
          <w:szCs w:val="20"/>
          <w:color w:val="auto"/>
        </w:rPr>
      </w:pPr>
    </w:p>
    <w:p>
      <w:pPr>
        <w:sectPr>
          <w:pgSz w:w="11900" w:h="16838" w:orient="portrait"/>
          <w:cols w:equalWidth="0" w:num="2">
            <w:col w:w="7640" w:space="720"/>
            <w:col w:w="2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 and machinery</w:t>
            </w:r>
          </w:p>
        </w:tc>
        <w:tc>
          <w:tcPr>
            <w:tcW w:w="25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5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5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169,281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22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3"/>
                <w:szCs w:val="2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2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 for income taxes on intercompany profit</w:t>
            </w:r>
          </w:p>
        </w:tc>
        <w:tc>
          <w:tcPr>
            <w:tcW w:w="25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325,711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accruals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30,706</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reserve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accruals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Inventory-related accruals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collaboration expenses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construction-in-progress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facilities expenses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 liabilities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800,993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793,914</w:t>
            </w:r>
          </w:p>
        </w:tc>
        <w:tc>
          <w:tcPr>
            <w:tcW w:w="0" w:type="dxa"/>
            <w:vAlign w:val="bottom"/>
          </w:tcPr>
          <w:p>
            <w:pPr>
              <w:spacing w:after="0"/>
              <w:rPr>
                <w:sz w:val="1"/>
                <w:szCs w:val="1"/>
                <w:color w:val="auto"/>
              </w:rPr>
            </w:pPr>
          </w:p>
        </w:tc>
      </w:tr>
      <w:tr>
        <w:trPr>
          <w:trHeight w:val="21"/>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 of our indebtedness (in thousands):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3"/>
                <w:szCs w:val="23"/>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Notes,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573,954</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993,600</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1,480,214</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2,665,174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5,706,781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5,712,942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604,954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5,100,983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5,107,988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On May 5, 2021, the Company, Jazz Financing Lux S.à.r.l., or Jazz Lux, and certain of our other subsidiaries, as borrowers, or, collectively with the Company and Jazz Lux, the “Borrowers”, entered into the Credit Agreement by and among the Borrowers, the lenders and issuing banks from time to time party thereto, Bank of America, N.A., as administrative agent and U.S. Bank Trust Company, National Association, as collateral trustee, or the Credit Agreement, that provided for (i) the Dollar Term Loan which was drawn by Jazz Lux on the Closing Date in U.S. dollars (ii) the Euro Term Loan which was drawn by Jazz Lux on the Closing Date in Euros and (iii) the Revolving Credit Facility.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January 2024, Jazz Lux entered into an amendment, or Repricing Amendment No.1, to the Credit Agreement. Upon entry into the Repricing Amendment No.1, certain existing lenders converted outstanding Dollar Term Loan into a new tranche of U.S. dollar term loans, or the Tranche B-1 Dollar Term Loans, and Jazz Lux borrowed $201.9 million aggregate principal amount of additional Tranche B-1 Dollar Term Loans, the proceeds of which were used to repay the outstanding Dollar Term Loan that were not converted.</w:t>
      </w:r>
    </w:p>
    <w:p>
      <w:pPr>
        <w:spacing w:after="0" w:line="7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July 2024, Jazz Lux entered into an amendment, or Repricing Amendment No. 2, to the Credit Agreement, or the Amended Credit Agreement. Upon entry into the Amended Credit Agreement, certain existing lenders converted the outstanding Tranche B-1 Dollar Term Loans into a new tranche of U.S. dollar term loans, or the Tranche B-2 Dollar Term Loans, and Jazz Lux borrowed $289.6 million aggregate principal amount of additional Tranche B-2 Dollar Term Loans, the proceeds of which were used to repay the outstanding Tranche B-1 Dollar Term Loans that were not converted.</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Tranche B-2 Dollar Term Loans are a separate class of term loans under the Amended Credit Agreement with the same material terms (including with respect to maturity, prepayment, security, covenants and events of default) as the previously outstanding Tranche B-1 Dollar Term Loans and the initial Dollar Term Loans incurred on May 5, 2021, with the interest rate amended as described below and the removal of the credit spread adjustment.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75"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of 75 basis points from the applicable margin on the Tranche B-1 Dollar Term Loans. The Tranche B-2 Dollar Term Loan is subject to a Term SOFR floor of 0.50%. As of June 30, 2024, the interest rate and effective interest rate on the Tranche B-1 Dollar Term Loans were 8.46% and 9.04%, respectively. At the closing of Repricing Amendment no. 2, the interest rate and effective interest rate on the Tranche B-2 Dollar Term Loans were 7.59% and 8.27%, respectively. The Tranche B-2 Dollar Term Loans will amortize in quarterly installments equal to 0.286294791% of the initial aggregate principal amount thereof, with the remaining balance payable on May 5, 2028.</w:t>
      </w:r>
    </w:p>
    <w:p>
      <w:pPr>
        <w:spacing w:after="0" w:line="8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applicable margin for the Revolving Credit Facility ranges from 3.25% to 2.75% (in the case of Term SOFR borrowings) and 2.25% to 1.75% (in the case of borrowings at the prime lending rate), depending on our first lien secured net leverage ratio level, any loans under the Revolving Credit Facility are not subject to a Term SOFR floor. The Revolving Credit Facility has a commitment fee payable on the undrawn amount ranging from 0.50% to 0.40% per annum based upon our first lien secured net leverage ratio. As of June 30, 2024, we had an undrawn Revolving Credit Facility totaling $500.0 million.</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81" w:lineRule="exact"/>
        <w:rPr>
          <w:sz w:val="20"/>
          <w:szCs w:val="20"/>
          <w:color w:val="auto"/>
        </w:rPr>
      </w:pPr>
    </w:p>
    <w:p>
      <w:pPr>
        <w:jc w:val="both"/>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total liability of the 2026 Notes is reflected net of issuance costs of $15.3 million which will be amortized over the term of the 2026 Notes. The effective interest rate of the 2026 Notes is 2.26%. During the three months ended June 30, 2024 and 2023, we recognized interest expense of $5.6 million, of which $5.0 million related to the contractual coupon rate and $0.6 million related to the amortization of debt issuance costs, respectively. During the six months ended June 30, 2024 and 2023, we recognized interest expense of $11.1 million, of which $10.0 million related to the contractual coupon rate and $1.1 million related to the amortization of debt issuance costs, respectively.</w:t>
      </w:r>
    </w:p>
    <w:p>
      <w:pPr>
        <w:spacing w:after="0" w:line="75"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total liability of the 2024 Notes is reflected net of issuance costs of $11.4 million which will be amortized over the term of the 2024 Notes. The effective interest rate of the 2024 Notes is 1.79%. During the three months ended June 30, 2024 and 2023, we recognized interest expense of $2.5 million, of which $2.1 million related to the contractual coupon rate and $0.4 million related to the amortization of debt issuance costs, respectively. During the six months ended June 30, 2024 and 2023, we recognized interest expense of $5.0 million, of which $4.2 million related to the contractual coupon rate and $0.8 million related to the amortization of debt issuance costs, respectively.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Scheduled maturities with respect to our long-term debt principal balances outstanding as of June 30, 2024 were as follows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3"/>
                <w:szCs w:val="13"/>
                <w:color w:val="auto"/>
              </w:rPr>
            </w:pP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Debt Maturities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590,500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1,031,000</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2,598,500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June 30, 2024 and December 31, 2023.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involved in legal proceedings, including the following matters: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Xyrem Antitrust Litigation</w:t>
      </w:r>
    </w:p>
    <w:p>
      <w:pPr>
        <w:spacing w:after="0" w:line="119"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6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 Inc., Lupin Ltd., Lupin Pharmaceuticals Inc., and Lupin Inc., or, collectively, the BCBS Defendants.</w:t>
      </w:r>
    </w:p>
    <w:p>
      <w:pPr>
        <w:spacing w:after="0" w:line="75"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2" w:lineRule="exact"/>
        <w:rPr>
          <w:sz w:val="20"/>
          <w:szCs w:val="20"/>
          <w:color w:val="auto"/>
        </w:rPr>
      </w:pPr>
    </w:p>
    <w:p>
      <w:pPr>
        <w:ind w:right="880" w:firstLine="445"/>
        <w:spacing w:after="0" w:line="282" w:lineRule="auto"/>
        <w:rPr>
          <w:sz w:val="20"/>
          <w:szCs w:val="20"/>
          <w:color w:val="auto"/>
        </w:rPr>
      </w:pPr>
      <w:r>
        <w:rPr>
          <w:rFonts w:ascii="Times New Roman" w:cs="Times New Roman" w:eastAsia="Times New Roman" w:hAnsi="Times New Roman"/>
          <w:sz w:val="18"/>
          <w:szCs w:val="18"/>
          <w:color w:val="auto"/>
        </w:rPr>
        <w:t>On June 18, 2020, a class action lawsuit was filed in the United States District Court for the Northern District of California by the City of Providence, Rhode Island, on behalf of itself and all others similarly situated, against Jazz</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Pharmaceuticals plc, and Roxane Laboratories, Inc., West-Ward Pharmaceuticals Corp., Hikma Labs Inc., Hikma Pharmaceuticals USA Inc., and Hikma Pharmaceuticals plc, or, collectively, the City of Providence Defendants.</w:t>
      </w:r>
    </w:p>
    <w:p>
      <w:pPr>
        <w:spacing w:after="0" w:line="54"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2" w:lineRule="exact"/>
        <w:rPr>
          <w:sz w:val="20"/>
          <w:szCs w:val="20"/>
          <w:color w:val="auto"/>
        </w:rPr>
      </w:pPr>
    </w:p>
    <w:p>
      <w:pPr>
        <w:jc w:val="both"/>
        <w:ind w:right="140" w:firstLine="445"/>
        <w:spacing w:after="0" w:line="261" w:lineRule="auto"/>
        <w:rPr>
          <w:sz w:val="20"/>
          <w:szCs w:val="20"/>
          <w:color w:val="auto"/>
        </w:rPr>
      </w:pPr>
      <w:r>
        <w:rPr>
          <w:rFonts w:ascii="Times New Roman" w:cs="Times New Roman" w:eastAsia="Times New Roman" w:hAnsi="Times New Roman"/>
          <w:sz w:val="18"/>
          <w:szCs w:val="18"/>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 Inc., Lupin Ltd., Lupin Pharmaceuticals, Inc., and Lupin Inc.</w:t>
      </w:r>
    </w:p>
    <w:p>
      <w:pPr>
        <w:spacing w:after="0" w:line="7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8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5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54"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75"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jc w:val="both"/>
        <w:ind w:right="420" w:firstLine="445"/>
        <w:spacing w:after="0" w:line="266" w:lineRule="auto"/>
        <w:rPr>
          <w:sz w:val="20"/>
          <w:szCs w:val="20"/>
          <w:color w:val="auto"/>
        </w:rPr>
      </w:pPr>
      <w:r>
        <w:rPr>
          <w:rFonts w:ascii="Times New Roman" w:cs="Times New Roman" w:eastAsia="Times New Roman" w:hAnsi="Times New Roman"/>
          <w:sz w:val="18"/>
          <w:szCs w:val="18"/>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 The Court excluded Xywav purchasers from the classes. On April 26, 2024, we, Hikma, and the plaintiffs filed motions for summary judgment. The Court held oral argument on these motions 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July 19, 2024, and has not yet issued a decision. On June 13, 2024, we filed a motion to decertify the class. On June 8, 2024, the plaintiffs filed a motion to amend the definition of the certified class. The Court scheduled a hearing on these motions for August 22, 2024. Trial in this matter is scheduled for October 28, 2024.</w:t>
      </w:r>
    </w:p>
    <w:p>
      <w:pPr>
        <w:spacing w:after="0" w:line="6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 On January 11, 2024, the Court held a hearing on the motion for final approval of the proposed settlement. The Court deferred ruling and scheduled a further hearing for final approval of the proposed settlement on April 17, 2024. During February and March 2024, the parties notified the Court of settlements between certain non-class action plaintiffs and each of Amneal and Lupin, and the Court dismissed those plaintiffs’ claims against the applicable parties. On April 17, 2024, the Court issued an order granting the motion for final approval of the settlement between the class action plaintiffs, Amneal, and Lupin.</w:t>
      </w:r>
    </w:p>
    <w:p>
      <w:pPr>
        <w:spacing w:after="0" w:line="8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December 11, 2023, Blue Cross and Blue Shield of Florida, Inc. and Health Options, Inc. filed a lawsuit in the United States District Court for the Middle District of Florida against the Company Defendants, Hikma Pharmaceuticals plc, Hikma Pharmaceuticals USA Inc., Hikma Labs, Inc., and Eurohealth (USA), Inc., raising similar allegations. On January 23, 2024, the Blue Cross Florida case was transferred to the United States District Court for the Northern District of California and consolidated with the above referenced multidistrict litigation for pretrial purposes.</w:t>
      </w:r>
    </w:p>
    <w:p>
      <w:pPr>
        <w:spacing w:after="0" w:line="72"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On June 26, 2023, the Court granted our motions, and granted Aetna leave to further amend its complaint. On November 17, 2023, Aetna filed its second amended complaint. On February 2, 2024, we filed our answer to the second amended complaint and Hikma filed a motion to quash service. That motion remains pending.</w:t>
      </w:r>
    </w:p>
    <w:p>
      <w:pPr>
        <w:spacing w:after="0" w:line="84"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GW Acquisition Litigation</w:t>
      </w:r>
    </w:p>
    <w:p>
      <w:pPr>
        <w:spacing w:after="0" w:line="119"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On March 15, 2021, GW filed a definitive proxy statement, or Proxy Statement, with the Securities and Exchange Commission in connection with the GW Acquisition.</w:t>
      </w:r>
    </w:p>
    <w:p>
      <w:pPr>
        <w:spacing w:after="0" w:line="5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5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68"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On June 3, 2022, we filed a motion to dismiss the Ziegler Lawsuit. While the motion to dismiss was pending, in December 2022, the parties participated in a mediation and reached a tentative settlement, subject to court approval. On March 20, 2023, the plaintiffs in the Ziegler Lawsuit filed a motion for preliminary approval of the settlement. On July 28, 2023, the Court granted the motion for preliminary approval, which conditionally certified a class for settlement purposes. On December 11, 2023, the Court held a hearing regarding final approval of the proposed settlement and took the matter under advisement. On March 25, 2024, the Court issued an order finally approving the settlement and a judgment dismissing the case. On April 4, 2024, the Court issued amended versions of the order and judgment.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Avadel Litigation</w:t>
      </w:r>
    </w:p>
    <w:p>
      <w:pPr>
        <w:spacing w:after="0" w:line="11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On May 13, 2021, we filed a patent infringement suit against Avadel Pharmaceuticals plc, or Avadel, and several of its corporate affiliates in the United States District Court for the District of Delaware. The suit alleges that Avadel’s Lumryz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the Orange Book. 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spacing w:after="0" w:line="82"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August 4, 2021, we filed an additional patent infringement suit against Avadel in the United States District Court for the District of Delaware. The second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On November 10, 2021, we filed an additional patent infringement suit against Avadel in the United States District Court for the District of Delaware. The third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On April 14, 2022, Avadel sued us in the United States District Court for the District of Delaware. Avadel’s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 July 18, 2023. The denial is not a ruling that Jazz misappropriated Avadel‘s trade secrets or breached any contract. The case will go forward in discovery and the Court instructed the parties to submit a proposed scheduling order.</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 On June 29, 2023, we filed a motion seeking leave to supplement our motion to dismiss, as well as a motion to stay discovery pending resolution of the motion to dismiss. The Court has not yet ruled on these motions. As noted above, on March 3, 2023, we and Avadel stipulated to the dismissal without prejudice of the claims and counterclaims related to infringement and validity of the delisted patent.</w:t>
      </w:r>
    </w:p>
    <w:p>
      <w:pPr>
        <w:spacing w:after="0" w:line="7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November 1, 2023, the Court held a claim construction hearing relating to disputed terms in the asserted patents. On December 15, 2023, the Court issued a written opinion and order resolving the parties’ remaining claim construction disputes. On November 20, 2023, we and Avadel each filed motions for summary judgment. On February 14, 2024, the Court issued a written opinion and order denying both parties’ motions for summary judgment.</w:t>
      </w:r>
    </w:p>
    <w:p>
      <w:pPr>
        <w:spacing w:after="0" w:line="68"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Trial regarding our patent infringement claims against Avadel began on February 26, 2024 and concluded on March 4, 2024, with the jury finding both of our asserted patents valid, and awarding us damages for infringement for Avadel’s past sales of Lumryz. On April 12, 2024, we filed a motion for a permanent injunction and ongoing royalties. The Court held a hearing on that motion on June 4, 2024, but has not yet issued a decision.</w:t>
      </w:r>
    </w:p>
    <w:p>
      <w:pPr>
        <w:spacing w:after="0" w:line="68"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Court scheduled a trial regarding Avadel’s counterclaims for unlawful monopolization for November 3, 2025 and a trial regarding Avadel’s trade secret misappropriation claims for December 15, 2025. On March 13, 2024 and March 19, 2024, we filed motions to stay Avadel’s unlawful monopolization counterclaim and trade secret claims, respectively, pending resolution of post-trial motions and potential appeals in the patent infringement suit. On May 24, 2024, the Court denied the motion to stay the unlawful monopolization counterclaim and the previously-filed motion to dismiss the same. On June 7, 2024, we filed a motion for reargument or, in the alternative, to certify the decision for interlocutory appeal. That motion remains pending and no hearing date has been set.</w:t>
      </w:r>
    </w:p>
    <w:p>
      <w:pPr>
        <w:spacing w:after="0" w:line="79"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Xywav Patent Litigation</w:t>
      </w:r>
    </w:p>
    <w:p>
      <w:pPr>
        <w:spacing w:after="0" w:line="119"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7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suit. On February 15, 2023, the Court consolidated the new lawsuit with the two suits we previously filed against Lupin. No trial date has been set in the consolidated case against Lupin.</w:t>
      </w:r>
    </w:p>
    <w:p>
      <w:pPr>
        <w:spacing w:after="0" w:line="5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February 2023, we received notice from Teva Pharmaceuticals, Inc., or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15, 2023, based on a stipulation between all parties, the Court consolidated the Lupin lawsuits and the Teva lawsuit for all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trial date has been set in the consolidated case.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Alkem Patent Litigation</w:t>
      </w:r>
    </w:p>
    <w:p>
      <w:pPr>
        <w:spacing w:after="0" w:line="119"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April 2023, we received notice from Alkem Laboratories Ltd., or Alkem, that it has filed with FDA an ANDA, for a generic version of Xyrem. The notice from Alkem included a paragraph IV certification with respect to six of our patents listed in FDA’s Orange Book for Xyrem on the date of our receipt of the notice. The asserted patents relate generally to methods of treatment when Xyrem is administered concomitantly with certain other medications.</w:t>
      </w:r>
    </w:p>
    <w:p>
      <w:pPr>
        <w:spacing w:after="0" w:line="7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June 2023, we filed a patent infringement suit against Alkem in the United States District Court for the District of New Jersey. The complaint alleges that by filing its ANDA, Alkem has infringed six of our Orange Book listed patents. We are seeking a permanent injunction to prevent Alkem from introducing a generic version of Xyrem that would infringe our patents. As a result of this lawsuit, we expect that a stay of approval of up to 30 months will be imposed by FDA on Alkem’s ANDA.</w:t>
      </w:r>
    </w:p>
    <w:p>
      <w:pPr>
        <w:spacing w:after="0" w:line="72"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On October 4, 2023, we entered into a settlement agreement with Alkem that resolves our patent litigation. Under the settlement agreement, we granted Alkem a license to manufacture, market, and sell its generic version of Xyrem on or after December 31, 2025, or earlier under certain circumstances, including circumstances where Hikma launches its own generic sodium oxybate product.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Epidiolex Patent Litigation</w:t>
      </w:r>
    </w:p>
    <w:p>
      <w:pPr>
        <w:spacing w:after="0" w:line="119"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In November and December 2022, we received notices from 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 (hereinafter referred to as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spacing w:after="0" w:line="8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January 3, 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spacing w:after="0" w:line="72"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From March 2023 through May 2023, we received the Epidiolex ANDA Filers’ answers to the complaint. 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 On May 25, 2023, we filed a motion to dismiss certain of the counterclaims. On January 11, 2024, the Court issued an order granting in part and denying in part our motion to dismiss. The Court scheduled a claim construction hearing for September 20, 2024 relating to disputed terms in the asserted patents.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Court in the Epidiolex Patent Litigation scheduled trial for September 2025.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 The suit seeks an order that the effective date of FDA approval of each Epidiolex ANDA Filer’s application shall be a date no earlier than the expiration of the newly-issued patent.</w:t>
      </w:r>
    </w:p>
    <w:p>
      <w:pPr>
        <w:spacing w:after="0" w:line="75"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On October 24, 2023, we entered into a settlement agreement with Padagis US LLC, or Padagis, that resolved our patent litigation with Padagis related to Epidiolex. Under the settlement agreement, we granted Padagis a license to manufacture, market, and sell its generic version of Epidiolex on a date that depends on the occurrence of certain other events. The specific terms of the Padagis settlement agreement are confidential.</w:t>
      </w:r>
    </w:p>
    <w:p>
      <w:pPr>
        <w:spacing w:after="0" w:line="6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November 20, 2023, we entered into a settlement agreement with Teva Pharmaceuticals, Inc., or Teva, that resolved our patent litigation with Teva related to Epidiolex. Under the settlement agreement, we granted Teva a license to manufacture, market and sell its generic version of Epidiolex on a date which remains confidential. The specific terms of the Teva settlement agreement are confidential.</w:t>
      </w:r>
    </w:p>
    <w:p>
      <w:pPr>
        <w:spacing w:after="0" w:line="68"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December 4, 2023, we entered into a settlement agreement with Alkem Laboratories Ltd., or Alkem, that resolved our patent litigation with Alkem related to Epidiolex. Under the settlement agreement, we granted Alkem a license to manufacture, market, and sell its generic version of Epidiolex on a date which remains confidential. The specific terms of the Alkem settlement are confidential.</w:t>
      </w:r>
    </w:p>
    <w:p>
      <w:pPr>
        <w:spacing w:after="0" w:line="6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June 7, 2024, we entered into a settlement agreement with MSN Laboratories Private, Ltd. and MSN Pharmaceuticals, Inc., or together MSN, that resolved our patent litigation with MSN related to Epidiolex. Under the settlement agreement, we granted MSN a license to manufacture, market, and sell its generic version of Epidiolex on a date which remains confidential. The specific terms of the MSN settlement are confidential.</w:t>
      </w:r>
    </w:p>
    <w:p>
      <w:pPr>
        <w:spacing w:after="0" w:line="68"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The settlements with Padagis, Teva, Alkem and MSN do not resolve the litigation against the other six Epidiolex ANDA Filers, which is ongoing. We cannot predict the specific timing or outcome of events in these matters with respect to the remaining defendants or the impact of developments involving any specific parties or patents on other ongoing proceedings with any specific Epidiolex ANDA Filer.</w:t>
      </w:r>
    </w:p>
    <w:p>
      <w:pPr>
        <w:spacing w:after="0" w:line="68"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In September and October 2023, we received notice from certain of the Epidiolex ANDA Filers that they had each filed a paragraph IV certification regarding one or more newly-issued patents listed in the Orange Book for Epidiolex. On December 15, 2023, we filed an additional lawsuit against seven of the original Epidiolex ANDA Filers with whom we have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7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March and April 2024, we received notice from certain of the Epidiolex ANDA Filers that they had each filed a paragraph IV certification regarding one or more newly-issued patents listed in the Orange Book for Epidiolex. On July 3, 2024, we filed an additional lawsuit against six of the original Epidiolex ANDA Filers with whom we have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7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Epidiolex also has orphan drug exclusivity, or ODE, for the treatment of seizures associated with LGS or DS in patients 2 years of age and older through September 28, 2025, and for the treatment of seizures associated with LGS or DS in patients between 1 and 2 years of age and for the treatment of seizures associated with TSC through July 31, 2027.</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vigorously enforces its intellectual property rights but cannot predict the outcome of these matters.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MSP Litigation</w:t>
      </w:r>
    </w:p>
    <w:p>
      <w:pPr>
        <w:spacing w:after="0" w:line="11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On April 3, 2023, MSP Recovery Claims, Series LLC, or MSP, filed a class action lawsuit on behalf itself and others similarly situated against Jazz Pharmaceuticals plc, Jazz Pharmaceuticals, Inc., and Jazz Pharmaceuticals Ireland Limited, (collectively, the Company Defendants), Express Scripts, Inc., Express Scripts Holding Company, Express Scripts Specialty Distribution Services, Inc., Curascript, Inc. d/b/a Curascript, S.D., Priority Healthcare Distribution, Inc. d/b/a Curascript SD and Curascript Specialty Distribution SD, Caring Voice Coalition, and Adira Foundation (collectively with the Company Defendants, referred to as the Defendants) in the United States District Court for the Northern District of California. The MSP complaint alleges that the Defendants conspired to increase the price and quantity dispensed of Xyrem and Prialt, in violation of the Racketeer Influenced and Corrupt Organizations Act and several state laws. The allegations relate generally to the conduct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issue in the investigation conducted by the United States Department of Justice from 2016-2019, involving the Company’s contributions to certain charitable foundations. MSP seeks monetary damages, restitution, disgorgement, and a declaration that the conduct alleged is unlawful.</w:t>
      </w:r>
    </w:p>
    <w:p>
      <w:pPr>
        <w:spacing w:after="0" w:line="54"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On July 25, 2023, we and certain other defendants filed motions to dismiss MSP's complaint, which the Court granted on December 12, 2023. On January 5, 2024, the MSP filed an amended complaint. On February 20, 2024, we filed a motion to dismiss MSP’s amended complaint. The Court scheduled a hearing on the motion for June 13, 2024. On June 21, 2024, the Court cancelled the hearing. On July 22, 2024, the Court granted the motion. The Court set a deadline of August 12, 2024 to file a second amended complaint. No trial date has been set for this matter.</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FDA Litigation</w:t>
      </w:r>
    </w:p>
    <w:p>
      <w:pPr>
        <w:spacing w:after="0" w:line="11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On June 22, 2023, we filed a complaint in the United States District Court for the District of Columbia seeking a declaration that FDA’s approval on May 1, 2023, of the New Drug Application, or NDA, for Avadel's Lumryz was unlawful. In the complaint, we allege that FDA acted outside its authority under the Orphan Drug Act, when, despite ODE protecting Jazz’s low-sodium oxybate product Xywav, FDA approved the Lumryz NDA and granted Lumryz ODE based on FDA’s finding that Lumryz makes a major contribution to patient care and is therefore clinically superior to Xywav and Xyrem. Jazz further alleges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seeks to have the Court vacate and set aside FDA’s approval of the Lumryz NDA and seeks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86"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On September 15, 2023, we filed a motion for summary judgment. On October 20, 2023, Avadel and FDA filed cross motions for summary judgment. Oral argument on these motions was held on May 10, 2024. The Court has not yet issued a decision.</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Qui tam matter</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July 2022, we received a subpoena from the U.S. Attorney’s Office, or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United States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United States and a number of states named in the whistleblower complaint declined to intervene in this matter. As such, private whistleblower litigation will proceed in the United States District Court for the District of Massachusetts.</w:t>
      </w:r>
    </w:p>
    <w:p>
      <w:pPr>
        <w:spacing w:after="0" w:line="8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November 2016, our board of directors authorized a share repurchase program and, as of June 30, 2024,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May 2021 credit agreement, corporate and regulatory requirements and market conditions. The share repurchase program may be modified, suspended or discontinued at any time without prior notice. During the three and six months ended June 30, 2024, we spent a total of $161.4 million to purchase 1.5 million of our ordinary shares under the share repurchase program at an average total purchase price, including commissions, of $110.75 per share. During the three and six months ended June 30, 2023, we spent a total of $95.6 million to purchase 0.8 million of our ordinary shares under the share repurchase program at an average total purchase price, including commissions, of $126.37 per share. All ordinary shares repurchased were cancelled. As of June 30, 2024, the remaining amount authorized under the share repurchase program was $47,475, exclusive of any brokerage commissions.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In July 2024, our board of directors authorized a new share repurchase program to repurchase ordinary shares having an aggregate purchase price of $500 million, exclusive of any brokerage commissions.</w:t>
      </w: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as of June 30, 2024 and December 31, 2023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From</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Hedging Activities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9"/>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(842,147)</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(46,080)</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(888,227)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other comprehensive income (loss) primarily reflects foreign currency translation adjustments, primarily due to the weakening of the sterling and the euro against the U.S. dollar.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Ordinary Share</w:t>
      </w:r>
    </w:p>
    <w:p>
      <w:pPr>
        <w:spacing w:after="0" w:line="12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income per ordinary share were computed as follows (in thousands, except per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173,858</w:t>
            </w: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Effect of interest on assumed conversions of Exchangeable Senior</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net of tax</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dilutive net income per ordinary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173,446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163,683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187,897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63,744</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Exchangeable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employee equity incentive and purchase plans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164"/>
        </w:trPr>
        <w:tc>
          <w:tcPr>
            <w:tcW w:w="5200" w:type="dxa"/>
            <w:vAlign w:val="bottom"/>
          </w:tcPr>
          <w:p>
            <w:pPr>
              <w:ind w:left="40"/>
              <w:spacing w:after="0" w:line="164"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69,625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73,540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69,684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73,657</w:t>
            </w:r>
          </w:p>
        </w:tc>
        <w:tc>
          <w:tcPr>
            <w:tcW w:w="0" w:type="dxa"/>
            <w:vAlign w:val="bottom"/>
          </w:tcPr>
          <w:p>
            <w:pPr>
              <w:spacing w:after="0"/>
              <w:rPr>
                <w:sz w:val="1"/>
                <w:szCs w:val="1"/>
                <w:color w:val="auto"/>
              </w:rPr>
            </w:pPr>
          </w:p>
        </w:tc>
      </w:tr>
      <w:tr>
        <w:trPr>
          <w:trHeight w:val="20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Potentially dilutive ordinary shares from our employee equity incentive and purchase plans are determined by applying the treasury stock method to the assumed vesting of outstanding restricted stock units, or RSUs, and performance-based restricted stock units, or PRSUs, the assumed exercise of share options and the assumed issuance of ordinary shares under our employee stock purchase plan, or ESPP. Potentially dilutive ordinary shares from the Exchangeable Senior Notes are determined by applying the if-converted method to the assumed issuance of ordinary shares upon exchange of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Exchangeable Senior Notes. In August 2023, we made an irrevocable election to fix the settlement method for exchanges of the 2024 Notes to a combination of cash and ordinary shares of the Company with a specified cash amount per $1,000 principal amount of the 2024 Notes of $1,000. As a result, the assumed issuance of ordinary shares upon exchange of the 2024 Notes has only been included in the calculation of diluted net income per ordinary share in the three and six months ended June 30, 2023.</w:t>
      </w:r>
    </w:p>
    <w:p>
      <w:pPr>
        <w:spacing w:after="0" w:line="72"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In July 2024, we made an irrevocable election to fix the settlement method for exchanges of the 2026 Notes and, as a result, an exchanging noteholder will receive (i) up to $1,000 in cash per $1,000 principal amount of the 2026 Notes and (ii) any combination of cash and/or ordinary shares of the Company, for any exchange consideration in excess of $1,000 per $1,000 principal amount of the 2026 Notes.</w:t>
      </w:r>
    </w:p>
    <w:p>
      <w:pPr>
        <w:spacing w:after="0" w:line="68"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weighted-average ordinary shares that were excluded from the calculation of diluted net income per ordinary share for the periods presented because including them would have an anti-dilutive effect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equity incentive and purchase plans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55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Revenues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5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3"/>
                <w:szCs w:val="23"/>
                <w:color w:val="auto"/>
              </w:rPr>
            </w:pPr>
          </w:p>
        </w:tc>
        <w:tc>
          <w:tcPr>
            <w:tcW w:w="176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23"/>
                <w:szCs w:val="23"/>
                <w:color w:val="auto"/>
              </w:rPr>
            </w:pPr>
          </w:p>
        </w:tc>
      </w:tr>
      <w:tr>
        <w:trPr>
          <w:trHeight w:val="196"/>
        </w:trPr>
        <w:tc>
          <w:tcPr>
            <w:tcW w:w="5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604,325</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337,899</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391,135</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684,137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1,343,263</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187,620</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137,529</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85,187</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277,309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534,858</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481,092</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964,144</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946,987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1,806,246</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1,831,206</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attributed to geographic sources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1,694,822</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125,227</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30,080</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1,925,808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1,850,129</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5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percentage of total revenues from customers that represented more than 10% of our total revenues: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5"/>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49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4"/>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Cardinal Health, Inc.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and payment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payment terms vary by the type and location of our customer but payment is generally required in a term ranging from 30 to 65 days.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related to RSUs, PRSUs, grants under our ESPP and share options was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0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77,887</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17,272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 pre-tax</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56,654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from share-based compensation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 net of tax</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47,025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98,044</w:t>
            </w: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table below shows the number of RSUs granted covering an equal number of our ordinary shares and the weighted-average grant date fair value of RSUs granted: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6"/>
        </w:trPr>
        <w:tc>
          <w:tcPr>
            <w:tcW w:w="52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112.00</w:t>
            </w:r>
          </w:p>
        </w:tc>
        <w:tc>
          <w:tcPr>
            <w:tcW w:w="120" w:type="dxa"/>
            <w:vAlign w:val="bottom"/>
          </w:tcPr>
          <w:p>
            <w:pPr>
              <w:spacing w:after="0"/>
              <w:rPr>
                <w:sz w:val="20"/>
                <w:szCs w:val="20"/>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132.59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w:t>
            </w:r>
          </w:p>
        </w:tc>
      </w:tr>
    </w:tbl>
    <w:p>
      <w:pPr>
        <w:spacing w:after="0" w:line="166"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Compensation &amp; Management Development Committee of our board of directors and, in the case of our Chief Executive Officer, the independent members of our board of directors, approved awards of PRSUs to certain employees of the Company, subject to vesting on the achievement of certain commercial and pipeline performance criteria to be assessed over a performance period from the date of the grant to December 31, 2024, December 31, 2025 and December 31, 2026, respectively. The number of shares that will be awarded is determined based on the Company’s achievement with respect to the performance criteria. For PRSUs granted prior to 2024, the amount of shares awarded will be subject to adjustment based on the application of a relative total shareholder return, or TSR, modifier. For PRSUs granted in 2024, the relative TSR represents one of the performance metrics. In both cases, the number of shares that may be earned ranges between 0% and 200% of the target number of PRSUs granted.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table below shows the number of PRSUs granted covering an equal number of our ordinary shares and the weighted-average grant date fair value of PRSUs granted: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112.60</w:t>
            </w:r>
          </w:p>
        </w:tc>
        <w:tc>
          <w:tcPr>
            <w:tcW w:w="120" w:type="dxa"/>
            <w:vAlign w:val="bottom"/>
          </w:tcPr>
          <w:p>
            <w:pPr>
              <w:spacing w:after="0"/>
              <w:rPr>
                <w:sz w:val="20"/>
                <w:szCs w:val="20"/>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139.26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134.99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w:t>
            </w:r>
          </w:p>
        </w:tc>
      </w:tr>
    </w:tbl>
    <w:p>
      <w:pPr>
        <w:spacing w:after="0" w:line="179"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For the PRSUs granted that are subject to a market condition, the grant date fair value for such PRSUs was based on a Monte Carlo simulation model. For PRSUs granted without a market condition, the fair value is determined based on the market price of our ordinary shares on the date of grant. The Company evaluated the performance targets in the context of its current long-range financial plan and its product candidate development pipeline and recognized expense based on the probable number of awards that will ultimately vest.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2024, compensation cost not yet recognized related to unvested RSUs, PRSUs, ESPP and share options was $389.4 million,</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$41.1 million, $12.3 million and $0.2 million, respectively, which is expected to be recognized over a weighted-average period of 2.8 years, 1.6 years, 1.3 years and 0.5 years, respectively.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income tax benefit was $30.7 million and $19.0 million for the three and six months ended June 30, 2024, respectively,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 million and $39.6 million for the same periods in 2023, relating to tax arising on income or losses in Ireland, the U.K., the U.S. and certain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jurisdictions and tax deficiencies from share based compensation, offset by deductions on subsidiary equity, foreign derived intangible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and tax credits.</w:t>
      </w:r>
    </w:p>
    <w:p>
      <w:pPr>
        <w:spacing w:after="0" w:line="99"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2019.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2019 and earlier may still be adjusted upon examination by the taxing authorities. One of our subsidiaries is currently under examination by the Luxembourg taxing authorities for the years ended December 31, 2017, 2018 and 2019. In October 2022 and in January 2023, we received tax assessment notices from the Luxembourg taxing authorities for all years under examination relating to certain transfer pricing and other adjustments. The notices propose additional Luxembourg income tax of approximately $24.0 million, translated at the foreign exchange rate as June 30, 2024. We disagree with the proposed assessments and are contesting them vigorously.</w:t>
      </w:r>
    </w:p>
    <w:p>
      <w:pPr>
        <w:spacing w:after="0" w:line="8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Government of Ireland, the jurisdiction in which Jazz Pharmaceuticals Plc is incorporated, transposed the Global Minimum Tax Pillar Two rules into domestic legislation as part of the Finance (No. 2) Act 2023 (the "Finance Act"). The Finance Act closely follows the EU Minimum Tax Directive and certain OECD Guidance released to date. The Company is within the scope of these rules, which took effect from January 1, 2024. Under the new legislation, we are liable to pay a top-up tax for the difference between the Pillar Two effective tax rate per jurisdiction and the 15% minimum rate. The rules on how to calculate the 15% effective tax rate are detailed and highly complex and specific adjustments envisaged in the Pillar Two legislation can give rise to different effective tax rates compared to those calculated for accounting purposes. We will account for it as a current tax when it is incurred. We expect to be subject to the top-up tax in relation to our operations in Ireland, where the trading statutory tax rate is 12.5%, though the impact in 2024 is not significant. The proportion of our profit before tax which is subject to the top-up tax and our exposure to Pillar Two income taxes in future years will depend on factors such as future revenues, costs and foreign currency exchange rates. We will continue to monitor changes in law and guidance in relation to Pillar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445"/>
        <w:spacing w:after="0" w:line="218" w:lineRule="exact"/>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 10-K for the year ended December 31, 2023, as supplemented by the risks and uncertainties described in "Risk Factors" Item 1A. Risk Factors in Part II of our Quarterly Report on Form 10-Q for the quarter ended March 31, 2024.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(unless another date is indicated), and we undertake no obligation to update or revise these statements in light of future developments.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January 2022, we announced Vision 2025, which outlined our key priorities to deliver sustainable growth and enhanced value across three pillars: commercial execution, pipeline productivity and operational excellence. In recent quarters, Vision 2025 has created significant focus on one single year in our future and achievement of near-term financial metrics, rather than how management is running the business for long-term value creation. Consequently, in July 2024, we announced that we will no longer be providing Vision 2025 metrics, and that 2025 financial guidance will be provided on our fourth quarter 2024 earnings call as we continue to focus on creating long-term value.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to deliver sustainable growth and enhanced value continues to be focused on:</w:t>
      </w:r>
    </w:p>
    <w:p>
      <w:pPr>
        <w:spacing w:after="0" w:line="117" w:lineRule="exact"/>
        <w:rPr>
          <w:sz w:val="20"/>
          <w:szCs w:val="20"/>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advancing our pipeline to achieve a valuable portfolio of durable, highly differentiated products;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flexible, efficient and productive development engine for targeted therapeutic areas to identify and progress early-, mid- and late-stage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acquiring novel product candidates and approved therapies to complement our existing pipeline and commercial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an efficient, scalable operating model and differentiated capabilities to enable growth;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further value through indication expansion and entry into global markets.</w:t>
      </w:r>
    </w:p>
    <w:p>
      <w:pPr>
        <w:spacing w:after="0" w:line="117"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In 2024, consistent with our strategy, we are continuing to focus on research and development activities within our neuroscience and oncology therapeutic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B6B6B6"/>
            </w:tcBorders>
          </w:tcPr>
          <w:p>
            <w:pPr>
              <w:spacing w:after="0" w:line="20" w:lineRule="exact"/>
              <w:rPr>
                <w:sz w:val="1"/>
                <w:szCs w:val="1"/>
                <w:color w:val="auto"/>
              </w:rPr>
            </w:pPr>
          </w:p>
        </w:tc>
        <w:tc>
          <w:tcPr>
            <w:tcW w:w="200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2820" w:type="dxa"/>
            <w:vAlign w:val="bottom"/>
            <w:tcBorders>
              <w:bottom w:val="single" w:sz="8" w:color="B6B6B6"/>
            </w:tcBorders>
          </w:tcPr>
          <w:p>
            <w:pPr>
              <w:spacing w:after="0" w:line="20" w:lineRule="exact"/>
              <w:rPr>
                <w:sz w:val="1"/>
                <w:szCs w:val="1"/>
                <w:color w:val="auto"/>
              </w:rPr>
            </w:pPr>
          </w:p>
        </w:tc>
        <w:tc>
          <w:tcPr>
            <w:tcW w:w="1640" w:type="dxa"/>
            <w:vAlign w:val="bottom"/>
            <w:tcBorders>
              <w:top w:val="single" w:sz="8" w:color="auto"/>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21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860" w:type="dxa"/>
            <w:vAlign w:val="bottom"/>
            <w:tcBorders>
              <w:bottom w:val="single" w:sz="8" w:color="B6B6B6"/>
            </w:tcBorders>
            <w:shd w:val="clear" w:color="auto" w:fill="CCEEFF"/>
          </w:tcPr>
          <w:p>
            <w:pPr>
              <w:spacing w:after="0"/>
              <w:rPr>
                <w:sz w:val="19"/>
                <w:szCs w:val="19"/>
                <w:color w:val="auto"/>
              </w:rPr>
            </w:pPr>
          </w:p>
        </w:tc>
        <w:tc>
          <w:tcPr>
            <w:tcW w:w="282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50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or excessive daytime</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2020</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200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sleepiness, or EDS, in patients seven years of age</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and older with narcolepsy.</w:t>
            </w:r>
          </w:p>
        </w:tc>
        <w:tc>
          <w:tcPr>
            <w:tcW w:w="1640" w:type="dxa"/>
            <w:vAlign w:val="bottom"/>
          </w:tcPr>
          <w:p>
            <w:pPr>
              <w:spacing w:after="0"/>
              <w:rPr>
                <w:sz w:val="20"/>
                <w:szCs w:val="20"/>
                <w:color w:val="auto"/>
              </w:rPr>
            </w:pPr>
          </w:p>
        </w:tc>
        <w:tc>
          <w:tcPr>
            <w:tcW w:w="50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Borders>
              <w:left w:val="single" w:sz="8" w:color="B6B6B6"/>
              <w:right w:val="single" w:sz="8" w:color="B6B6B6"/>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Xywav® (calcium, magnesium,</w:t>
            </w:r>
          </w:p>
        </w:tc>
        <w:tc>
          <w:tcPr>
            <w:tcW w:w="860" w:type="dxa"/>
            <w:vAlign w:val="bottom"/>
            <w:tcBorders>
              <w:bottom w:val="single" w:sz="8" w:color="B6B6B6"/>
            </w:tcBorders>
          </w:tcPr>
          <w:p>
            <w:pPr>
              <w:spacing w:after="0"/>
              <w:rPr>
                <w:sz w:val="16"/>
                <w:szCs w:val="16"/>
                <w:color w:val="auto"/>
              </w:rPr>
            </w:pPr>
          </w:p>
        </w:tc>
        <w:tc>
          <w:tcPr>
            <w:tcW w:w="2820" w:type="dxa"/>
            <w:vAlign w:val="bottom"/>
            <w:tcBorders>
              <w:bottom w:val="single" w:sz="8" w:color="B6B6B6"/>
              <w:right w:val="single" w:sz="8" w:color="B6B6B6"/>
            </w:tcBorders>
          </w:tcPr>
          <w:p>
            <w:pPr>
              <w:spacing w:after="0"/>
              <w:rPr>
                <w:sz w:val="16"/>
                <w:szCs w:val="16"/>
                <w:color w:val="auto"/>
              </w:rPr>
            </w:pPr>
          </w:p>
        </w:tc>
        <w:tc>
          <w:tcPr>
            <w:tcW w:w="1640" w:type="dxa"/>
            <w:vAlign w:val="bottom"/>
            <w:tcBorders>
              <w:bottom w:val="single" w:sz="8" w:color="B6B6B6"/>
            </w:tcBorders>
          </w:tcPr>
          <w:p>
            <w:pPr>
              <w:spacing w:after="0"/>
              <w:rPr>
                <w:sz w:val="16"/>
                <w:szCs w:val="16"/>
                <w:color w:val="auto"/>
              </w:rPr>
            </w:pPr>
          </w:p>
        </w:tc>
        <w:tc>
          <w:tcPr>
            <w:tcW w:w="500" w:type="dxa"/>
            <w:vAlign w:val="bottom"/>
            <w:tcBorders>
              <w:bottom w:val="single" w:sz="8" w:color="B6B6B6"/>
              <w:right w:val="single" w:sz="8" w:color="B6B6B6"/>
            </w:tcBorders>
          </w:tcPr>
          <w:p>
            <w:pPr>
              <w:spacing w:after="0"/>
              <w:rPr>
                <w:sz w:val="16"/>
                <w:szCs w:val="16"/>
                <w:color w:val="auto"/>
              </w:rPr>
            </w:pPr>
          </w:p>
        </w:tc>
        <w:tc>
          <w:tcPr>
            <w:tcW w:w="640" w:type="dxa"/>
            <w:vAlign w:val="bottom"/>
            <w:tcBorders>
              <w:bottom w:val="single" w:sz="8" w:color="B6B6B6"/>
            </w:tcBorders>
          </w:tcPr>
          <w:p>
            <w:pPr>
              <w:spacing w:after="0"/>
              <w:rPr>
                <w:sz w:val="16"/>
                <w:szCs w:val="16"/>
                <w:color w:val="auto"/>
              </w:rPr>
            </w:pPr>
          </w:p>
        </w:tc>
        <w:tc>
          <w:tcPr>
            <w:tcW w:w="2160" w:type="dxa"/>
            <w:vAlign w:val="bottom"/>
            <w:tcBorders>
              <w:bottom w:val="single" w:sz="8" w:color="B6B6B6"/>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potassium, and sodium oxybates)</w:t>
            </w: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idiopathic hypersomnia, or IH, in</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2021</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adults.</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cataplexy in patients with</w:t>
            </w:r>
          </w:p>
        </w:tc>
        <w:tc>
          <w:tcPr>
            <w:tcW w:w="21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May 2023</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narcolepsy.</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cataplexy or EDS in patients seven</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July 2002</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2000" w:type="dxa"/>
            <w:vAlign w:val="bottom"/>
            <w:tcBorders>
              <w:right w:val="single" w:sz="8" w:color="B6B6B6"/>
            </w:tcBorders>
            <w:shd w:val="clear" w:color="auto" w:fill="CCEEFF"/>
          </w:tcPr>
          <w:p>
            <w:pPr>
              <w:spacing w:after="0"/>
              <w:rPr>
                <w:sz w:val="20"/>
                <w:szCs w:val="20"/>
                <w:color w:val="auto"/>
              </w:rPr>
            </w:pP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of age and older with narcolepsy.</w:t>
            </w:r>
          </w:p>
        </w:tc>
        <w:tc>
          <w:tcPr>
            <w:tcW w:w="1640" w:type="dxa"/>
            <w:vAlign w:val="bottom"/>
            <w:shd w:val="clear" w:color="auto" w:fill="CCEEFF"/>
          </w:tcPr>
          <w:p>
            <w:pPr>
              <w:spacing w:after="0"/>
              <w:rPr>
                <w:sz w:val="20"/>
                <w:szCs w:val="20"/>
                <w:color w:val="auto"/>
              </w:rPr>
            </w:pPr>
          </w:p>
        </w:tc>
        <w:tc>
          <w:tcPr>
            <w:tcW w:w="500" w:type="dxa"/>
            <w:vAlign w:val="bottom"/>
            <w:tcBorders>
              <w:righ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60" w:type="dxa"/>
            <w:vAlign w:val="bottom"/>
            <w:tcBorders>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40" w:type="dxa"/>
            <w:vAlign w:val="bottom"/>
            <w:tcBorders>
              <w:left w:val="single" w:sz="8" w:color="B6B6B6"/>
              <w:bottom w:val="single" w:sz="8" w:color="CCEEFF"/>
            </w:tcBorders>
            <w:shd w:val="clear" w:color="auto" w:fill="CCEEFF"/>
          </w:tcPr>
          <w:p>
            <w:pPr>
              <w:spacing w:after="0"/>
              <w:rPr>
                <w:sz w:val="14"/>
                <w:szCs w:val="14"/>
                <w:color w:val="auto"/>
              </w:rPr>
            </w:pPr>
          </w:p>
        </w:tc>
        <w:tc>
          <w:tcPr>
            <w:tcW w:w="2000" w:type="dxa"/>
            <w:vAlign w:val="bottom"/>
            <w:tcBorders>
              <w:bottom w:val="single" w:sz="8" w:color="CCEEFF"/>
              <w:right w:val="single" w:sz="8" w:color="B6B6B6"/>
            </w:tcBorders>
            <w:shd w:val="clear" w:color="auto" w:fill="CCEEFF"/>
          </w:tcPr>
          <w:p>
            <w:pPr>
              <w:spacing w:after="0"/>
              <w:rPr>
                <w:sz w:val="14"/>
                <w:szCs w:val="14"/>
                <w:color w:val="auto"/>
              </w:rPr>
            </w:pPr>
          </w:p>
        </w:tc>
        <w:tc>
          <w:tcPr>
            <w:tcW w:w="860" w:type="dxa"/>
            <w:vAlign w:val="bottom"/>
            <w:tcBorders>
              <w:bottom w:val="single" w:sz="8" w:color="B6B6B6"/>
            </w:tcBorders>
            <w:shd w:val="clear" w:color="auto" w:fill="CCEEFF"/>
          </w:tcPr>
          <w:p>
            <w:pPr>
              <w:spacing w:after="0"/>
              <w:rPr>
                <w:sz w:val="14"/>
                <w:szCs w:val="14"/>
                <w:color w:val="auto"/>
              </w:rPr>
            </w:pPr>
          </w:p>
        </w:tc>
        <w:tc>
          <w:tcPr>
            <w:tcW w:w="2820" w:type="dxa"/>
            <w:vAlign w:val="bottom"/>
            <w:tcBorders>
              <w:bottom w:val="single" w:sz="8" w:color="B6B6B6"/>
              <w:right w:val="single" w:sz="8" w:color="B6B6B6"/>
            </w:tcBorders>
            <w:shd w:val="clear" w:color="auto" w:fill="CCEEFF"/>
          </w:tcPr>
          <w:p>
            <w:pPr>
              <w:spacing w:after="0"/>
              <w:rPr>
                <w:sz w:val="14"/>
                <w:szCs w:val="14"/>
                <w:color w:val="auto"/>
              </w:rPr>
            </w:pPr>
          </w:p>
        </w:tc>
        <w:tc>
          <w:tcPr>
            <w:tcW w:w="1640" w:type="dxa"/>
            <w:vAlign w:val="bottom"/>
            <w:tcBorders>
              <w:bottom w:val="single" w:sz="8" w:color="B6B6B6"/>
            </w:tcBorders>
            <w:shd w:val="clear" w:color="auto" w:fill="CCEEFF"/>
          </w:tcPr>
          <w:p>
            <w:pPr>
              <w:spacing w:after="0"/>
              <w:rPr>
                <w:sz w:val="14"/>
                <w:szCs w:val="14"/>
                <w:color w:val="auto"/>
              </w:rPr>
            </w:pPr>
          </w:p>
        </w:tc>
        <w:tc>
          <w:tcPr>
            <w:tcW w:w="500" w:type="dxa"/>
            <w:vAlign w:val="bottom"/>
            <w:tcBorders>
              <w:bottom w:val="single" w:sz="8" w:color="B6B6B6"/>
              <w:right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160" w:type="dxa"/>
            <w:vAlign w:val="bottom"/>
            <w:tcBorders>
              <w:bottom w:val="single" w:sz="8" w:color="B6B6B6"/>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Xyrem® (sodium oxybate)</w:t>
            </w: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in patients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2005</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49"/>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narcolepsy.</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6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40" w:type="dxa"/>
            <w:vAlign w:val="bottom"/>
            <w:tcBorders>
              <w:left w:val="single" w:sz="8" w:color="B6B6B6"/>
              <w:bottom w:val="single" w:sz="8" w:color="CCEEFF"/>
            </w:tcBorders>
            <w:shd w:val="clear" w:color="auto" w:fill="CCEEFF"/>
          </w:tcPr>
          <w:p>
            <w:pPr>
              <w:spacing w:after="0"/>
              <w:rPr>
                <w:sz w:val="7"/>
                <w:szCs w:val="7"/>
                <w:color w:val="auto"/>
              </w:rPr>
            </w:pPr>
          </w:p>
        </w:tc>
        <w:tc>
          <w:tcPr>
            <w:tcW w:w="2000" w:type="dxa"/>
            <w:vAlign w:val="bottom"/>
            <w:tcBorders>
              <w:bottom w:val="single" w:sz="8" w:color="CCEEFF"/>
              <w:right w:val="single" w:sz="8" w:color="B6B6B6"/>
            </w:tcBorders>
            <w:shd w:val="clear" w:color="auto" w:fill="CCEEFF"/>
          </w:tcPr>
          <w:p>
            <w:pPr>
              <w:spacing w:after="0"/>
              <w:rPr>
                <w:sz w:val="7"/>
                <w:szCs w:val="7"/>
                <w:color w:val="auto"/>
              </w:rPr>
            </w:pPr>
          </w:p>
        </w:tc>
        <w:tc>
          <w:tcPr>
            <w:tcW w:w="3680" w:type="dxa"/>
            <w:vAlign w:val="bottom"/>
            <w:tcBorders>
              <w:bottom w:val="single" w:sz="8" w:color="B6B6B6"/>
              <w:right w:val="single" w:sz="8" w:color="B6B6B6"/>
            </w:tcBorders>
            <w:gridSpan w:val="2"/>
            <w:vMerge w:val="continue"/>
            <w:shd w:val="clear" w:color="auto" w:fill="CCEEFF"/>
          </w:tcPr>
          <w:p>
            <w:pPr>
              <w:spacing w:after="0"/>
              <w:rPr>
                <w:sz w:val="7"/>
                <w:szCs w:val="7"/>
                <w:color w:val="auto"/>
              </w:rPr>
            </w:pPr>
          </w:p>
        </w:tc>
        <w:tc>
          <w:tcPr>
            <w:tcW w:w="1640" w:type="dxa"/>
            <w:vAlign w:val="bottom"/>
            <w:tcBorders>
              <w:bottom w:val="single" w:sz="8" w:color="B6B6B6"/>
            </w:tcBorders>
            <w:shd w:val="clear" w:color="auto" w:fill="CCEEFF"/>
          </w:tcPr>
          <w:p>
            <w:pPr>
              <w:spacing w:after="0"/>
              <w:rPr>
                <w:sz w:val="7"/>
                <w:szCs w:val="7"/>
                <w:color w:val="auto"/>
              </w:rPr>
            </w:pPr>
          </w:p>
        </w:tc>
        <w:tc>
          <w:tcPr>
            <w:tcW w:w="500" w:type="dxa"/>
            <w:vAlign w:val="bottom"/>
            <w:tcBorders>
              <w:bottom w:val="single" w:sz="8" w:color="B6B6B6"/>
              <w:right w:val="single" w:sz="8" w:color="B6B6B6"/>
            </w:tcBorders>
            <w:shd w:val="clear" w:color="auto" w:fill="CCEEFF"/>
          </w:tcPr>
          <w:p>
            <w:pPr>
              <w:spacing w:after="0"/>
              <w:rPr>
                <w:sz w:val="7"/>
                <w:szCs w:val="7"/>
                <w:color w:val="auto"/>
              </w:rPr>
            </w:pPr>
          </w:p>
        </w:tc>
        <w:tc>
          <w:tcPr>
            <w:tcW w:w="640" w:type="dxa"/>
            <w:vAlign w:val="bottom"/>
            <w:tcBorders>
              <w:bottom w:val="single" w:sz="8" w:color="B6B6B6"/>
            </w:tcBorders>
            <w:shd w:val="clear" w:color="auto" w:fill="CCEEFF"/>
          </w:tcPr>
          <w:p>
            <w:pPr>
              <w:spacing w:after="0"/>
              <w:rPr>
                <w:sz w:val="7"/>
                <w:szCs w:val="7"/>
                <w:color w:val="auto"/>
              </w:rPr>
            </w:pPr>
          </w:p>
        </w:tc>
        <w:tc>
          <w:tcPr>
            <w:tcW w:w="2160" w:type="dxa"/>
            <w:vAlign w:val="bottom"/>
            <w:tcBorders>
              <w:bottom w:val="single" w:sz="8" w:color="B6B6B6"/>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narcolepsy with cataplexy in adult</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October 2005</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European Union, or EU, Great</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2000" w:type="dxa"/>
            <w:vAlign w:val="bottom"/>
            <w:tcBorders>
              <w:right w:val="single" w:sz="8" w:color="B6B6B6"/>
            </w:tcBorders>
            <w:shd w:val="clear" w:color="auto" w:fill="CCEEFF"/>
          </w:tcPr>
          <w:p>
            <w:pPr>
              <w:spacing w:after="0"/>
              <w:rPr>
                <w:sz w:val="16"/>
                <w:szCs w:val="16"/>
                <w:color w:val="auto"/>
              </w:rPr>
            </w:pP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patients, adolescents and children from age of 7</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2800" w:type="dxa"/>
            <w:vAlign w:val="bottom"/>
            <w:tcBorders>
              <w:right w:val="single" w:sz="8" w:color="B6B6B6"/>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Britain, other markets (through</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280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w:t>
            </w: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seizures associated with Lennox-</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2018</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Gastaut syndrome, or LGS, Dravet syndrome, or</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3680" w:type="dxa"/>
            <w:vAlign w:val="bottom"/>
            <w:tcBorders>
              <w:right w:val="single" w:sz="8" w:color="B6B6B6"/>
            </w:tcBorders>
            <w:gridSpan w:val="2"/>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DS, or tuberous sclerosis complex, or TSC, in</w:t>
            </w:r>
          </w:p>
        </w:tc>
        <w:tc>
          <w:tcPr>
            <w:tcW w:w="1640" w:type="dxa"/>
            <w:vAlign w:val="bottom"/>
          </w:tcPr>
          <w:p>
            <w:pPr>
              <w:spacing w:after="0"/>
              <w:rPr>
                <w:sz w:val="12"/>
                <w:szCs w:val="12"/>
                <w:color w:val="auto"/>
              </w:rPr>
            </w:pPr>
          </w:p>
        </w:tc>
        <w:tc>
          <w:tcPr>
            <w:tcW w:w="50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tcBorders>
              <w:right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3680" w:type="dxa"/>
            <w:vAlign w:val="bottom"/>
            <w:tcBorders>
              <w:right w:val="single" w:sz="8" w:color="B6B6B6"/>
            </w:tcBorders>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500" w:type="dxa"/>
            <w:vAlign w:val="bottom"/>
            <w:tcBorders>
              <w:righ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2160" w:type="dxa"/>
            <w:vAlign w:val="bottom"/>
            <w:tcBorders>
              <w:right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B6B6B6"/>
              <w:bottom w:val="single" w:sz="8" w:color="B6B6B6"/>
            </w:tcBorders>
          </w:tcPr>
          <w:p>
            <w:pPr>
              <w:spacing w:after="0"/>
              <w:rPr>
                <w:sz w:val="19"/>
                <w:szCs w:val="19"/>
                <w:color w:val="auto"/>
              </w:rPr>
            </w:pPr>
          </w:p>
        </w:tc>
        <w:tc>
          <w:tcPr>
            <w:tcW w:w="2000" w:type="dxa"/>
            <w:vAlign w:val="bottom"/>
            <w:tcBorders>
              <w:bottom w:val="single" w:sz="8" w:color="B6B6B6"/>
              <w:right w:val="single" w:sz="8" w:color="B6B6B6"/>
            </w:tcBorders>
          </w:tcPr>
          <w:p>
            <w:pPr>
              <w:spacing w:after="0"/>
              <w:rPr>
                <w:sz w:val="19"/>
                <w:szCs w:val="19"/>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patients 1 year of age and older.</w:t>
            </w:r>
          </w:p>
        </w:tc>
        <w:tc>
          <w:tcPr>
            <w:tcW w:w="1640" w:type="dxa"/>
            <w:vAlign w:val="bottom"/>
            <w:tcBorders>
              <w:bottom w:val="single" w:sz="8" w:color="B6B6B6"/>
            </w:tcBorders>
          </w:tcPr>
          <w:p>
            <w:pPr>
              <w:spacing w:after="0"/>
              <w:rPr>
                <w:sz w:val="19"/>
                <w:szCs w:val="19"/>
                <w:color w:val="auto"/>
              </w:rPr>
            </w:pPr>
          </w:p>
        </w:tc>
        <w:tc>
          <w:tcPr>
            <w:tcW w:w="500" w:type="dxa"/>
            <w:vAlign w:val="bottom"/>
            <w:tcBorders>
              <w:bottom w:val="single" w:sz="8" w:color="B6B6B6"/>
              <w:right w:val="single" w:sz="8" w:color="B6B6B6"/>
            </w:tcBorders>
          </w:tcPr>
          <w:p>
            <w:pPr>
              <w:spacing w:after="0"/>
              <w:rPr>
                <w:sz w:val="19"/>
                <w:szCs w:val="19"/>
                <w:color w:val="auto"/>
              </w:rPr>
            </w:pPr>
          </w:p>
        </w:tc>
        <w:tc>
          <w:tcPr>
            <w:tcW w:w="640" w:type="dxa"/>
            <w:vAlign w:val="bottom"/>
            <w:tcBorders>
              <w:bottom w:val="single" w:sz="8" w:color="B6B6B6"/>
            </w:tcBorders>
          </w:tcPr>
          <w:p>
            <w:pPr>
              <w:spacing w:after="0"/>
              <w:rPr>
                <w:sz w:val="19"/>
                <w:szCs w:val="19"/>
                <w:color w:val="auto"/>
              </w:rPr>
            </w:pPr>
          </w:p>
        </w:tc>
        <w:tc>
          <w:tcPr>
            <w:tcW w:w="216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2019</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5"/>
                <w:szCs w:val="15"/>
                <w:color w:val="auto"/>
              </w:rPr>
              <w:t>EU, Great Britain, EEA</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Israel,</w:t>
            </w: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LGS or DS, in conjunction with clobazam, for</w:t>
            </w:r>
          </w:p>
        </w:tc>
        <w:tc>
          <w:tcPr>
            <w:tcW w:w="1640" w:type="dxa"/>
            <w:vAlign w:val="bottom"/>
          </w:tcPr>
          <w:p>
            <w:pPr>
              <w:spacing w:after="0"/>
              <w:rPr>
                <w:sz w:val="15"/>
                <w:szCs w:val="15"/>
                <w:color w:val="auto"/>
              </w:rPr>
            </w:pPr>
          </w:p>
        </w:tc>
        <w:tc>
          <w:tcPr>
            <w:tcW w:w="50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gridSpan w:val="2"/>
          </w:tcPr>
          <w:p>
            <w:pPr>
              <w:spacing w:after="0" w:line="181" w:lineRule="exact"/>
              <w:rPr>
                <w:sz w:val="20"/>
                <w:szCs w:val="20"/>
                <w:color w:val="auto"/>
              </w:rPr>
            </w:pPr>
            <w:r>
              <w:rPr>
                <w:rFonts w:ascii="Times New Roman" w:cs="Times New Roman" w:eastAsia="Times New Roman" w:hAnsi="Times New Roman"/>
                <w:sz w:val="18"/>
                <w:szCs w:val="18"/>
                <w:color w:val="auto"/>
              </w:rPr>
              <w:t>Switzerland, Australia and New</w:t>
            </w:r>
          </w:p>
        </w:tc>
        <w:tc>
          <w:tcPr>
            <w:tcW w:w="0" w:type="dxa"/>
            <w:vAlign w:val="bottom"/>
          </w:tcPr>
          <w:p>
            <w:pPr>
              <w:spacing w:after="0"/>
              <w:rPr>
                <w:sz w:val="1"/>
                <w:szCs w:val="1"/>
                <w:color w:val="auto"/>
              </w:rPr>
            </w:pPr>
          </w:p>
        </w:tc>
      </w:tr>
      <w:tr>
        <w:trPr>
          <w:trHeight w:val="306"/>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Epidyolex® (cannabidiol)</w:t>
            </w: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r>
              <w:rPr>
                <w:rFonts w:ascii="Times New Roman" w:cs="Times New Roman" w:eastAsia="Times New Roman" w:hAnsi="Times New Roman"/>
                <w:sz w:val="23"/>
                <w:szCs w:val="23"/>
                <w:color w:val="auto"/>
                <w:vertAlign w:val="superscript"/>
              </w:rPr>
              <w:t>1</w:t>
            </w:r>
          </w:p>
        </w:tc>
        <w:tc>
          <w:tcPr>
            <w:tcW w:w="1640" w:type="dxa"/>
            <w:vAlign w:val="bottom"/>
          </w:tcPr>
          <w:p>
            <w:pPr>
              <w:spacing w:after="0"/>
              <w:rPr>
                <w:sz w:val="24"/>
                <w:szCs w:val="24"/>
                <w:color w:val="auto"/>
              </w:rPr>
            </w:pPr>
          </w:p>
        </w:tc>
        <w:tc>
          <w:tcPr>
            <w:tcW w:w="500" w:type="dxa"/>
            <w:vAlign w:val="bottom"/>
            <w:tcBorders>
              <w:right w:val="single" w:sz="8" w:color="B6B6B6"/>
            </w:tcBorders>
          </w:tcPr>
          <w:p>
            <w:pPr>
              <w:spacing w:after="0"/>
              <w:rPr>
                <w:sz w:val="24"/>
                <w:szCs w:val="24"/>
                <w:color w:val="auto"/>
              </w:rPr>
            </w:pPr>
          </w:p>
        </w:tc>
        <w:tc>
          <w:tcPr>
            <w:tcW w:w="280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8"/>
                <w:szCs w:val="18"/>
                <w:color w:val="auto"/>
              </w:rPr>
              <w:t>Zealand</w:t>
            </w:r>
          </w:p>
        </w:tc>
        <w:tc>
          <w:tcPr>
            <w:tcW w:w="0" w:type="dxa"/>
            <w:vAlign w:val="bottom"/>
          </w:tcPr>
          <w:p>
            <w:pPr>
              <w:spacing w:after="0"/>
              <w:rPr>
                <w:sz w:val="1"/>
                <w:szCs w:val="1"/>
                <w:color w:val="auto"/>
              </w:rPr>
            </w:pPr>
          </w:p>
        </w:tc>
      </w:tr>
      <w:tr>
        <w:trPr>
          <w:trHeight w:val="120"/>
        </w:trPr>
        <w:tc>
          <w:tcPr>
            <w:tcW w:w="2640" w:type="dxa"/>
            <w:vAlign w:val="bottom"/>
            <w:tcBorders>
              <w:left w:val="single" w:sz="8" w:color="B6B6B6"/>
              <w:right w:val="single" w:sz="8" w:color="B6B6B6"/>
            </w:tcBorders>
            <w:gridSpan w:val="2"/>
            <w:vMerge w:val="continue"/>
          </w:tcPr>
          <w:p>
            <w:pPr>
              <w:spacing w:after="0"/>
              <w:rPr>
                <w:sz w:val="10"/>
                <w:szCs w:val="10"/>
                <w:color w:val="auto"/>
              </w:rPr>
            </w:pPr>
          </w:p>
        </w:tc>
        <w:tc>
          <w:tcPr>
            <w:tcW w:w="860" w:type="dxa"/>
            <w:vAlign w:val="bottom"/>
            <w:tcBorders>
              <w:bottom w:val="single" w:sz="8" w:color="B6B6B6"/>
            </w:tcBorders>
          </w:tcPr>
          <w:p>
            <w:pPr>
              <w:spacing w:after="0"/>
              <w:rPr>
                <w:sz w:val="10"/>
                <w:szCs w:val="10"/>
                <w:color w:val="auto"/>
              </w:rPr>
            </w:pPr>
          </w:p>
        </w:tc>
        <w:tc>
          <w:tcPr>
            <w:tcW w:w="2820" w:type="dxa"/>
            <w:vAlign w:val="bottom"/>
            <w:tcBorders>
              <w:bottom w:val="single" w:sz="8" w:color="B6B6B6"/>
              <w:right w:val="single" w:sz="8" w:color="B6B6B6"/>
            </w:tcBorders>
          </w:tcPr>
          <w:p>
            <w:pPr>
              <w:spacing w:after="0"/>
              <w:rPr>
                <w:sz w:val="10"/>
                <w:szCs w:val="10"/>
                <w:color w:val="auto"/>
              </w:rPr>
            </w:pPr>
          </w:p>
        </w:tc>
        <w:tc>
          <w:tcPr>
            <w:tcW w:w="1640" w:type="dxa"/>
            <w:vAlign w:val="bottom"/>
            <w:tcBorders>
              <w:bottom w:val="single" w:sz="8" w:color="B6B6B6"/>
            </w:tcBorders>
          </w:tcPr>
          <w:p>
            <w:pPr>
              <w:spacing w:after="0"/>
              <w:rPr>
                <w:sz w:val="10"/>
                <w:szCs w:val="10"/>
                <w:color w:val="auto"/>
              </w:rPr>
            </w:pPr>
          </w:p>
        </w:tc>
        <w:tc>
          <w:tcPr>
            <w:tcW w:w="500" w:type="dxa"/>
            <w:vAlign w:val="bottom"/>
            <w:tcBorders>
              <w:bottom w:val="single" w:sz="8" w:color="B6B6B6"/>
              <w:right w:val="single" w:sz="8" w:color="B6B6B6"/>
            </w:tcBorders>
          </w:tcPr>
          <w:p>
            <w:pPr>
              <w:spacing w:after="0"/>
              <w:rPr>
                <w:sz w:val="10"/>
                <w:szCs w:val="10"/>
                <w:color w:val="auto"/>
              </w:rPr>
            </w:pPr>
          </w:p>
        </w:tc>
        <w:tc>
          <w:tcPr>
            <w:tcW w:w="640" w:type="dxa"/>
            <w:vAlign w:val="bottom"/>
            <w:tcBorders>
              <w:bottom w:val="single" w:sz="8" w:color="B6B6B6"/>
            </w:tcBorders>
          </w:tcPr>
          <w:p>
            <w:pPr>
              <w:spacing w:after="0"/>
              <w:rPr>
                <w:sz w:val="10"/>
                <w:szCs w:val="10"/>
                <w:color w:val="auto"/>
              </w:rPr>
            </w:pPr>
          </w:p>
        </w:tc>
        <w:tc>
          <w:tcPr>
            <w:tcW w:w="2160" w:type="dxa"/>
            <w:vAlign w:val="bottom"/>
            <w:tcBorders>
              <w:bottom w:val="single" w:sz="8" w:color="B6B6B6"/>
              <w:right w:val="single" w:sz="8" w:color="B6B6B6"/>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2021</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EU, Great Britain, Israel and</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TSC for patients 2 years of age and older.</w:t>
            </w:r>
          </w:p>
        </w:tc>
        <w:tc>
          <w:tcPr>
            <w:tcW w:w="1640" w:type="dxa"/>
            <w:vAlign w:val="bottom"/>
          </w:tcPr>
          <w:p>
            <w:pPr>
              <w:spacing w:after="0"/>
              <w:rPr>
                <w:sz w:val="20"/>
                <w:szCs w:val="20"/>
                <w:color w:val="auto"/>
              </w:rPr>
            </w:pPr>
          </w:p>
        </w:tc>
        <w:tc>
          <w:tcPr>
            <w:tcW w:w="500" w:type="dxa"/>
            <w:vAlign w:val="bottom"/>
            <w:tcBorders>
              <w:right w:val="single" w:sz="8" w:color="B6B6B6"/>
            </w:tcBorders>
          </w:tcPr>
          <w:p>
            <w:pPr>
              <w:spacing w:after="0"/>
              <w:rPr>
                <w:sz w:val="20"/>
                <w:szCs w:val="20"/>
                <w:color w:val="auto"/>
              </w:rPr>
            </w:pPr>
          </w:p>
        </w:tc>
        <w:tc>
          <w:tcPr>
            <w:tcW w:w="280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171"/>
        </w:trPr>
        <w:tc>
          <w:tcPr>
            <w:tcW w:w="640" w:type="dxa"/>
            <w:vAlign w:val="bottom"/>
            <w:tcBorders>
              <w:left w:val="single" w:sz="8" w:color="B6B6B6"/>
              <w:bottom w:val="single" w:sz="8" w:color="B6B6B6"/>
            </w:tcBorders>
          </w:tcPr>
          <w:p>
            <w:pPr>
              <w:spacing w:after="0"/>
              <w:rPr>
                <w:sz w:val="14"/>
                <w:szCs w:val="14"/>
                <w:color w:val="auto"/>
              </w:rPr>
            </w:pPr>
          </w:p>
        </w:tc>
        <w:tc>
          <w:tcPr>
            <w:tcW w:w="2000" w:type="dxa"/>
            <w:vAlign w:val="bottom"/>
            <w:tcBorders>
              <w:bottom w:val="single" w:sz="8" w:color="B6B6B6"/>
              <w:right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2820" w:type="dxa"/>
            <w:vAlign w:val="bottom"/>
            <w:tcBorders>
              <w:bottom w:val="single" w:sz="8" w:color="B6B6B6"/>
              <w:right w:val="single" w:sz="8" w:color="B6B6B6"/>
            </w:tcBorders>
          </w:tcPr>
          <w:p>
            <w:pPr>
              <w:spacing w:after="0"/>
              <w:rPr>
                <w:sz w:val="14"/>
                <w:szCs w:val="14"/>
                <w:color w:val="auto"/>
              </w:rPr>
            </w:pPr>
          </w:p>
        </w:tc>
        <w:tc>
          <w:tcPr>
            <w:tcW w:w="1640" w:type="dxa"/>
            <w:vAlign w:val="bottom"/>
            <w:tcBorders>
              <w:bottom w:val="single" w:sz="8" w:color="B6B6B6"/>
            </w:tcBorders>
          </w:tcPr>
          <w:p>
            <w:pPr>
              <w:spacing w:after="0"/>
              <w:rPr>
                <w:sz w:val="14"/>
                <w:szCs w:val="14"/>
                <w:color w:val="auto"/>
              </w:rPr>
            </w:pPr>
          </w:p>
        </w:tc>
        <w:tc>
          <w:tcPr>
            <w:tcW w:w="500" w:type="dxa"/>
            <w:vAlign w:val="bottom"/>
            <w:tcBorders>
              <w:bottom w:val="single" w:sz="8" w:color="B6B6B6"/>
              <w:right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2160" w:type="dxa"/>
            <w:vAlign w:val="bottom"/>
            <w:tcBorders>
              <w:bottom w:val="single" w:sz="8" w:color="B6B6B6"/>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2023</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continue"/>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LGS, DS or TSC for patients 2 years of age and</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older.</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860" w:type="dxa"/>
            <w:vAlign w:val="bottom"/>
            <w:tcBorders>
              <w:bottom w:val="single" w:sz="8" w:color="B6B6B6"/>
            </w:tcBorders>
            <w:shd w:val="clear" w:color="auto" w:fill="CCEEFF"/>
          </w:tcPr>
          <w:p>
            <w:pPr>
              <w:spacing w:after="0"/>
              <w:rPr>
                <w:sz w:val="19"/>
                <w:szCs w:val="19"/>
                <w:color w:val="auto"/>
              </w:rPr>
            </w:pPr>
          </w:p>
        </w:tc>
        <w:tc>
          <w:tcPr>
            <w:tcW w:w="282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50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2021</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Rylaze® (asparaginase erwinia</w:t>
            </w: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acute lymphoblastic</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3680" w:type="dxa"/>
            <w:vAlign w:val="bottom"/>
            <w:tcBorders>
              <w:right w:val="single" w:sz="8" w:color="B6B6B6"/>
            </w:tcBorders>
            <w:gridSpan w:val="2"/>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leukemia, or ALL, and lymphoblastic lymphoma,</w:t>
            </w:r>
          </w:p>
        </w:tc>
        <w:tc>
          <w:tcPr>
            <w:tcW w:w="1640" w:type="dxa"/>
            <w:vAlign w:val="bottom"/>
          </w:tcPr>
          <w:p>
            <w:pPr>
              <w:spacing w:after="0"/>
              <w:rPr>
                <w:sz w:val="7"/>
                <w:szCs w:val="7"/>
                <w:color w:val="auto"/>
              </w:rPr>
            </w:pPr>
          </w:p>
        </w:tc>
        <w:tc>
          <w:tcPr>
            <w:tcW w:w="50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tcPr>
          <w:p>
            <w:pPr>
              <w:ind w:left="40"/>
              <w:spacing w:after="0" w:line="184" w:lineRule="exact"/>
              <w:rPr>
                <w:sz w:val="20"/>
                <w:szCs w:val="20"/>
                <w:color w:val="auto"/>
              </w:rPr>
            </w:pPr>
            <w:r>
              <w:rPr>
                <w:rFonts w:ascii="Times New Roman" w:cs="Times New Roman" w:eastAsia="Times New Roman" w:hAnsi="Times New Roman"/>
                <w:sz w:val="18"/>
                <w:szCs w:val="18"/>
                <w:color w:val="auto"/>
              </w:rPr>
              <w:t>chrysanthemi (recombinant)-</w:t>
            </w:r>
          </w:p>
        </w:tc>
        <w:tc>
          <w:tcPr>
            <w:tcW w:w="368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50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3680" w:type="dxa"/>
            <w:vAlign w:val="bottom"/>
            <w:tcBorders>
              <w:right w:val="single" w:sz="8" w:color="B6B6B6"/>
            </w:tcBorders>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or LBL, in adult and pediatric patients 1 month or</w:t>
            </w:r>
          </w:p>
        </w:tc>
        <w:tc>
          <w:tcPr>
            <w:tcW w:w="1640" w:type="dxa"/>
            <w:vAlign w:val="bottom"/>
          </w:tcPr>
          <w:p>
            <w:pPr>
              <w:spacing w:after="0"/>
              <w:rPr>
                <w:sz w:val="7"/>
                <w:szCs w:val="7"/>
                <w:color w:val="auto"/>
              </w:rPr>
            </w:pPr>
          </w:p>
        </w:tc>
        <w:tc>
          <w:tcPr>
            <w:tcW w:w="50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rywn)</w:t>
            </w:r>
          </w:p>
        </w:tc>
        <w:tc>
          <w:tcPr>
            <w:tcW w:w="3680" w:type="dxa"/>
            <w:vAlign w:val="bottom"/>
            <w:tcBorders>
              <w:right w:val="single" w:sz="8" w:color="B6B6B6"/>
            </w:tcBorders>
            <w:gridSpan w:val="2"/>
            <w:vMerge w:val="continue"/>
          </w:tcPr>
          <w:p>
            <w:pPr>
              <w:spacing w:after="0"/>
              <w:rPr>
                <w:sz w:val="7"/>
                <w:szCs w:val="7"/>
                <w:color w:val="auto"/>
              </w:rPr>
            </w:pPr>
          </w:p>
        </w:tc>
        <w:tc>
          <w:tcPr>
            <w:tcW w:w="1640" w:type="dxa"/>
            <w:vAlign w:val="bottom"/>
          </w:tcPr>
          <w:p>
            <w:pPr>
              <w:spacing w:after="0"/>
              <w:rPr>
                <w:sz w:val="7"/>
                <w:szCs w:val="7"/>
                <w:color w:val="auto"/>
              </w:rPr>
            </w:pPr>
          </w:p>
        </w:tc>
        <w:tc>
          <w:tcPr>
            <w:tcW w:w="50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3680" w:type="dxa"/>
            <w:vAlign w:val="bottom"/>
            <w:tcBorders>
              <w:right w:val="single" w:sz="8" w:color="B6B6B6"/>
            </w:tcBorders>
            <w:gridSpan w:val="2"/>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older who have developed hypersensitivity to E.</w:t>
            </w:r>
          </w:p>
        </w:tc>
        <w:tc>
          <w:tcPr>
            <w:tcW w:w="1640" w:type="dxa"/>
            <w:vAlign w:val="bottom"/>
          </w:tcPr>
          <w:p>
            <w:pPr>
              <w:spacing w:after="0"/>
              <w:rPr>
                <w:sz w:val="12"/>
                <w:szCs w:val="12"/>
                <w:color w:val="auto"/>
              </w:rPr>
            </w:pPr>
          </w:p>
        </w:tc>
        <w:tc>
          <w:tcPr>
            <w:tcW w:w="50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tcBorders>
              <w:right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3680" w:type="dxa"/>
            <w:vAlign w:val="bottom"/>
            <w:tcBorders>
              <w:right w:val="single" w:sz="8" w:color="B6B6B6"/>
            </w:tcBorders>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500" w:type="dxa"/>
            <w:vAlign w:val="bottom"/>
            <w:tcBorders>
              <w:righ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2160" w:type="dxa"/>
            <w:vAlign w:val="bottom"/>
            <w:tcBorders>
              <w:right w:val="single" w:sz="8" w:color="B6B6B6"/>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coli-derived asparaginase.</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200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2022</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Rylaze® (crisantaspase</w:t>
            </w: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3680" w:type="dxa"/>
            <w:vAlign w:val="bottom"/>
            <w:tcBorders>
              <w:right w:val="single" w:sz="8" w:color="B6B6B6"/>
            </w:tcBorders>
            <w:gridSpan w:val="2"/>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adults and pediatric patients 1 year or older who</w:t>
            </w:r>
          </w:p>
        </w:tc>
        <w:tc>
          <w:tcPr>
            <w:tcW w:w="1640" w:type="dxa"/>
            <w:vAlign w:val="bottom"/>
          </w:tcPr>
          <w:p>
            <w:pPr>
              <w:spacing w:after="0"/>
              <w:rPr>
                <w:sz w:val="7"/>
                <w:szCs w:val="7"/>
                <w:color w:val="auto"/>
              </w:rPr>
            </w:pPr>
          </w:p>
        </w:tc>
        <w:tc>
          <w:tcPr>
            <w:tcW w:w="50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recombinant)</w:t>
            </w:r>
          </w:p>
        </w:tc>
        <w:tc>
          <w:tcPr>
            <w:tcW w:w="368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50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3680" w:type="dxa"/>
            <w:vAlign w:val="bottom"/>
            <w:tcBorders>
              <w:right w:val="single" w:sz="8" w:color="B6B6B6"/>
            </w:tcBorders>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have developed hypersensitivity to</w:t>
            </w:r>
          </w:p>
        </w:tc>
        <w:tc>
          <w:tcPr>
            <w:tcW w:w="1640" w:type="dxa"/>
            <w:vAlign w:val="bottom"/>
          </w:tcPr>
          <w:p>
            <w:pPr>
              <w:spacing w:after="0"/>
              <w:rPr>
                <w:sz w:val="12"/>
                <w:szCs w:val="12"/>
                <w:color w:val="auto"/>
              </w:rPr>
            </w:pPr>
          </w:p>
        </w:tc>
        <w:tc>
          <w:tcPr>
            <w:tcW w:w="50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tcBorders>
              <w:right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3680" w:type="dxa"/>
            <w:vAlign w:val="bottom"/>
            <w:tcBorders>
              <w:right w:val="single" w:sz="8" w:color="B6B6B6"/>
            </w:tcBorders>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500" w:type="dxa"/>
            <w:vAlign w:val="bottom"/>
            <w:tcBorders>
              <w:righ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2160" w:type="dxa"/>
            <w:vAlign w:val="bottom"/>
            <w:tcBorders>
              <w:right w:val="single" w:sz="8" w:color="B6B6B6"/>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40" w:type="dxa"/>
            <w:vAlign w:val="bottom"/>
            <w:tcBorders>
              <w:left w:val="single" w:sz="8" w:color="B6B6B6"/>
              <w:bottom w:val="single" w:sz="8" w:color="929292"/>
            </w:tcBorders>
          </w:tcPr>
          <w:p>
            <w:pPr>
              <w:spacing w:after="0"/>
              <w:rPr>
                <w:sz w:val="20"/>
                <w:szCs w:val="20"/>
                <w:color w:val="auto"/>
              </w:rPr>
            </w:pPr>
          </w:p>
        </w:tc>
        <w:tc>
          <w:tcPr>
            <w:tcW w:w="2000" w:type="dxa"/>
            <w:vAlign w:val="bottom"/>
            <w:tcBorders>
              <w:bottom w:val="single" w:sz="8" w:color="929292"/>
              <w:right w:val="single" w:sz="8" w:color="B6B6B6"/>
            </w:tcBorders>
          </w:tcPr>
          <w:p>
            <w:pPr>
              <w:spacing w:after="0"/>
              <w:rPr>
                <w:sz w:val="20"/>
                <w:szCs w:val="20"/>
                <w:color w:val="auto"/>
              </w:rPr>
            </w:pPr>
          </w:p>
        </w:tc>
        <w:tc>
          <w:tcPr>
            <w:tcW w:w="3680" w:type="dxa"/>
            <w:vAlign w:val="bottom"/>
            <w:tcBorders>
              <w:bottom w:val="single" w:sz="8" w:color="929292"/>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1640" w:type="dxa"/>
            <w:vAlign w:val="bottom"/>
            <w:tcBorders>
              <w:bottom w:val="single" w:sz="8" w:color="929292"/>
            </w:tcBorders>
          </w:tcPr>
          <w:p>
            <w:pPr>
              <w:spacing w:after="0"/>
              <w:rPr>
                <w:sz w:val="20"/>
                <w:szCs w:val="20"/>
                <w:color w:val="auto"/>
              </w:rPr>
            </w:pPr>
          </w:p>
        </w:tc>
        <w:tc>
          <w:tcPr>
            <w:tcW w:w="500" w:type="dxa"/>
            <w:vAlign w:val="bottom"/>
            <w:tcBorders>
              <w:bottom w:val="single" w:sz="8" w:color="929292"/>
              <w:right w:val="single" w:sz="8" w:color="B6B6B6"/>
            </w:tcBorders>
          </w:tcPr>
          <w:p>
            <w:pPr>
              <w:spacing w:after="0"/>
              <w:rPr>
                <w:sz w:val="20"/>
                <w:szCs w:val="20"/>
                <w:color w:val="auto"/>
              </w:rPr>
            </w:pPr>
          </w:p>
        </w:tc>
        <w:tc>
          <w:tcPr>
            <w:tcW w:w="640" w:type="dxa"/>
            <w:vAlign w:val="bottom"/>
            <w:tcBorders>
              <w:bottom w:val="single" w:sz="8" w:color="929292"/>
            </w:tcBorders>
          </w:tcPr>
          <w:p>
            <w:pPr>
              <w:spacing w:after="0"/>
              <w:rPr>
                <w:sz w:val="20"/>
                <w:szCs w:val="20"/>
                <w:color w:val="auto"/>
              </w:rPr>
            </w:pPr>
          </w:p>
        </w:tc>
        <w:tc>
          <w:tcPr>
            <w:tcW w:w="2160" w:type="dxa"/>
            <w:vAlign w:val="bottom"/>
            <w:tcBorders>
              <w:bottom w:val="single" w:sz="8" w:color="929292"/>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200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2023</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EU, Great Britain</w:t>
            </w: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Enrylaze® (recombinant</w:t>
            </w: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B6B6B6"/>
              <w:right w:val="single" w:sz="8" w:color="B6B6B6"/>
            </w:tcBorders>
            <w:gridSpan w:val="2"/>
            <w:vMerge w:val="continue"/>
          </w:tcPr>
          <w:p>
            <w:pPr>
              <w:spacing w:after="0"/>
              <w:rPr>
                <w:sz w:val="7"/>
                <w:szCs w:val="7"/>
                <w:color w:val="auto"/>
              </w:rPr>
            </w:pPr>
          </w:p>
        </w:tc>
        <w:tc>
          <w:tcPr>
            <w:tcW w:w="3680" w:type="dxa"/>
            <w:vAlign w:val="bottom"/>
            <w:tcBorders>
              <w:right w:val="single" w:sz="8" w:color="B6B6B6"/>
            </w:tcBorders>
            <w:gridSpan w:val="2"/>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 and pediatric patients (1 month and older)</w:t>
            </w:r>
          </w:p>
        </w:tc>
        <w:tc>
          <w:tcPr>
            <w:tcW w:w="1640" w:type="dxa"/>
            <w:vAlign w:val="bottom"/>
          </w:tcPr>
          <w:p>
            <w:pPr>
              <w:spacing w:after="0"/>
              <w:rPr>
                <w:sz w:val="7"/>
                <w:szCs w:val="7"/>
                <w:color w:val="auto"/>
              </w:rPr>
            </w:pPr>
          </w:p>
        </w:tc>
        <w:tc>
          <w:tcPr>
            <w:tcW w:w="500" w:type="dxa"/>
            <w:vAlign w:val="bottom"/>
            <w:tcBorders>
              <w:right w:val="single" w:sz="8" w:color="B6B6B6"/>
            </w:tcBorders>
          </w:tcPr>
          <w:p>
            <w:pPr>
              <w:spacing w:after="0"/>
              <w:rPr>
                <w:sz w:val="7"/>
                <w:szCs w:val="7"/>
                <w:color w:val="auto"/>
              </w:rPr>
            </w:pPr>
          </w:p>
        </w:tc>
        <w:tc>
          <w:tcPr>
            <w:tcW w:w="640" w:type="dxa"/>
            <w:vAlign w:val="bottom"/>
          </w:tcPr>
          <w:p>
            <w:pPr>
              <w:spacing w:after="0"/>
              <w:rPr>
                <w:sz w:val="7"/>
                <w:szCs w:val="7"/>
                <w:color w:val="auto"/>
              </w:rPr>
            </w:pPr>
          </w:p>
        </w:tc>
        <w:tc>
          <w:tcPr>
            <w:tcW w:w="2160" w:type="dxa"/>
            <w:vAlign w:val="bottom"/>
            <w:tcBorders>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crisantaspase)</w:t>
            </w:r>
          </w:p>
        </w:tc>
        <w:tc>
          <w:tcPr>
            <w:tcW w:w="3680" w:type="dxa"/>
            <w:vAlign w:val="bottom"/>
            <w:tcBorders>
              <w:right w:val="single" w:sz="8" w:color="B6B6B6"/>
            </w:tcBorders>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500" w:type="dxa"/>
            <w:vAlign w:val="bottom"/>
            <w:tcBorders>
              <w:right w:val="single" w:sz="8" w:color="B6B6B6"/>
            </w:tcBorders>
          </w:tcPr>
          <w:p>
            <w:pPr>
              <w:spacing w:after="0"/>
              <w:rPr>
                <w:sz w:val="8"/>
                <w:szCs w:val="8"/>
                <w:color w:val="auto"/>
              </w:rPr>
            </w:pPr>
          </w:p>
        </w:tc>
        <w:tc>
          <w:tcPr>
            <w:tcW w:w="640" w:type="dxa"/>
            <w:vAlign w:val="bottom"/>
          </w:tcPr>
          <w:p>
            <w:pPr>
              <w:spacing w:after="0"/>
              <w:rPr>
                <w:sz w:val="8"/>
                <w:szCs w:val="8"/>
                <w:color w:val="auto"/>
              </w:rPr>
            </w:pPr>
          </w:p>
        </w:tc>
        <w:tc>
          <w:tcPr>
            <w:tcW w:w="2160" w:type="dxa"/>
            <w:vAlign w:val="bottom"/>
            <w:tcBorders>
              <w:right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Borders>
              <w:left w:val="single" w:sz="8" w:color="B6B6B6"/>
              <w:right w:val="single" w:sz="8" w:color="B6B6B6"/>
            </w:tcBorders>
            <w:gridSpan w:val="2"/>
            <w:vMerge w:val="continue"/>
          </w:tcPr>
          <w:p>
            <w:pPr>
              <w:spacing w:after="0"/>
              <w:rPr>
                <w:sz w:val="12"/>
                <w:szCs w:val="12"/>
                <w:color w:val="auto"/>
              </w:rPr>
            </w:pPr>
          </w:p>
        </w:tc>
        <w:tc>
          <w:tcPr>
            <w:tcW w:w="3680" w:type="dxa"/>
            <w:vAlign w:val="bottom"/>
            <w:tcBorders>
              <w:right w:val="single" w:sz="8" w:color="B6B6B6"/>
            </w:tcBorders>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who have developed hypersensitivity or silent</w:t>
            </w:r>
          </w:p>
        </w:tc>
        <w:tc>
          <w:tcPr>
            <w:tcW w:w="1640" w:type="dxa"/>
            <w:vAlign w:val="bottom"/>
          </w:tcPr>
          <w:p>
            <w:pPr>
              <w:spacing w:after="0"/>
              <w:rPr>
                <w:sz w:val="12"/>
                <w:szCs w:val="12"/>
                <w:color w:val="auto"/>
              </w:rPr>
            </w:pPr>
          </w:p>
        </w:tc>
        <w:tc>
          <w:tcPr>
            <w:tcW w:w="500" w:type="dxa"/>
            <w:vAlign w:val="bottom"/>
            <w:tcBorders>
              <w:right w:val="single" w:sz="8" w:color="B6B6B6"/>
            </w:tcBorders>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tcBorders>
              <w:right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tcPr>
          <w:p>
            <w:pPr>
              <w:spacing w:after="0"/>
              <w:rPr>
                <w:sz w:val="3"/>
                <w:szCs w:val="3"/>
                <w:color w:val="auto"/>
              </w:rPr>
            </w:pPr>
          </w:p>
        </w:tc>
        <w:tc>
          <w:tcPr>
            <w:tcW w:w="2000" w:type="dxa"/>
            <w:vAlign w:val="bottom"/>
            <w:tcBorders>
              <w:right w:val="single" w:sz="8" w:color="B6B6B6"/>
            </w:tcBorders>
          </w:tcPr>
          <w:p>
            <w:pPr>
              <w:spacing w:after="0"/>
              <w:rPr>
                <w:sz w:val="3"/>
                <w:szCs w:val="3"/>
                <w:color w:val="auto"/>
              </w:rPr>
            </w:pPr>
          </w:p>
        </w:tc>
        <w:tc>
          <w:tcPr>
            <w:tcW w:w="3680" w:type="dxa"/>
            <w:vAlign w:val="bottom"/>
            <w:tcBorders>
              <w:right w:val="single" w:sz="8" w:color="B6B6B6"/>
            </w:tcBorders>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500" w:type="dxa"/>
            <w:vAlign w:val="bottom"/>
            <w:tcBorders>
              <w:right w:val="single" w:sz="8" w:color="B6B6B6"/>
            </w:tcBorders>
          </w:tcPr>
          <w:p>
            <w:pPr>
              <w:spacing w:after="0"/>
              <w:rPr>
                <w:sz w:val="3"/>
                <w:szCs w:val="3"/>
                <w:color w:val="auto"/>
              </w:rPr>
            </w:pPr>
          </w:p>
        </w:tc>
        <w:tc>
          <w:tcPr>
            <w:tcW w:w="640" w:type="dxa"/>
            <w:vAlign w:val="bottom"/>
          </w:tcPr>
          <w:p>
            <w:pPr>
              <w:spacing w:after="0"/>
              <w:rPr>
                <w:sz w:val="3"/>
                <w:szCs w:val="3"/>
                <w:color w:val="auto"/>
              </w:rPr>
            </w:pPr>
          </w:p>
        </w:tc>
        <w:tc>
          <w:tcPr>
            <w:tcW w:w="2160" w:type="dxa"/>
            <w:vAlign w:val="bottom"/>
            <w:tcBorders>
              <w:right w:val="single" w:sz="8" w:color="B6B6B6"/>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200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inactivation to E. coli-derived asparaginase.</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adult patients with metastatic small</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June 2020</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w w:val="99"/>
              </w:rPr>
              <w:t>U.S. (licensed from Pharma Mar S.A.,</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2000" w:type="dxa"/>
            <w:vAlign w:val="bottom"/>
            <w:tcBorders>
              <w:right w:val="single" w:sz="8" w:color="B6B6B6"/>
            </w:tcBorders>
            <w:shd w:val="clear" w:color="auto" w:fill="CCEEFF"/>
          </w:tcPr>
          <w:p>
            <w:pPr>
              <w:spacing w:after="0"/>
              <w:rPr>
                <w:sz w:val="16"/>
                <w:szCs w:val="16"/>
                <w:color w:val="auto"/>
              </w:rPr>
            </w:pP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cell lung cancer, or SCLC, with disease</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2800" w:type="dxa"/>
            <w:vAlign w:val="bottom"/>
            <w:tcBorders>
              <w:right w:val="single" w:sz="8" w:color="B6B6B6"/>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or PharmaMar)</w:t>
            </w:r>
            <w:r>
              <w:rPr>
                <w:rFonts w:ascii="Times New Roman" w:cs="Times New Roman" w:eastAsia="Times New Roman" w:hAnsi="Times New Roman"/>
                <w:sz w:val="21"/>
                <w:szCs w:val="21"/>
                <w:color w:val="auto"/>
                <w:vertAlign w:val="superscript"/>
              </w:rPr>
              <w:t>3</w:t>
            </w: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shd w:val="clear" w:color="auto" w:fill="CCEEFF"/>
          </w:tcPr>
          <w:p>
            <w:pPr>
              <w:spacing w:after="0"/>
              <w:rPr>
                <w:sz w:val="15"/>
                <w:szCs w:val="15"/>
                <w:color w:val="auto"/>
              </w:rPr>
            </w:pPr>
          </w:p>
        </w:tc>
        <w:tc>
          <w:tcPr>
            <w:tcW w:w="200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progression on or after platinum-based</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B6B6B6"/>
              <w:bottom w:val="single" w:sz="8" w:color="CCEEFF"/>
              <w:right w:val="single" w:sz="8" w:color="B6B6B6"/>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Zepzelca® (lurbinectedin)</w:t>
            </w: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chemotherapy.</w:t>
            </w:r>
          </w:p>
        </w:tc>
        <w:tc>
          <w:tcPr>
            <w:tcW w:w="1640" w:type="dxa"/>
            <w:vAlign w:val="bottom"/>
            <w:tcBorders>
              <w:bottom w:val="single" w:sz="8" w:color="B6B6B6"/>
            </w:tcBorders>
            <w:shd w:val="clear" w:color="auto" w:fill="CCEEFF"/>
          </w:tcPr>
          <w:p>
            <w:pPr>
              <w:spacing w:after="0"/>
              <w:rPr>
                <w:sz w:val="21"/>
                <w:szCs w:val="21"/>
                <w:color w:val="auto"/>
              </w:rPr>
            </w:pPr>
          </w:p>
        </w:tc>
        <w:tc>
          <w:tcPr>
            <w:tcW w:w="500" w:type="dxa"/>
            <w:vAlign w:val="bottom"/>
            <w:tcBorders>
              <w:bottom w:val="single" w:sz="8" w:color="B6B6B6"/>
              <w:right w:val="single" w:sz="8" w:color="B6B6B6"/>
            </w:tcBorders>
            <w:shd w:val="clear" w:color="auto" w:fill="CCEEFF"/>
          </w:tcPr>
          <w:p>
            <w:pPr>
              <w:spacing w:after="0"/>
              <w:rPr>
                <w:sz w:val="21"/>
                <w:szCs w:val="21"/>
                <w:color w:val="auto"/>
              </w:rPr>
            </w:pPr>
          </w:p>
        </w:tc>
        <w:tc>
          <w:tcPr>
            <w:tcW w:w="640" w:type="dxa"/>
            <w:vAlign w:val="bottom"/>
            <w:tcBorders>
              <w:bottom w:val="single" w:sz="8" w:color="B6B6B6"/>
            </w:tcBorders>
            <w:shd w:val="clear" w:color="auto" w:fill="CCEEFF"/>
          </w:tcPr>
          <w:p>
            <w:pPr>
              <w:spacing w:after="0"/>
              <w:rPr>
                <w:sz w:val="21"/>
                <w:szCs w:val="21"/>
                <w:color w:val="auto"/>
              </w:rPr>
            </w:pPr>
          </w:p>
        </w:tc>
        <w:tc>
          <w:tcPr>
            <w:tcW w:w="2160" w:type="dxa"/>
            <w:vAlign w:val="bottom"/>
            <w:tcBorders>
              <w:bottom w:val="single" w:sz="8" w:color="B6B6B6"/>
              <w:right w:val="single" w:sz="8" w:color="B6B6B6"/>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200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Stage III or metastatic</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2021</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Canada (licensed from PharmaMar)</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2000" w:type="dxa"/>
            <w:vAlign w:val="bottom"/>
            <w:tcBorders>
              <w:right w:val="single" w:sz="8" w:color="B6B6B6"/>
            </w:tcBorders>
            <w:shd w:val="clear" w:color="auto" w:fill="CCEEFF"/>
          </w:tcPr>
          <w:p>
            <w:pPr>
              <w:spacing w:after="0"/>
              <w:rPr>
                <w:sz w:val="16"/>
                <w:szCs w:val="16"/>
                <w:color w:val="auto"/>
              </w:rPr>
            </w:pP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SCLC who have progressed on or after platinum-</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200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containing therapy.</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3" w:name="page34"/>
    <w:bookmarkEnd w:id="33"/>
    <w:tbl>
      <w:tblPr>
        <w:tblLayout w:type="fixed"/>
        <w:tblInd w:w="1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898"/>
        </w:trPr>
        <w:tc>
          <w:tcPr>
            <w:tcW w:w="128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36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r>
      <w:tr>
        <w:trPr>
          <w:trHeight w:val="21"/>
        </w:trPr>
        <w:tc>
          <w:tcPr>
            <w:tcW w:w="640" w:type="dxa"/>
            <w:vAlign w:val="bottom"/>
            <w:tcBorders>
              <w:top w:val="single" w:sz="8" w:color="auto"/>
              <w:bottom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136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2820" w:type="dxa"/>
            <w:vAlign w:val="bottom"/>
            <w:tcBorders>
              <w:bottom w:val="single" w:sz="8" w:color="B6B6B6"/>
            </w:tcBorders>
          </w:tcPr>
          <w:p>
            <w:pPr>
              <w:spacing w:after="0" w:line="20" w:lineRule="exact"/>
              <w:rPr>
                <w:sz w:val="1"/>
                <w:szCs w:val="1"/>
                <w:color w:val="auto"/>
              </w:rPr>
            </w:pPr>
          </w:p>
        </w:tc>
        <w:tc>
          <w:tcPr>
            <w:tcW w:w="1640" w:type="dxa"/>
            <w:vAlign w:val="bottom"/>
            <w:tcBorders>
              <w:top w:val="single" w:sz="8" w:color="auto"/>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2160" w:type="dxa"/>
            <w:vAlign w:val="bottom"/>
            <w:tcBorders>
              <w:bottom w:val="single" w:sz="8" w:color="B6B6B6"/>
            </w:tcBorders>
          </w:tcPr>
          <w:p>
            <w:pPr>
              <w:spacing w:after="0" w:line="20" w:lineRule="exact"/>
              <w:rPr>
                <w:sz w:val="1"/>
                <w:szCs w:val="1"/>
                <w:color w:val="auto"/>
              </w:rPr>
            </w:pPr>
          </w:p>
        </w:tc>
      </w:tr>
      <w:tr>
        <w:trPr>
          <w:trHeight w:val="169"/>
        </w:trPr>
        <w:tc>
          <w:tcPr>
            <w:tcW w:w="2640" w:type="dxa"/>
            <w:vAlign w:val="bottom"/>
            <w:tcBorders>
              <w:left w:val="single" w:sz="8" w:color="B6B6B6"/>
              <w:right w:val="single" w:sz="8" w:color="B6B6B6"/>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Defitelio® (defibrotide)</w:t>
            </w: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severe hepatic veno-occlusive</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2013</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5"/>
                <w:szCs w:val="15"/>
                <w:color w:val="auto"/>
              </w:rPr>
              <w:t>EU, Great Britain, EEA</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w:t>
            </w:r>
          </w:p>
        </w:tc>
      </w:tr>
      <w:tr>
        <w:trPr>
          <w:trHeight w:val="184"/>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disease, or VOD, also known as sinusoidal</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2800" w:type="dxa"/>
            <w:vAlign w:val="bottom"/>
            <w:tcBorders>
              <w:right w:val="single" w:sz="8" w:color="B6B6B6"/>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Switzerland, Israel, Australia, South</w:t>
            </w:r>
          </w:p>
        </w:tc>
      </w:tr>
      <w:tr>
        <w:trPr>
          <w:trHeight w:val="180"/>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obstruction syndrome, or SOS, following</w:t>
            </w:r>
          </w:p>
        </w:tc>
        <w:tc>
          <w:tcPr>
            <w:tcW w:w="1640" w:type="dxa"/>
            <w:vAlign w:val="bottom"/>
          </w:tcPr>
          <w:p>
            <w:pPr>
              <w:spacing w:after="0"/>
              <w:rPr>
                <w:sz w:val="15"/>
                <w:szCs w:val="15"/>
                <w:color w:val="auto"/>
              </w:rPr>
            </w:pPr>
          </w:p>
        </w:tc>
        <w:tc>
          <w:tcPr>
            <w:tcW w:w="500" w:type="dxa"/>
            <w:vAlign w:val="bottom"/>
            <w:tcBorders>
              <w:right w:val="single" w:sz="8" w:color="B6B6B6"/>
            </w:tcBorders>
          </w:tcPr>
          <w:p>
            <w:pPr>
              <w:spacing w:after="0"/>
              <w:rPr>
                <w:sz w:val="15"/>
                <w:szCs w:val="15"/>
                <w:color w:val="auto"/>
              </w:rPr>
            </w:pPr>
          </w:p>
        </w:tc>
        <w:tc>
          <w:tcPr>
            <w:tcW w:w="2800" w:type="dxa"/>
            <w:vAlign w:val="bottom"/>
            <w:tcBorders>
              <w:right w:val="single" w:sz="8" w:color="B6B6B6"/>
            </w:tcBorders>
            <w:gridSpan w:val="2"/>
          </w:tcPr>
          <w:p>
            <w:pPr>
              <w:spacing w:after="0" w:line="181" w:lineRule="exact"/>
              <w:rPr>
                <w:sz w:val="20"/>
                <w:szCs w:val="20"/>
                <w:color w:val="auto"/>
              </w:rPr>
            </w:pPr>
            <w:r>
              <w:rPr>
                <w:rFonts w:ascii="Times New Roman" w:cs="Times New Roman" w:eastAsia="Times New Roman" w:hAnsi="Times New Roman"/>
                <w:sz w:val="18"/>
                <w:szCs w:val="18"/>
                <w:color w:val="auto"/>
              </w:rPr>
              <w:t>Korea, Saudi Arabia</w:t>
            </w:r>
          </w:p>
        </w:tc>
      </w:tr>
      <w:tr>
        <w:trPr>
          <w:trHeight w:val="176"/>
        </w:trPr>
        <w:tc>
          <w:tcPr>
            <w:tcW w:w="640" w:type="dxa"/>
            <w:vAlign w:val="bottom"/>
            <w:tcBorders>
              <w:lef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hematopoietic stem cell transplantation, or HSCT,</w:t>
            </w:r>
          </w:p>
        </w:tc>
        <w:tc>
          <w:tcPr>
            <w:tcW w:w="1640" w:type="dxa"/>
            <w:vAlign w:val="bottom"/>
          </w:tcPr>
          <w:p>
            <w:pPr>
              <w:spacing w:after="0"/>
              <w:rPr>
                <w:sz w:val="15"/>
                <w:szCs w:val="15"/>
                <w:color w:val="auto"/>
              </w:rPr>
            </w:pPr>
          </w:p>
        </w:tc>
        <w:tc>
          <w:tcPr>
            <w:tcW w:w="50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60" w:type="dxa"/>
            <w:vAlign w:val="bottom"/>
            <w:tcBorders>
              <w:right w:val="single" w:sz="8" w:color="B6B6B6"/>
            </w:tcBorders>
          </w:tcPr>
          <w:p>
            <w:pPr>
              <w:spacing w:after="0"/>
              <w:rPr>
                <w:sz w:val="15"/>
                <w:szCs w:val="15"/>
                <w:color w:val="auto"/>
              </w:rPr>
            </w:pP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therapy.</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r>
      <w:tr>
        <w:trPr>
          <w:trHeight w:val="173"/>
        </w:trPr>
        <w:tc>
          <w:tcPr>
            <w:tcW w:w="2640" w:type="dxa"/>
            <w:vAlign w:val="bottom"/>
            <w:tcBorders>
              <w:left w:val="single" w:sz="8" w:color="B6B6B6"/>
              <w:right w:val="single" w:sz="8" w:color="B6B6B6"/>
            </w:tcBorders>
            <w:gridSpan w:val="3"/>
          </w:tcPr>
          <w:p>
            <w:pPr>
              <w:ind w:left="40"/>
              <w:spacing w:after="0" w:line="173" w:lineRule="exact"/>
              <w:rPr>
                <w:sz w:val="20"/>
                <w:szCs w:val="20"/>
                <w:color w:val="auto"/>
              </w:rPr>
            </w:pPr>
            <w:r>
              <w:rPr>
                <w:rFonts w:ascii="Times New Roman" w:cs="Times New Roman" w:eastAsia="Times New Roman" w:hAnsi="Times New Roman"/>
                <w:sz w:val="18"/>
                <w:szCs w:val="18"/>
                <w:color w:val="auto"/>
              </w:rPr>
              <w:t>Defitelio® (defibrotide sodium)</w:t>
            </w:r>
          </w:p>
        </w:tc>
        <w:tc>
          <w:tcPr>
            <w:tcW w:w="368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adult and pediatric patients with</w:t>
            </w:r>
          </w:p>
        </w:tc>
        <w:tc>
          <w:tcPr>
            <w:tcW w:w="21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March 2016</w:t>
            </w:r>
          </w:p>
        </w:tc>
        <w:tc>
          <w:tcPr>
            <w:tcW w:w="280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8"/>
                <w:szCs w:val="18"/>
                <w:color w:val="auto"/>
              </w:rPr>
              <w:t>U.S.</w:t>
            </w:r>
          </w:p>
        </w:tc>
      </w:tr>
      <w:tr>
        <w:trPr>
          <w:trHeight w:val="184"/>
        </w:trPr>
        <w:tc>
          <w:tcPr>
            <w:tcW w:w="640" w:type="dxa"/>
            <w:vAlign w:val="bottom"/>
            <w:tcBorders>
              <w:lef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tcBorders>
              <w:right w:val="single" w:sz="8" w:color="B6B6B6"/>
            </w:tcBorders>
          </w:tcPr>
          <w:p>
            <w:pPr>
              <w:spacing w:after="0"/>
              <w:rPr>
                <w:sz w:val="16"/>
                <w:szCs w:val="16"/>
                <w:color w:val="auto"/>
              </w:rPr>
            </w:pPr>
          </w:p>
        </w:tc>
        <w:tc>
          <w:tcPr>
            <w:tcW w:w="368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hepatic VOD, also known as SOS, with renal or</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tcBorders>
              <w:right w:val="single" w:sz="8" w:color="B6B6B6"/>
            </w:tcBorders>
          </w:tcPr>
          <w:p>
            <w:pPr>
              <w:spacing w:after="0"/>
              <w:rPr>
                <w:sz w:val="16"/>
                <w:szCs w:val="16"/>
                <w:color w:val="auto"/>
              </w:rPr>
            </w:pPr>
          </w:p>
        </w:tc>
      </w:tr>
      <w:tr>
        <w:trPr>
          <w:trHeight w:val="234"/>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pulmonary dysfunction following HSCT.</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r>
      <w:tr>
        <w:trPr>
          <w:trHeight w:val="169"/>
        </w:trPr>
        <w:tc>
          <w:tcPr>
            <w:tcW w:w="2640" w:type="dxa"/>
            <w:vAlign w:val="bottom"/>
            <w:tcBorders>
              <w:left w:val="single" w:sz="8" w:color="B6B6B6"/>
              <w:right w:val="single" w:sz="8" w:color="B6B6B6"/>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Defitelio® (defibrotide sodium)</w:t>
            </w:r>
          </w:p>
        </w:tc>
        <w:tc>
          <w:tcPr>
            <w:tcW w:w="368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severe hepatic VOD, also known as</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2017</w:t>
            </w:r>
          </w:p>
        </w:tc>
        <w:tc>
          <w:tcPr>
            <w:tcW w:w="280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Canada, Brazil</w:t>
            </w:r>
          </w:p>
        </w:tc>
      </w:tr>
      <w:tr>
        <w:trPr>
          <w:trHeight w:val="239"/>
        </w:trPr>
        <w:tc>
          <w:tcPr>
            <w:tcW w:w="640" w:type="dxa"/>
            <w:vAlign w:val="bottom"/>
            <w:tcBorders>
              <w:left w:val="single" w:sz="8" w:color="B6B6B6"/>
              <w:bottom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360" w:type="dxa"/>
            <w:vAlign w:val="bottom"/>
            <w:tcBorders>
              <w:bottom w:val="single" w:sz="8" w:color="B6B6B6"/>
              <w:right w:val="single" w:sz="8" w:color="B6B6B6"/>
            </w:tcBorders>
          </w:tcPr>
          <w:p>
            <w:pPr>
              <w:spacing w:after="0"/>
              <w:rPr>
                <w:sz w:val="20"/>
                <w:szCs w:val="20"/>
                <w:color w:val="auto"/>
              </w:rPr>
            </w:pP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SOS, following HSCT therapy.</w:t>
            </w:r>
          </w:p>
        </w:tc>
        <w:tc>
          <w:tcPr>
            <w:tcW w:w="164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2160" w:type="dxa"/>
            <w:vAlign w:val="bottom"/>
            <w:tcBorders>
              <w:bottom w:val="single" w:sz="8" w:color="B6B6B6"/>
              <w:right w:val="single" w:sz="8" w:color="B6B6B6"/>
            </w:tcBorders>
          </w:tcPr>
          <w:p>
            <w:pPr>
              <w:spacing w:after="0"/>
              <w:rPr>
                <w:sz w:val="20"/>
                <w:szCs w:val="20"/>
                <w:color w:val="auto"/>
              </w:rPr>
            </w:pPr>
          </w:p>
        </w:tc>
      </w:tr>
      <w:tr>
        <w:trPr>
          <w:trHeight w:val="227"/>
        </w:trPr>
        <w:tc>
          <w:tcPr>
            <w:tcW w:w="2640" w:type="dxa"/>
            <w:vAlign w:val="bottom"/>
            <w:tcBorders>
              <w:left w:val="single" w:sz="8" w:color="B6B6B6"/>
              <w:bottom w:val="single" w:sz="8" w:color="B6B6B6"/>
              <w:right w:val="single" w:sz="8" w:color="B6B6B6"/>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Defitelio® (defibrotide)</w:t>
            </w: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Treatment of hepatic SOS (hepatic VOD).</w:t>
            </w:r>
          </w:p>
        </w:tc>
        <w:tc>
          <w:tcPr>
            <w:tcW w:w="214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2019</w:t>
            </w:r>
          </w:p>
        </w:tc>
        <w:tc>
          <w:tcPr>
            <w:tcW w:w="280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169"/>
        </w:trPr>
        <w:tc>
          <w:tcPr>
            <w:tcW w:w="2640" w:type="dxa"/>
            <w:vAlign w:val="bottom"/>
            <w:tcBorders>
              <w:left w:val="single" w:sz="8" w:color="B6B6B6"/>
              <w:right w:val="single" w:sz="8" w:color="B6B6B6"/>
            </w:tcBorders>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Vyxeos® (daunorubicin and</w:t>
            </w: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newly-diagnosed, therapy-related</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2017</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U.S.</w:t>
            </w:r>
          </w:p>
        </w:tc>
      </w:tr>
      <w:tr>
        <w:trPr>
          <w:trHeight w:val="184"/>
        </w:trPr>
        <w:tc>
          <w:tcPr>
            <w:tcW w:w="2640" w:type="dxa"/>
            <w:vAlign w:val="bottom"/>
            <w:tcBorders>
              <w:left w:val="single" w:sz="8" w:color="B6B6B6"/>
              <w:right w:val="single" w:sz="8" w:color="B6B6B6"/>
            </w:tcBorders>
            <w:gridSpan w:val="3"/>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cytarabine) liposome for injection</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acute myeloid leukemia, or t-AML, or AML with</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r>
      <w:tr>
        <w:trPr>
          <w:trHeight w:val="180"/>
        </w:trPr>
        <w:tc>
          <w:tcPr>
            <w:tcW w:w="640" w:type="dxa"/>
            <w:vAlign w:val="bottom"/>
            <w:tcBorders>
              <w:lef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6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myelodysplasia-related changes, or AML-MRC,</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r>
      <w:tr>
        <w:trPr>
          <w:trHeight w:val="230"/>
        </w:trPr>
        <w:tc>
          <w:tcPr>
            <w:tcW w:w="640" w:type="dxa"/>
            <w:vAlign w:val="bottom"/>
            <w:tcBorders>
              <w:left w:val="single" w:sz="8" w:color="B6B6B6"/>
              <w:bottom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1360" w:type="dxa"/>
            <w:vAlign w:val="bottom"/>
            <w:tcBorders>
              <w:bottom w:val="single" w:sz="8" w:color="B6B6B6"/>
              <w:right w:val="single" w:sz="8" w:color="B6B6B6"/>
            </w:tcBorders>
            <w:shd w:val="clear" w:color="auto" w:fill="CCEEFF"/>
          </w:tcPr>
          <w:p>
            <w:pPr>
              <w:spacing w:after="0"/>
              <w:rPr>
                <w:sz w:val="19"/>
                <w:szCs w:val="19"/>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 adults and pediatric patients one year and older.</w:t>
            </w:r>
          </w:p>
        </w:tc>
        <w:tc>
          <w:tcPr>
            <w:tcW w:w="1640" w:type="dxa"/>
            <w:vAlign w:val="bottom"/>
            <w:tcBorders>
              <w:bottom w:val="single" w:sz="8" w:color="B6B6B6"/>
            </w:tcBorders>
            <w:shd w:val="clear" w:color="auto" w:fill="CCEEFF"/>
          </w:tcPr>
          <w:p>
            <w:pPr>
              <w:spacing w:after="0"/>
              <w:rPr>
                <w:sz w:val="19"/>
                <w:szCs w:val="19"/>
                <w:color w:val="auto"/>
              </w:rPr>
            </w:pPr>
          </w:p>
        </w:tc>
        <w:tc>
          <w:tcPr>
            <w:tcW w:w="500" w:type="dxa"/>
            <w:vAlign w:val="bottom"/>
            <w:tcBorders>
              <w:bottom w:val="single" w:sz="8" w:color="B6B6B6"/>
              <w:right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r>
      <w:tr>
        <w:trPr>
          <w:trHeight w:val="169"/>
        </w:trPr>
        <w:tc>
          <w:tcPr>
            <w:tcW w:w="2640" w:type="dxa"/>
            <w:vAlign w:val="bottom"/>
            <w:tcBorders>
              <w:left w:val="single" w:sz="8" w:color="B6B6B6"/>
              <w:right w:val="single" w:sz="8" w:color="B6B6B6"/>
            </w:tcBorders>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Vyxeos® liposomal</w:t>
            </w: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newly-diagnosed t-AML</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2018</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EU, Great Britain, Switzerland, Israel,</w:t>
            </w:r>
          </w:p>
        </w:tc>
      </w:tr>
      <w:tr>
        <w:trPr>
          <w:trHeight w:val="184"/>
        </w:trPr>
        <w:tc>
          <w:tcPr>
            <w:tcW w:w="2640" w:type="dxa"/>
            <w:vAlign w:val="bottom"/>
            <w:tcBorders>
              <w:left w:val="single" w:sz="8" w:color="B6B6B6"/>
              <w:right w:val="single" w:sz="8" w:color="B6B6B6"/>
            </w:tcBorders>
            <w:gridSpan w:val="3"/>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44 mg/100 mg powder for</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or AML-MRC.</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2800" w:type="dxa"/>
            <w:vAlign w:val="bottom"/>
            <w:tcBorders>
              <w:right w:val="single" w:sz="8" w:color="B6B6B6"/>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Australia, South Korea, Saudi Arabia</w:t>
            </w:r>
          </w:p>
        </w:tc>
      </w:tr>
      <w:tr>
        <w:trPr>
          <w:trHeight w:val="180"/>
        </w:trPr>
        <w:tc>
          <w:tcPr>
            <w:tcW w:w="2640" w:type="dxa"/>
            <w:vAlign w:val="bottom"/>
            <w:tcBorders>
              <w:left w:val="single" w:sz="8" w:color="B6B6B6"/>
              <w:right w:val="single" w:sz="8" w:color="B6B6B6"/>
            </w:tcBorders>
            <w:gridSpan w:val="3"/>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concentrate for solution for</w:t>
            </w:r>
          </w:p>
        </w:tc>
        <w:tc>
          <w:tcPr>
            <w:tcW w:w="860" w:type="dxa"/>
            <w:vAlign w:val="bottom"/>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r>
      <w:tr>
        <w:trPr>
          <w:trHeight w:val="229"/>
        </w:trPr>
        <w:tc>
          <w:tcPr>
            <w:tcW w:w="264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w:t>
            </w:r>
          </w:p>
        </w:tc>
        <w:tc>
          <w:tcPr>
            <w:tcW w:w="860" w:type="dxa"/>
            <w:vAlign w:val="bottom"/>
            <w:tcBorders>
              <w:bottom w:val="single" w:sz="8" w:color="B6B6B6"/>
            </w:tcBorders>
            <w:shd w:val="clear" w:color="auto" w:fill="CCEEFF"/>
          </w:tcPr>
          <w:p>
            <w:pPr>
              <w:spacing w:after="0"/>
              <w:rPr>
                <w:sz w:val="19"/>
                <w:szCs w:val="19"/>
                <w:color w:val="auto"/>
              </w:rPr>
            </w:pPr>
          </w:p>
        </w:tc>
        <w:tc>
          <w:tcPr>
            <w:tcW w:w="2820" w:type="dxa"/>
            <w:vAlign w:val="bottom"/>
            <w:tcBorders>
              <w:bottom w:val="single" w:sz="8" w:color="B6B6B6"/>
              <w:right w:val="single" w:sz="8" w:color="B6B6B6"/>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500" w:type="dxa"/>
            <w:vAlign w:val="bottom"/>
            <w:tcBorders>
              <w:bottom w:val="single" w:sz="8" w:color="B6B6B6"/>
              <w:right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60" w:type="dxa"/>
            <w:vAlign w:val="bottom"/>
            <w:tcBorders>
              <w:bottom w:val="single" w:sz="8" w:color="B6B6B6"/>
              <w:right w:val="single" w:sz="8" w:color="B6B6B6"/>
            </w:tcBorders>
            <w:shd w:val="clear" w:color="auto" w:fill="CCEEFF"/>
          </w:tcPr>
          <w:p>
            <w:pPr>
              <w:spacing w:after="0"/>
              <w:rPr>
                <w:sz w:val="19"/>
                <w:szCs w:val="19"/>
                <w:color w:val="auto"/>
              </w:rPr>
            </w:pPr>
          </w:p>
        </w:tc>
      </w:tr>
      <w:tr>
        <w:trPr>
          <w:trHeight w:val="169"/>
        </w:trPr>
        <w:tc>
          <w:tcPr>
            <w:tcW w:w="2640" w:type="dxa"/>
            <w:vAlign w:val="bottom"/>
            <w:tcBorders>
              <w:left w:val="single" w:sz="8" w:color="B6B6B6"/>
              <w:right w:val="single" w:sz="8" w:color="B6B6B6"/>
            </w:tcBorders>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Vyxeos® Daunorubicin and</w:t>
            </w:r>
          </w:p>
        </w:tc>
        <w:tc>
          <w:tcPr>
            <w:tcW w:w="368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newly diagnosed,</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2021</w:t>
            </w:r>
          </w:p>
        </w:tc>
        <w:tc>
          <w:tcPr>
            <w:tcW w:w="280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r>
      <w:tr>
        <w:trPr>
          <w:trHeight w:val="184"/>
        </w:trPr>
        <w:tc>
          <w:tcPr>
            <w:tcW w:w="2640" w:type="dxa"/>
            <w:vAlign w:val="bottom"/>
            <w:tcBorders>
              <w:left w:val="single" w:sz="8" w:color="B6B6B6"/>
              <w:right w:val="single" w:sz="8" w:color="B6B6B6"/>
            </w:tcBorders>
            <w:gridSpan w:val="3"/>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cytarabine liposome for injection</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therapy-related t-AML or AML with AML-MRC.</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tcBorders>
              <w:right w:val="single" w:sz="8" w:color="B6B6B6"/>
            </w:tcBorders>
            <w:shd w:val="clear" w:color="auto" w:fill="CCEEFF"/>
          </w:tcPr>
          <w:p>
            <w:pPr>
              <w:spacing w:after="0"/>
              <w:rPr>
                <w:sz w:val="16"/>
                <w:szCs w:val="16"/>
                <w:color w:val="auto"/>
              </w:rPr>
            </w:pPr>
          </w:p>
        </w:tc>
      </w:tr>
      <w:tr>
        <w:trPr>
          <w:trHeight w:val="180"/>
        </w:trPr>
        <w:tc>
          <w:tcPr>
            <w:tcW w:w="2640" w:type="dxa"/>
            <w:vAlign w:val="bottom"/>
            <w:tcBorders>
              <w:left w:val="single" w:sz="8" w:color="B6B6B6"/>
              <w:right w:val="single" w:sz="8" w:color="B6B6B6"/>
            </w:tcBorders>
            <w:gridSpan w:val="3"/>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Powder, 44 mg daunorubicin and</w:t>
            </w:r>
          </w:p>
        </w:tc>
        <w:tc>
          <w:tcPr>
            <w:tcW w:w="860" w:type="dxa"/>
            <w:vAlign w:val="bottom"/>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r>
      <w:tr>
        <w:trPr>
          <w:trHeight w:val="176"/>
        </w:trPr>
        <w:tc>
          <w:tcPr>
            <w:tcW w:w="2640" w:type="dxa"/>
            <w:vAlign w:val="bottom"/>
            <w:tcBorders>
              <w:left w:val="single" w:sz="8" w:color="B6B6B6"/>
              <w:right w:val="single" w:sz="8" w:color="B6B6B6"/>
            </w:tcBorders>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100 mg cytarabine per vial,</w:t>
            </w:r>
          </w:p>
        </w:tc>
        <w:tc>
          <w:tcPr>
            <w:tcW w:w="860" w:type="dxa"/>
            <w:vAlign w:val="bottom"/>
            <w:shd w:val="clear" w:color="auto" w:fill="CCEEFF"/>
          </w:tcPr>
          <w:p>
            <w:pPr>
              <w:spacing w:after="0"/>
              <w:rPr>
                <w:sz w:val="15"/>
                <w:szCs w:val="15"/>
                <w:color w:val="auto"/>
              </w:rPr>
            </w:pPr>
          </w:p>
        </w:tc>
        <w:tc>
          <w:tcPr>
            <w:tcW w:w="2820" w:type="dxa"/>
            <w:vAlign w:val="bottom"/>
            <w:tcBorders>
              <w:right w:val="single" w:sz="8" w:color="B6B6B6"/>
            </w:tcBorders>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60" w:type="dxa"/>
            <w:vAlign w:val="bottom"/>
            <w:tcBorders>
              <w:right w:val="single" w:sz="8" w:color="B6B6B6"/>
            </w:tcBorders>
            <w:shd w:val="clear" w:color="auto" w:fill="CCEEFF"/>
          </w:tcPr>
          <w:p>
            <w:pPr>
              <w:spacing w:after="0"/>
              <w:rPr>
                <w:sz w:val="15"/>
                <w:szCs w:val="15"/>
                <w:color w:val="auto"/>
              </w:rPr>
            </w:pPr>
          </w:p>
        </w:tc>
      </w:tr>
      <w:tr>
        <w:trPr>
          <w:trHeight w:val="239"/>
        </w:trPr>
        <w:tc>
          <w:tcPr>
            <w:tcW w:w="264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intravenous, or IV, infusion</w:t>
            </w:r>
          </w:p>
        </w:tc>
        <w:tc>
          <w:tcPr>
            <w:tcW w:w="860" w:type="dxa"/>
            <w:vAlign w:val="bottom"/>
            <w:tcBorders>
              <w:bottom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r>
      <w:tr>
        <w:trPr>
          <w:trHeight w:val="173"/>
        </w:trPr>
        <w:tc>
          <w:tcPr>
            <w:tcW w:w="2640" w:type="dxa"/>
            <w:vAlign w:val="bottom"/>
            <w:tcBorders>
              <w:left w:val="single" w:sz="8" w:color="B6B6B6"/>
              <w:right w:val="single" w:sz="8" w:color="B6B6B6"/>
            </w:tcBorders>
            <w:gridSpan w:val="3"/>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Vyxeos® Combination for I.V.</w:t>
            </w:r>
          </w:p>
        </w:tc>
        <w:tc>
          <w:tcPr>
            <w:tcW w:w="368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High-risk AML</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March 2024</w:t>
            </w:r>
          </w:p>
        </w:tc>
        <w:tc>
          <w:tcPr>
            <w:tcW w:w="280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Japan (through licensing agreement)</w:t>
            </w:r>
            <w:r>
              <w:rPr>
                <w:rFonts w:ascii="Times New Roman" w:cs="Times New Roman" w:eastAsia="Times New Roman" w:hAnsi="Times New Roman"/>
                <w:sz w:val="20"/>
                <w:szCs w:val="20"/>
                <w:color w:val="auto"/>
                <w:vertAlign w:val="superscript"/>
              </w:rPr>
              <w:t>5</w:t>
            </w:r>
          </w:p>
        </w:tc>
      </w:tr>
      <w:tr>
        <w:trPr>
          <w:trHeight w:val="239"/>
        </w:trPr>
        <w:tc>
          <w:tcPr>
            <w:tcW w:w="264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Injection</w:t>
            </w:r>
          </w:p>
        </w:tc>
        <w:tc>
          <w:tcPr>
            <w:tcW w:w="860" w:type="dxa"/>
            <w:vAlign w:val="bottom"/>
            <w:tcBorders>
              <w:bottom w:val="single" w:sz="8" w:color="B6B6B6"/>
            </w:tcBorders>
            <w:shd w:val="clear" w:color="auto" w:fill="CCEEFF"/>
          </w:tcPr>
          <w:p>
            <w:pPr>
              <w:spacing w:after="0"/>
              <w:rPr>
                <w:sz w:val="20"/>
                <w:szCs w:val="20"/>
                <w:color w:val="auto"/>
              </w:rPr>
            </w:pPr>
          </w:p>
        </w:tc>
        <w:tc>
          <w:tcPr>
            <w:tcW w:w="2820" w:type="dxa"/>
            <w:vAlign w:val="bottom"/>
            <w:tcBorders>
              <w:bottom w:val="single" w:sz="8" w:color="B6B6B6"/>
              <w:right w:val="single" w:sz="8" w:color="B6B6B6"/>
            </w:tcBorders>
            <w:shd w:val="clear" w:color="auto" w:fill="CCEEFF"/>
          </w:tcPr>
          <w:p>
            <w:pPr>
              <w:spacing w:after="0"/>
              <w:rPr>
                <w:sz w:val="20"/>
                <w:szCs w:val="20"/>
                <w:color w:val="auto"/>
              </w:rPr>
            </w:pP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60" w:type="dxa"/>
            <w:vAlign w:val="bottom"/>
            <w:tcBorders>
              <w:bottom w:val="single" w:sz="8" w:color="B6B6B6"/>
              <w:right w:val="single" w:sz="8" w:color="B6B6B6"/>
            </w:tcBorders>
            <w:shd w:val="clear" w:color="auto" w:fill="CCEEFF"/>
          </w:tcPr>
          <w:p>
            <w:pPr>
              <w:spacing w:after="0"/>
              <w:rPr>
                <w:sz w:val="20"/>
                <w:szCs w:val="20"/>
                <w:color w:val="auto"/>
              </w:rPr>
            </w:pPr>
          </w:p>
        </w:tc>
      </w:tr>
    </w:tbl>
    <w:p>
      <w:pPr>
        <w:spacing w:after="0" w:line="60"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clobazam restriction limited to EU and Great Britain</w:t>
      </w:r>
    </w:p>
    <w:p>
      <w:pPr>
        <w:spacing w:after="0" w:line="15" w:lineRule="exact"/>
        <w:rPr>
          <w:rFonts w:ascii="Times New Roman" w:cs="Times New Roman" w:eastAsia="Times New Roman" w:hAnsi="Times New Roman"/>
          <w:sz w:val="23"/>
          <w:szCs w:val="23"/>
          <w:color w:val="auto"/>
          <w:vertAlign w:val="superscript"/>
        </w:rPr>
      </w:pPr>
    </w:p>
    <w:p>
      <w:pPr>
        <w:spacing w:after="0" w:line="22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European Economic Area</w:t>
      </w:r>
    </w:p>
    <w:p>
      <w:pPr>
        <w:ind w:right="5300"/>
        <w:spacing w:after="0" w:line="20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Accelerated approval received from U.S. Food and Drug Administration, or FDA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Conditional approval received from Health Canada</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Development and commercialization rights held by Nippon Shinyaku Co. Ltd. in Japan</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We are the global leader in the development and commercialization of oxybate therapy for patients with sleep disorders. Xyrem was approved by FDA in 2002 for treatment of cataplexy and in 2005 for treatment of EDS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for cardiovascular morbidity. We view the adoption of Xywav in narcolepsy as a positive indication that physicians and patients appreciate the benefits of a low-sodium oxybate option.</w:t>
      </w:r>
    </w:p>
    <w:p>
      <w:pPr>
        <w:spacing w:after="0" w:line="72" w:lineRule="exact"/>
        <w:rPr>
          <w:sz w:val="20"/>
          <w:szCs w:val="20"/>
          <w:color w:val="auto"/>
        </w:rPr>
      </w:pPr>
    </w:p>
    <w:p>
      <w:pPr>
        <w:ind w:right="320" w:firstLine="445"/>
        <w:spacing w:after="0" w:line="255" w:lineRule="auto"/>
        <w:rPr>
          <w:sz w:val="20"/>
          <w:szCs w:val="20"/>
          <w:color w:val="auto"/>
        </w:rPr>
      </w:pPr>
      <w:r>
        <w:rPr>
          <w:rFonts w:ascii="Times New Roman" w:cs="Times New Roman" w:eastAsia="Times New Roman" w:hAnsi="Times New Roman"/>
          <w:sz w:val="18"/>
          <w:szCs w:val="18"/>
          <w:color w:val="auto"/>
        </w:rPr>
        <w:t>In June 2021, FDA recognized seven years of Orphan Drug Exclusivity, or ODE, for Xywav in narcolepsy. ODE extends through July 2027. Nevertheless, Lumryz, a fixed-dose, high-sodium oxybate, was approved by FDA on May 1, 2023, for the treatment of cataplexy or EDS in adults with narcolepsy.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with narcolepsy and that Xywav is safer than Lumryz in all such patients. Lumryz has the same sodium content as Xyrem. Xywav is the only approved oxybate therapy that does not carry a warning and precaution related to high sodium intake.</w:t>
      </w:r>
    </w:p>
    <w:p>
      <w:pPr>
        <w:spacing w:after="0" w:line="54" w:lineRule="exact"/>
        <w:rPr>
          <w:sz w:val="20"/>
          <w:szCs w:val="20"/>
          <w:color w:val="auto"/>
        </w:rPr>
      </w:pPr>
    </w:p>
    <w:p>
      <w:pPr>
        <w:jc w:val="both"/>
        <w:ind w:right="60" w:firstLine="445"/>
        <w:spacing w:after="0" w:line="258" w:lineRule="auto"/>
        <w:rPr>
          <w:sz w:val="20"/>
          <w:szCs w:val="20"/>
          <w:color w:val="auto"/>
        </w:rPr>
      </w:pPr>
      <w:r>
        <w:rPr>
          <w:rFonts w:ascii="Times New Roman" w:cs="Times New Roman" w:eastAsia="Times New Roman" w:hAnsi="Times New Roman"/>
          <w:sz w:val="18"/>
          <w:szCs w:val="18"/>
          <w:color w:val="auto"/>
        </w:rPr>
        <w:t>On August 12, 2021, FDA approved Xywav for the treatment of IH in adults. Xywav remains the first and only FDA-approved therapy to treat IH. We initiated the U.S. commercial launch of Xywav for the treatment of IH in adults in November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spacing w:after="0" w:line="75" w:lineRule="exact"/>
        <w:rPr>
          <w:sz w:val="20"/>
          <w:szCs w:val="20"/>
          <w:color w:val="auto"/>
        </w:rPr>
      </w:pPr>
    </w:p>
    <w:p>
      <w:pPr>
        <w:ind w:right="620" w:firstLine="445"/>
        <w:spacing w:after="0" w:line="266" w:lineRule="auto"/>
        <w:rPr>
          <w:sz w:val="20"/>
          <w:szCs w:val="20"/>
          <w:color w:val="auto"/>
        </w:rPr>
      </w:pPr>
      <w:r>
        <w:rPr>
          <w:rFonts w:ascii="Times New Roman" w:cs="Times New Roman" w:eastAsia="Times New Roman" w:hAnsi="Times New Roman"/>
          <w:sz w:val="18"/>
          <w:szCs w:val="18"/>
          <w:color w:val="auto"/>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6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We have seen strong adoption of Xywav in narcolepsy since its launch in November 2020, and increasing adoption in IH since its launch in November 2021. Exiting the second quarter of 2024, there were approximately 13,225 patients taking Xywav, including approximately 9,925 patients with narcolepsy and approximately 3,300 patients with IH.</w:t>
      </w:r>
    </w:p>
    <w:p>
      <w:pPr>
        <w:spacing w:after="0" w:line="68"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or EC,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Canada, Australia, New Zealand and Taiwan.</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intramuscular, or IM, administration of 25 mg/m2 every 48 hours. In November 2022, FDA approved a supplemental Biologics License Application, or sBLA, for a Monday/Wednesday/Friday 25/25/50 mg/m2 IM dosing schedule. In September 2023, the EC granted marketing authorization for JZP458 under the trade name Enrylaze. This product has also been approved in Great Britain, Canada and Switzerland.</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F. Hoffmann-La Roche Ltd, or Roche, we have an ongoing Phase 3 pivotal clinical trial in first-line extensive stage SCLC of Zepzelca in combination with Tecentriq® (atezolizumab).</w:t>
      </w:r>
    </w:p>
    <w:p>
      <w:pPr>
        <w:spacing w:after="0" w:line="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Defitelio is the first and only approved treatment for patients with VOD, severe VOD, or sVOD, or VOD with renal or pulmonary dysfunction following HSCT by regulatory authorities in the U.S., Europe, Japan and other markets. There was a significant decline in the number of patients receiving HSCT due to the effects of the COVID-19 pandemic. Moving forward, while HSCT procedures are gradually returning to pre-pandemic numbers, we expect changes in chemotherapy regimens and the increasing use of cell therapies to potentially lower the incidence of sVOD; additionally, there has been a reduction of prophylactic use of Defitelio in Europe.</w:t>
      </w:r>
    </w:p>
    <w:p>
      <w:pPr>
        <w:spacing w:after="0" w:line="75" w:lineRule="exact"/>
        <w:rPr>
          <w:sz w:val="20"/>
          <w:szCs w:val="20"/>
          <w:color w:val="auto"/>
        </w:rPr>
      </w:pPr>
    </w:p>
    <w:p>
      <w:pPr>
        <w:ind w:right="540" w:firstLine="445"/>
        <w:spacing w:after="0" w:line="266" w:lineRule="auto"/>
        <w:rPr>
          <w:sz w:val="20"/>
          <w:szCs w:val="20"/>
          <w:color w:val="auto"/>
        </w:rPr>
      </w:pPr>
      <w:r>
        <w:rPr>
          <w:rFonts w:ascii="Times New Roman" w:cs="Times New Roman" w:eastAsia="Times New Roman" w:hAnsi="Times New Roman"/>
          <w:sz w:val="18"/>
          <w:szCs w:val="18"/>
          <w:color w:val="auto"/>
        </w:rPr>
        <w:t>Vyxeos is a treatment for adults with newly-diagnosed t-AML, or AML-MRC. In March 2021, FDA approved a revised label to include a new indication to treat newly-diagnosed t-AML, or AML-MRC, in pediatric patients aged one year and older. We continue to expand into new markets internationally as the product receives approvals and reimbursement in relevant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markets. In the U.S., with ongoing trends towards lower-intensity treatments and away from intensive chemotherapy regimens for AML, we have seen increasing competition from other therapeutic options.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Progress</w:t>
      </w:r>
    </w:p>
    <w:p>
      <w:pPr>
        <w:spacing w:after="0" w:line="121"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8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Within our oncology R&amp;D program, in October 2022, we announced an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Zanidatamab is a bispecific antibody that can simultaneously bind two non-overlapping epitopes of HER2, known as biparatopic binding. Zanidatamab is currently being evaluated in multiple clinical trials as a treatment for patients with HER2-expressing cancers. Following positive data from a pivotal Phase 2 clinical trial evaluating zanidatamab monotherapy in patients with previously treated advanced or metastatic HER2-amplified biliary tract cancer, or BTC, we completed a BLA submission in second-line BTC in March 2024. In May 2024, FDA granted Priority Review of the BLA and set a target action date of November 29, 2024. The European Medicines Agency, or EMA, has validated our Marketing Authorization Application, or MAA, for zanidatamab in second-line BTC; we anticipate a response to our MAA in 2025. In addition, we have an ongoing Phase 3 randomized clinical trial evaluating zanidatamab in combination with chemotherapy plus or minus tislelizumab as a first-line treatment for HER2-expressing gastroesophageal adenocarcinoma, or GEA, and an ongoing Phase 2 trial examining zanidatamab in combination with chemotherapy in first-line patients with HER2-expressing metastatic GEA. In July 2024, we announced the initiation of the Phase 3 EmpowHER-BC-303 to evaluate zanidatamab plus chemotherapy or trastuzumab plus chemotherapy in patients with HER2-positive breast cancer whose disease has progressed on previous trastuzumab deruxtecan (T-DXd) treatment. There are also multiple ongoing clinical trials exploring zanidatamab in breast cancer and other HER2-expressing tumor types.</w:t>
      </w:r>
    </w:p>
    <w:p>
      <w:pPr>
        <w:spacing w:after="0" w:line="84"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development plan for Zepzelca continues to progress. We are collaborating with Roche on a pivotal Phase 3 clinical trial evaluating Zepzelca in combination with Tecentriq in first-line extensive stage SCLC. In December 2021, our licensor PharmaMar initiated a confirmatory trial in second-line SCLC. This ongoing three-arm trial is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 addition, we have an ongoing Phase 4 observational study to collect real world safety and outcome data in adult Zepzelca monotherapy patients with SCLC who progress on or after prior platinum-containing chemotherapy.</w:t>
      </w:r>
    </w:p>
    <w:p>
      <w:pPr>
        <w:spacing w:after="0" w:line="54"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In June 2022, we announced the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spacing w:after="0" w:line="6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April 2022, we announced that we had entered into a licensing and collaboration agreement with Werewolf Therapeutics, Inc., or Werewolf, to acquire exclusive global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patients, and also provides us with an opportunity to expand into immuno-oncology. JZP898 is a differentiated, conditionally-activated interferon alpha, or IFNα, INDUKINE™ molecule. We initiated a Phase 1 clinical trial of JZP898 in late 2023.</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neuroscience R&amp;D efforts include an ongoing Phase 3 trial of Epidyolex for LGS, DS and TSC in Japan initiated in October 2022.</w:t>
      </w:r>
    </w:p>
    <w:p>
      <w:pPr>
        <w:spacing w:after="0" w:line="11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December 2021, we initiated a Phase 2 clinical trial for suvecaltamide (JZP385), for essential tremor, or ET. Additionally, in November 2022, we initiated a Phase 2 trial of suvecaltamide in patients with Parkinson's disease tremor. In June 2024, we announced the ET trial did not achieve statistical significance on the primary and key secondary endpoint for the 30 mg dose. We are continuing to evaluate data from this trial and await results from the ongoing Parkinson's disease tremor trial to determine next steps, if any, for the suvecaltamide program. In December 2023, we announced that our Phase 2 clinical trial for JZP150 for treatment of post-traumatic stress disorder, or PTSD, did not meet the primary endpoint. We plan to fully evaluate these data; however, based on top-line results we do not anticipate moving forward with additional JZP150 development in PTSD. We are also pursuing early-stage activities related to the development of JZP324, an extended-release low sodium, oxybate formulation that we believe could provide a clinically meaningful option for narcolepsy patients.</w:t>
      </w:r>
    </w:p>
    <w:p>
      <w:pPr>
        <w:spacing w:after="0" w:line="8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In May 2022, we announced that we had entered into a licensing agreement with Sumitomo Pharma Co., Ltd, or Sumitomo, to acquire exclusive development and commercialization rights in the United States, Europe and other territories for JZP441, also known as DSP-0187, a potent, highly selective oral orexin-2 receptor agonist with potential application for the treatment of narcolepsy, IH and other sleep disorders.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our net sales of JZP441. In November 2023, we announced that we achieved initial proof-of-concept in our Phase 1 clinical trial program in healthy volunteers as demonstrated by the Maintenance of Wakefulness Test (MWT). At that time, we also noted the program was being paused as we analyze safety findings related to visual disturbances and cardiovascular effects; no liver toxicity signals were observed. Following additional review of the trial findings, in July 2024, we announced that pending additional input from FDA, we plan to initiate a small Phase 1b trial of JZP441 in narcolepsy Type 1 patients. We expect data from this trial will further our understanding of JZP441 and orexin-2 receptor agonism, providing learnings that could inform future development efforts.</w:t>
      </w:r>
    </w:p>
    <w:p>
      <w:pPr>
        <w:spacing w:after="0" w:line="86"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Below is a summary of our key ongoing and planned development projects related to our products and pipeline and their corresponding current stages of development: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tc>
        <w:tc>
          <w:tcPr>
            <w:tcW w:w="822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1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 Review</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Previously treated, advanced HER2-expressing BTC (ongoing trial) (pivotal trial)</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First-line HER2-positive GEA (ongoing trial)</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First-line HER2-positive BTC (ongoing trial)</w:t>
            </w: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shd w:val="clear" w:color="auto" w:fill="CCEEFF"/>
          </w:tcPr>
          <w:p>
            <w:pPr>
              <w:ind w:left="1440"/>
              <w:spacing w:after="0" w:line="176" w:lineRule="exact"/>
              <w:rPr>
                <w:sz w:val="20"/>
                <w:szCs w:val="20"/>
                <w:color w:val="auto"/>
              </w:rPr>
            </w:pPr>
            <w:r>
              <w:rPr>
                <w:rFonts w:ascii="Times New Roman" w:cs="Times New Roman" w:eastAsia="Times New Roman" w:hAnsi="Times New Roman"/>
                <w:sz w:val="18"/>
                <w:szCs w:val="18"/>
                <w:color w:val="auto"/>
              </w:rPr>
              <w:t>Previously treated HER2-positive breast cancer in patients whose disease has progressed on</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previous T-DXd treatment (EMPOWHER-BC-303) (ongoing trial)</w:t>
            </w:r>
          </w:p>
        </w:tc>
        <w:tc>
          <w:tcPr>
            <w:tcW w:w="100" w:type="dxa"/>
            <w:vAlign w:val="bottom"/>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30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Zepzelca</w:t>
            </w:r>
          </w:p>
        </w:tc>
        <w:tc>
          <w:tcPr>
            <w:tcW w:w="8120" w:type="dxa"/>
            <w:vAlign w:val="bottom"/>
            <w:gridSpan w:val="3"/>
          </w:tcPr>
          <w:p>
            <w:pPr>
              <w:ind w:left="1440"/>
              <w:spacing w:after="0" w:line="176" w:lineRule="exact"/>
              <w:rPr>
                <w:sz w:val="20"/>
                <w:szCs w:val="20"/>
                <w:color w:val="auto"/>
              </w:rPr>
            </w:pPr>
            <w:r>
              <w:rPr>
                <w:rFonts w:ascii="Times New Roman" w:cs="Times New Roman" w:eastAsia="Times New Roman" w:hAnsi="Times New Roman"/>
                <w:sz w:val="18"/>
                <w:szCs w:val="18"/>
                <w:color w:val="auto"/>
              </w:rPr>
              <w:t>First-line extensive stage SCLC in combination with Tecentriq (collaboration with Roche)</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220" w:type="dxa"/>
            <w:vAlign w:val="bottom"/>
            <w:gridSpan w:val="4"/>
          </w:tcPr>
          <w:p>
            <w:pPr>
              <w:ind w:left="1440"/>
              <w:spacing w:after="0" w:line="184" w:lineRule="exact"/>
              <w:rPr>
                <w:sz w:val="20"/>
                <w:szCs w:val="20"/>
                <w:color w:val="auto"/>
              </w:rPr>
            </w:pPr>
            <w:r>
              <w:rPr>
                <w:rFonts w:ascii="Times New Roman" w:cs="Times New Roman" w:eastAsia="Times New Roman" w:hAnsi="Times New Roman"/>
                <w:sz w:val="18"/>
                <w:szCs w:val="18"/>
                <w:color w:val="auto"/>
              </w:rPr>
              <w:t>(ongoing trial)</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220" w:type="dxa"/>
            <w:vAlign w:val="bottom"/>
            <w:gridSpan w:val="4"/>
          </w:tcPr>
          <w:p>
            <w:pPr>
              <w:ind w:left="1440"/>
              <w:spacing w:after="0"/>
              <w:rPr>
                <w:sz w:val="20"/>
                <w:szCs w:val="20"/>
                <w:color w:val="auto"/>
              </w:rPr>
            </w:pPr>
            <w:r>
              <w:rPr>
                <w:rFonts w:ascii="Times New Roman" w:cs="Times New Roman" w:eastAsia="Times New Roman" w:hAnsi="Times New Roman"/>
                <w:sz w:val="18"/>
                <w:szCs w:val="18"/>
                <w:color w:val="auto"/>
              </w:rPr>
              <w:t>Confirmatory second-line trial (PharmaMar study) (ongoing trial)</w:t>
            </w:r>
          </w:p>
        </w:tc>
      </w:tr>
      <w:tr>
        <w:trPr>
          <w:trHeight w:val="176"/>
        </w:trPr>
        <w:tc>
          <w:tcPr>
            <w:tcW w:w="2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8120" w:type="dxa"/>
            <w:vAlign w:val="bottom"/>
            <w:gridSpan w:val="3"/>
            <w:shd w:val="clear" w:color="auto" w:fill="CCEEFF"/>
          </w:tcPr>
          <w:p>
            <w:pPr>
              <w:ind w:left="1440"/>
              <w:spacing w:after="0" w:line="176" w:lineRule="exact"/>
              <w:rPr>
                <w:sz w:val="20"/>
                <w:szCs w:val="20"/>
                <w:color w:val="auto"/>
              </w:rPr>
            </w:pPr>
            <w:r>
              <w:rPr>
                <w:rFonts w:ascii="Times New Roman" w:cs="Times New Roman" w:eastAsia="Times New Roman" w:hAnsi="Times New Roman"/>
                <w:sz w:val="18"/>
                <w:szCs w:val="18"/>
                <w:color w:val="auto"/>
              </w:rPr>
              <w:t>AML or high-risk Myelodysplastic Syndrome, or MDS (AML18) (cooperative group</w:t>
            </w:r>
          </w:p>
        </w:tc>
        <w:tc>
          <w:tcPr>
            <w:tcW w:w="10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120" w:type="dxa"/>
            <w:vAlign w:val="bottom"/>
            <w:gridSpan w:val="3"/>
            <w:shd w:val="clear" w:color="auto" w:fill="CCEEFF"/>
          </w:tcPr>
          <w:p>
            <w:pPr>
              <w:ind w:left="1440"/>
              <w:spacing w:after="0" w:line="184" w:lineRule="exact"/>
              <w:rPr>
                <w:sz w:val="20"/>
                <w:szCs w:val="20"/>
                <w:color w:val="auto"/>
              </w:rPr>
            </w:pPr>
            <w:r>
              <w:rPr>
                <w:rFonts w:ascii="Times New Roman" w:cs="Times New Roman" w:eastAsia="Times New Roman" w:hAnsi="Times New Roman"/>
                <w:sz w:val="18"/>
                <w:szCs w:val="18"/>
                <w:color w:val="auto"/>
              </w:rPr>
              <w:t>studies) (ongoing trial)</w:t>
            </w:r>
          </w:p>
        </w:tc>
        <w:tc>
          <w:tcPr>
            <w:tcW w:w="100" w:type="dxa"/>
            <w:vAlign w:val="bottom"/>
          </w:tcPr>
          <w:p>
            <w:pPr>
              <w:spacing w:after="0"/>
              <w:rPr>
                <w:sz w:val="16"/>
                <w:szCs w:val="16"/>
                <w:color w:val="auto"/>
              </w:rPr>
            </w:pPr>
          </w:p>
        </w:tc>
      </w:tr>
      <w:tr>
        <w:trPr>
          <w:trHeight w:val="180"/>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120" w:type="dxa"/>
            <w:vAlign w:val="bottom"/>
            <w:gridSpan w:val="3"/>
            <w:shd w:val="clear" w:color="auto" w:fill="CCEEFF"/>
          </w:tcPr>
          <w:p>
            <w:pPr>
              <w:ind w:left="1440"/>
              <w:spacing w:after="0" w:line="181" w:lineRule="exact"/>
              <w:rPr>
                <w:sz w:val="20"/>
                <w:szCs w:val="20"/>
                <w:color w:val="auto"/>
              </w:rPr>
            </w:pPr>
            <w:r>
              <w:rPr>
                <w:rFonts w:ascii="Times New Roman" w:cs="Times New Roman" w:eastAsia="Times New Roman" w:hAnsi="Times New Roman"/>
                <w:sz w:val="18"/>
                <w:szCs w:val="18"/>
                <w:color w:val="auto"/>
              </w:rPr>
              <w:t>Newly diagnosed adults with standard- and high-risk AML (AML Study Group cooperative</w:t>
            </w:r>
          </w:p>
        </w:tc>
        <w:tc>
          <w:tcPr>
            <w:tcW w:w="100" w:type="dxa"/>
            <w:vAlign w:val="bottom"/>
          </w:tcPr>
          <w:p>
            <w:pPr>
              <w:spacing w:after="0"/>
              <w:rPr>
                <w:sz w:val="15"/>
                <w:szCs w:val="15"/>
                <w:color w:val="auto"/>
              </w:rPr>
            </w:pPr>
          </w:p>
        </w:tc>
      </w:tr>
      <w:tr>
        <w:trPr>
          <w:trHeight w:val="175"/>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120" w:type="dxa"/>
            <w:vAlign w:val="bottom"/>
            <w:gridSpan w:val="3"/>
            <w:shd w:val="clear" w:color="auto" w:fill="CCEEFF"/>
          </w:tcPr>
          <w:p>
            <w:pPr>
              <w:ind w:left="1440"/>
              <w:spacing w:after="0" w:line="176" w:lineRule="exact"/>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120" w:type="dxa"/>
            <w:vAlign w:val="bottom"/>
            <w:gridSpan w:val="3"/>
            <w:shd w:val="clear" w:color="auto" w:fill="CCEEFF"/>
          </w:tcPr>
          <w:p>
            <w:pPr>
              <w:ind w:left="1440"/>
              <w:spacing w:after="0" w:line="184" w:lineRule="exact"/>
              <w:rPr>
                <w:sz w:val="20"/>
                <w:szCs w:val="20"/>
                <w:color w:val="auto"/>
              </w:rPr>
            </w:pPr>
            <w:r>
              <w:rPr>
                <w:rFonts w:ascii="Times New Roman" w:cs="Times New Roman" w:eastAsia="Times New Roman" w:hAnsi="Times New Roman"/>
                <w:sz w:val="18"/>
                <w:szCs w:val="18"/>
                <w:color w:val="auto"/>
              </w:rPr>
              <w:t>Newly diagnosed pediatric patients with AML (Children’s Oncology Group cooperative</w:t>
            </w:r>
          </w:p>
        </w:tc>
        <w:tc>
          <w:tcPr>
            <w:tcW w:w="100" w:type="dxa"/>
            <w:vAlign w:val="bottom"/>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0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8120" w:type="dxa"/>
            <w:vAlign w:val="bottom"/>
            <w:gridSpan w:val="3"/>
            <w:shd w:val="clear" w:color="auto" w:fill="CCEEFF"/>
          </w:tcPr>
          <w:p>
            <w:pPr>
              <w:ind w:left="1440"/>
              <w:spacing w:after="0" w:line="176" w:lineRule="exact"/>
              <w:rPr>
                <w:sz w:val="20"/>
                <w:szCs w:val="20"/>
                <w:color w:val="auto"/>
              </w:rPr>
            </w:pPr>
            <w:r>
              <w:rPr>
                <w:rFonts w:ascii="Times New Roman" w:cs="Times New Roman" w:eastAsia="Times New Roman" w:hAnsi="Times New Roman"/>
                <w:sz w:val="18"/>
                <w:szCs w:val="18"/>
                <w:color w:val="auto"/>
              </w:rPr>
              <w:t>HER2-expressing GEA, BTC or colorectal cancer in combination with standard first-line</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chemotherapy (ongoing trial)</w:t>
            </w:r>
          </w:p>
        </w:tc>
        <w:tc>
          <w:tcPr>
            <w:tcW w:w="100" w:type="dxa"/>
            <w:vAlign w:val="bottom"/>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30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8120" w:type="dxa"/>
            <w:vAlign w:val="bottom"/>
            <w:gridSpan w:val="3"/>
          </w:tcPr>
          <w:p>
            <w:pPr>
              <w:ind w:left="1440"/>
              <w:spacing w:after="0" w:line="176" w:lineRule="exact"/>
              <w:rPr>
                <w:sz w:val="20"/>
                <w:szCs w:val="20"/>
                <w:color w:val="auto"/>
              </w:rPr>
            </w:pPr>
            <w:r>
              <w:rPr>
                <w:rFonts w:ascii="Times New Roman" w:cs="Times New Roman" w:eastAsia="Times New Roman" w:hAnsi="Times New Roman"/>
                <w:sz w:val="18"/>
                <w:szCs w:val="18"/>
                <w:color w:val="auto"/>
              </w:rPr>
              <w:t>High-risk MDS (European Myelodysplastic Syndromes) (cooperative group study)</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220" w:type="dxa"/>
            <w:vAlign w:val="bottom"/>
            <w:gridSpan w:val="4"/>
          </w:tcPr>
          <w:p>
            <w:pPr>
              <w:ind w:left="1440"/>
              <w:spacing w:after="0" w:line="184" w:lineRule="exact"/>
              <w:rPr>
                <w:sz w:val="20"/>
                <w:szCs w:val="20"/>
                <w:color w:val="auto"/>
              </w:rPr>
            </w:pPr>
            <w:r>
              <w:rPr>
                <w:rFonts w:ascii="Times New Roman" w:cs="Times New Roman" w:eastAsia="Times New Roman" w:hAnsi="Times New Roman"/>
                <w:sz w:val="18"/>
                <w:szCs w:val="18"/>
                <w:color w:val="auto"/>
              </w:rPr>
              <w:t>(ongoing trial)</w:t>
            </w:r>
          </w:p>
        </w:tc>
      </w:tr>
      <w:tr>
        <w:trPr>
          <w:trHeight w:val="180"/>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20" w:type="dxa"/>
            <w:vAlign w:val="bottom"/>
            <w:gridSpan w:val="4"/>
          </w:tcPr>
          <w:p>
            <w:pPr>
              <w:ind w:left="1440"/>
              <w:spacing w:after="0" w:line="181" w:lineRule="exact"/>
              <w:rPr>
                <w:sz w:val="20"/>
                <w:szCs w:val="20"/>
                <w:color w:val="auto"/>
              </w:rPr>
            </w:pPr>
            <w:r>
              <w:rPr>
                <w:rFonts w:ascii="Times New Roman" w:cs="Times New Roman" w:eastAsia="Times New Roman" w:hAnsi="Times New Roman"/>
                <w:sz w:val="18"/>
                <w:szCs w:val="18"/>
                <w:color w:val="auto"/>
              </w:rPr>
              <w:t>Newly diagnosed untreated patients with intermediate- and high-risk AML (cooperative</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220" w:type="dxa"/>
            <w:vAlign w:val="bottom"/>
            <w:gridSpan w:val="4"/>
          </w:tcPr>
          <w:p>
            <w:pPr>
              <w:ind w:left="1440"/>
              <w:spacing w:after="0"/>
              <w:rPr>
                <w:sz w:val="20"/>
                <w:szCs w:val="20"/>
                <w:color w:val="auto"/>
              </w:rPr>
            </w:pPr>
            <w:r>
              <w:rPr>
                <w:rFonts w:ascii="Times New Roman" w:cs="Times New Roman" w:eastAsia="Times New Roman" w:hAnsi="Times New Roman"/>
                <w:sz w:val="18"/>
                <w:szCs w:val="18"/>
                <w:color w:val="auto"/>
              </w:rPr>
              <w:t>group study) (ongoing trial)</w:t>
            </w:r>
          </w:p>
        </w:tc>
      </w:tr>
      <w:tr>
        <w:trPr>
          <w:trHeight w:val="8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120" w:type="dxa"/>
            <w:vAlign w:val="bottom"/>
            <w:gridSpan w:val="3"/>
          </w:tcPr>
          <w:p>
            <w:pPr>
              <w:jc w:val="right"/>
              <w:ind w:right="54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 + other approved therapies</w:t>
            </w: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Relapsed/refractory, or R/R AML or hypomethylating agent failure MDS (MD Anderson</w:t>
            </w:r>
          </w:p>
        </w:tc>
      </w:tr>
      <w:tr>
        <w:trPr>
          <w:trHeight w:val="184"/>
        </w:trPr>
        <w:tc>
          <w:tcPr>
            <w:tcW w:w="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7280" w:type="dxa"/>
            <w:vAlign w:val="bottom"/>
            <w:gridSpan w:val="3"/>
            <w:shd w:val="clear" w:color="auto" w:fill="CCEEFF"/>
          </w:tcPr>
          <w:p>
            <w:pPr>
              <w:ind w:left="600"/>
              <w:spacing w:after="0" w:line="184" w:lineRule="exact"/>
              <w:rPr>
                <w:sz w:val="20"/>
                <w:szCs w:val="20"/>
                <w:color w:val="auto"/>
              </w:rPr>
            </w:pPr>
            <w:r>
              <w:rPr>
                <w:rFonts w:ascii="Times New Roman" w:cs="Times New Roman" w:eastAsia="Times New Roman" w:hAnsi="Times New Roman"/>
                <w:sz w:val="18"/>
                <w:szCs w:val="18"/>
                <w:color w:val="auto"/>
              </w:rPr>
              <w:t>collaboration study) (ongoing trial)</w:t>
            </w:r>
          </w:p>
        </w:tc>
      </w:tr>
      <w:tr>
        <w:trPr>
          <w:trHeight w:val="234"/>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 novo or R/R AML (MD Anderson collaboration study) (ongoing trial)</w:t>
            </w: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2a</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Previously treated HER2+HR+ breast cancer in combination with palbociclib (ongoing</w:t>
            </w:r>
          </w:p>
        </w:tc>
      </w:tr>
      <w:tr>
        <w:trPr>
          <w:trHeight w:val="243"/>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trial)</w:t>
            </w:r>
          </w:p>
        </w:tc>
      </w:tr>
      <w:tr>
        <w:trPr>
          <w:trHeight w:val="230"/>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1b/2</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First-line breast cancer and GEA (BeiGene trial) (ongoing trial)</w:t>
            </w: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HER2-expressing breast cancer in combination with ALX148 (ongoing trial)</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JZP815</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Raf and Ras mutant tumors (acquired from Redx Pharma plc, or Redx) (ongoing trial)</w:t>
            </w: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280" w:type="dxa"/>
            <w:vAlign w:val="bottom"/>
            <w:gridSpan w:val="3"/>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Previously treated metastatic HER2-expressing cancers in combination with select</w:t>
            </w:r>
          </w:p>
        </w:tc>
      </w:tr>
      <w:tr>
        <w:trPr>
          <w:trHeight w:val="243"/>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antineoplastic therapies (ongoing trial)</w:t>
            </w: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JZP341 (long-acting </w:t>
            </w:r>
            <w:r>
              <w:rPr>
                <w:rFonts w:ascii="Times New Roman" w:cs="Times New Roman" w:eastAsia="Times New Roman" w:hAnsi="Times New Roman"/>
                <w:sz w:val="18"/>
                <w:szCs w:val="18"/>
                <w:i w:val="1"/>
                <w:iCs w:val="1"/>
                <w:color w:val="auto"/>
              </w:rPr>
              <w:t>Erwinia</w:t>
            </w:r>
            <w:r>
              <w:rPr>
                <w:rFonts w:ascii="Times New Roman" w:cs="Times New Roman" w:eastAsia="Times New Roman" w:hAnsi="Times New Roman"/>
                <w:sz w:val="18"/>
                <w:szCs w:val="18"/>
                <w:color w:val="auto"/>
              </w:rPr>
              <w:t xml:space="preserve"> asparaginase)</w:t>
            </w:r>
          </w:p>
        </w:tc>
        <w:tc>
          <w:tcPr>
            <w:tcW w:w="7280" w:type="dxa"/>
            <w:vAlign w:val="bottom"/>
            <w:gridSpan w:val="3"/>
          </w:tcPr>
          <w:p>
            <w:pPr>
              <w:ind w:left="600"/>
              <w:spacing w:after="0" w:line="176" w:lineRule="exact"/>
              <w:rPr>
                <w:sz w:val="20"/>
                <w:szCs w:val="20"/>
                <w:color w:val="auto"/>
              </w:rPr>
            </w:pPr>
            <w:r>
              <w:rPr>
                <w:rFonts w:ascii="Times New Roman" w:cs="Times New Roman" w:eastAsia="Times New Roman" w:hAnsi="Times New Roman"/>
                <w:sz w:val="18"/>
                <w:szCs w:val="18"/>
                <w:color w:val="auto"/>
              </w:rPr>
              <w:t>Solid tumors (licensed from Ligand Pharmaceuticals Incorporated, or Ligand) (ongoing</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JZP898</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Conditionally-activated IFNα INDUKINE™ molecule in solid tumors (ongoing trial)</w:t>
            </w: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280" w:type="dxa"/>
            <w:vAlign w:val="bottom"/>
            <w:gridSpan w:val="3"/>
          </w:tcPr>
          <w:p>
            <w:pPr>
              <w:ind w:left="600"/>
              <w:spacing w:after="0" w:line="176" w:lineRule="exact"/>
              <w:rPr>
                <w:sz w:val="20"/>
                <w:szCs w:val="20"/>
                <w:color w:val="auto"/>
              </w:rPr>
            </w:pPr>
            <w:r>
              <w:rPr>
                <w:rFonts w:ascii="Times New Roman" w:cs="Times New Roman" w:eastAsia="Times New Roman" w:hAnsi="Times New Roman"/>
                <w:sz w:val="18"/>
                <w:szCs w:val="18"/>
                <w:color w:val="auto"/>
              </w:rPr>
              <w:t>Low intensity dosing for higher risk MDS (MD Anderson collaboration study) (ongoing</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KRAS inhibitor targets</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G12D selective and pan-KRAS molecules (acquired from Redx)</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Undisclosed targets</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Oncology</w:t>
            </w: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CombiPlex</w:t>
            </w:r>
            <w:r>
              <w:rPr>
                <w:rFonts w:ascii="Times New Roman" w:cs="Times New Roman" w:eastAsia="Times New Roman" w:hAnsi="Times New Roman"/>
                <w:sz w:val="23"/>
                <w:szCs w:val="23"/>
                <w:color w:val="auto"/>
                <w:vertAlign w:val="superscript"/>
              </w:rPr>
              <w:t>®</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Hematology/oncology exploratory activities</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Epidyolex</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LGS, TSC and DS (ongoing trial in Japan)</w:t>
            </w:r>
          </w:p>
        </w:tc>
      </w:tr>
      <w:tr>
        <w:trPr>
          <w:trHeight w:val="230"/>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338"/>
        </w:trPr>
        <w:tc>
          <w:tcPr>
            <w:tcW w:w="20" w:type="dxa"/>
            <w:vAlign w:val="bottom"/>
            <w:shd w:val="clear" w:color="auto" w:fill="CCEEFF"/>
          </w:tcPr>
          <w:p>
            <w:pPr>
              <w:spacing w:after="0"/>
              <w:rPr>
                <w:sz w:val="24"/>
                <w:szCs w:val="24"/>
                <w:color w:val="auto"/>
              </w:rPr>
            </w:pPr>
          </w:p>
        </w:tc>
        <w:tc>
          <w:tcPr>
            <w:tcW w:w="3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Suvecaltamide (JZP385)</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Parkinson's disease tremor (ongoing trial)</w:t>
            </w:r>
          </w:p>
        </w:tc>
      </w:tr>
      <w:tr>
        <w:trPr>
          <w:trHeight w:val="230"/>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JZP324</w:t>
            </w:r>
          </w:p>
        </w:tc>
        <w:tc>
          <w:tcPr>
            <w:tcW w:w="72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Oxybate extended-release formulation (planned trial)</w:t>
            </w: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JZP441*</w:t>
            </w: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Potent, highly selective oral orexin-2 receptor agonist (paused)</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Undisclosed targets</w:t>
            </w:r>
          </w:p>
        </w:tc>
        <w:tc>
          <w:tcPr>
            <w:tcW w:w="7280" w:type="dxa"/>
            <w:vAlign w:val="bottom"/>
            <w:gridSpan w:val="3"/>
          </w:tcPr>
          <w:p>
            <w:pPr>
              <w:ind w:left="600"/>
              <w:spacing w:after="0" w:line="176" w:lineRule="exact"/>
              <w:rPr>
                <w:sz w:val="20"/>
                <w:szCs w:val="20"/>
                <w:color w:val="auto"/>
              </w:rPr>
            </w:pPr>
            <w:r>
              <w:rPr>
                <w:rFonts w:ascii="Times New Roman" w:cs="Times New Roman" w:eastAsia="Times New Roman" w:hAnsi="Times New Roman"/>
                <w:sz w:val="18"/>
                <w:szCs w:val="18"/>
                <w:color w:val="auto"/>
              </w:rPr>
              <w:t>Sleep</w:t>
            </w:r>
          </w:p>
        </w:tc>
      </w:tr>
      <w:tr>
        <w:trPr>
          <w:trHeight w:val="18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280" w:type="dxa"/>
            <w:vAlign w:val="bottom"/>
            <w:gridSpan w:val="3"/>
          </w:tcPr>
          <w:p>
            <w:pPr>
              <w:ind w:left="600"/>
              <w:spacing w:after="0" w:line="184" w:lineRule="exact"/>
              <w:rPr>
                <w:sz w:val="20"/>
                <w:szCs w:val="20"/>
                <w:color w:val="auto"/>
              </w:rPr>
            </w:pPr>
            <w:r>
              <w:rPr>
                <w:rFonts w:ascii="Times New Roman" w:cs="Times New Roman" w:eastAsia="Times New Roman" w:hAnsi="Times New Roman"/>
                <w:sz w:val="18"/>
                <w:szCs w:val="18"/>
                <w:color w:val="auto"/>
              </w:rPr>
              <w:t>Epilepsy</w:t>
            </w: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Other Neuroscience</w:t>
            </w:r>
          </w:p>
        </w:tc>
      </w:tr>
      <w:tr>
        <w:trPr>
          <w:trHeight w:val="418"/>
        </w:trPr>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*Also known as DSP-0187</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r>
    </w:tbl>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Challenges, Risks and Trends Related to Our Business</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Our operating plan assumes that Xywav, with 92% lower sodium compared to high-sodium oxybates, depending on the dose, absence of a sodium warning and dosing titration option, will remain the treatment of choice for patients who can benefit from oxybate treatment. In June 2021, FDA recognized seven years of ODE for Xywav in narcolepsy through July 21, 2027,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w:t>
      </w:r>
    </w:p>
    <w:p>
      <w:pPr>
        <w:spacing w:after="0" w:line="75"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Xywav will depend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p>
    <w:p>
      <w:pPr>
        <w:spacing w:after="0" w:line="7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Xywav and Xyrem face competition from a branded product for treatment of cataplexy and/or EDS in narcolepsy. Avadel’s Lumryz was launched in the U.S. market in June 2023. On June 22, 2023, we filed a complaint in the United States</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District Court for the District of Columbia seeking a declaration that FDA’s approval of the New Drug Application, or NDA, for Avadel's Lumryz was unlawful. In the complaint, we allege that FDA acted outside its authority under the Orphan Drug Act, when, despite ODE protecting Xywav, FDA approved the Lumryz NDA and granted Lumryz ODE based on FDA’s finding that Lumryz makes a major contribution to patient care and is therefore clinically superior to Xywav and Xyrem. We cannot at this time predict the timing or ultimate outcome of this litigation or the impact of this litigation on our business.</w:t>
      </w:r>
    </w:p>
    <w:p>
      <w:pPr>
        <w:spacing w:after="0" w:line="75" w:lineRule="exact"/>
        <w:rPr>
          <w:sz w:val="20"/>
          <w:szCs w:val="20"/>
          <w:color w:val="auto"/>
        </w:rPr>
      </w:pPr>
    </w:p>
    <w:p>
      <w:pPr>
        <w:ind w:firstLine="445"/>
        <w:spacing w:after="0" w:line="251" w:lineRule="auto"/>
        <w:rPr>
          <w:sz w:val="20"/>
          <w:szCs w:val="20"/>
          <w:color w:val="auto"/>
        </w:rPr>
      </w:pPr>
      <w:r>
        <w:rPr>
          <w:rFonts w:ascii="Times New Roman" w:cs="Times New Roman" w:eastAsia="Times New Roman" w:hAnsi="Times New Roman"/>
          <w:sz w:val="18"/>
          <w:szCs w:val="18"/>
          <w:color w:val="auto"/>
        </w:rPr>
        <w:t>In addition, in January 2023, our oxybate products began to face competition from an authorized generic, or AG, version of high-sodium oxybate pursuant to a settlement agreement we entered into with an abbreviated new drug application, or ANDA, filer. In July 2023, a volume-limited ANDA filer launched an AG version of high-sodium oxybate. These AG products have negatively impacted and are expected to continue to negatively impact Xyrem and Xywav sales for patients with narcolepsy. Specifically, a wholly owned subsidiary of Hikma Pharmaceuticals PLC, or Hikma, launched its AG version of sodium oxybate in January 2023 and Amneal Pharmaceuticals LLC, or Amneal, launched its AG version of 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the royalty rate was fixed for the second half of 2023. There was a substantial increase in the royalty rate beginning in January 2024, which will remain fixed for the duration of the agreement's term. We are also paid for supply of the Hikma AG product and reimbursed by Hikma for a portion of the services costs associated with the operation of the Xywav and Xyrem risk evaluation and mitigation strategy, or REMS, and distribution of the Hikma AG product. We also granted Hikma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In our settlements with Amneal, Lupin Inc., or Lupin, and Par Pharmaceutical, Inc., or Par, we granted each party the right to sell a limited volume of an AG product in the U.S. beginning on July 1, 2023 and ending on December 31, 2025, with royalties to be paid to us. Amneal launched its AG version of 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w:t>
      </w:r>
    </w:p>
    <w:p>
      <w:pPr>
        <w:spacing w:after="0" w:line="98" w:lineRule="exact"/>
        <w:rPr>
          <w:sz w:val="20"/>
          <w:szCs w:val="20"/>
          <w:color w:val="auto"/>
        </w:rPr>
      </w:pPr>
    </w:p>
    <w:p>
      <w:pPr>
        <w:ind w:right="40" w:firstLine="445"/>
        <w:spacing w:after="0" w:line="270" w:lineRule="auto"/>
        <w:rPr>
          <w:sz w:val="20"/>
          <w:szCs w:val="20"/>
          <w:color w:val="auto"/>
        </w:rPr>
      </w:pPr>
      <w:r>
        <w:rPr>
          <w:rFonts w:ascii="Times New Roman" w:cs="Times New Roman" w:eastAsia="Times New Roman" w:hAnsi="Times New Roman"/>
          <w:sz w:val="17"/>
          <w:szCs w:val="17"/>
          <w:color w:val="auto"/>
        </w:rPr>
        <w:t>In the future, we expect our oxybate products to continue to face competition from generic versions of high-sodium oxybate pursuant to settlement agreements we entered into with multiple ANDA filers. In addition, we received notices in June 2021 and February 2023, that Lupin and Teva, respectively, filed ANDAs for generic versions of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spacing w:after="0" w:line="6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For example, in November and December 2022, we received notices from ten ANDA filers that they have each filed with FDA an ANDA for a generic version of Epidiolex. In addition, there are non-FDA approved cannabidiol preparations being made available from companies through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state-enabled medical marijuana industry, which might attempt to compete with Epidiolex. Thus, significant uncertainty remains regarding the commercial potential of Epidiolex/Epidyolex.</w:t>
      </w:r>
    </w:p>
    <w:p>
      <w:pPr>
        <w:spacing w:after="0" w:line="54"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 addition to our neuroscience products and product candidates, we are commercializing a portfolio of oncology products, including Rylaze, Zepzelca, Defitelio and Vyxeos. An inability to effectively commercialize Rylaze, Zepzelca, Defitelio and Vyxeos and to maximize their potential where possible through successful research and development activities could have a material adverse effect on our business, financial condition, results of operations and growth prospects.</w:t>
      </w:r>
    </w:p>
    <w:p>
      <w:pPr>
        <w:spacing w:after="0" w:line="7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75"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success of the GW Acquisition will depend, in part, on our ability to realize the anticipated benefits from the combination of our and GW’s historical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For example, in the third quarter of 2022, we recorded a $133.6 million asset impairment charge as a result of the decision to discontinue the nabiximols program. As a result, the anticipated benefits of the GW Acquisition may not be realized at the expected level, within the expected timeframe or at all or may take longer to realize or cost more than expected, which could materially and adversely affect our business, financial condition, results of operations and growth prospects.</w:t>
      </w:r>
    </w:p>
    <w:p>
      <w:pPr>
        <w:spacing w:after="0" w:line="81" w:lineRule="exact"/>
        <w:rPr>
          <w:sz w:val="20"/>
          <w:szCs w:val="20"/>
          <w:color w:val="auto"/>
        </w:rPr>
      </w:pPr>
    </w:p>
    <w:p>
      <w:pPr>
        <w:ind w:firstLine="445"/>
        <w:spacing w:after="0" w:line="269" w:lineRule="auto"/>
        <w:rPr>
          <w:sz w:val="20"/>
          <w:szCs w:val="20"/>
          <w:color w:val="auto"/>
        </w:rPr>
      </w:pPr>
      <w:r>
        <w:rPr>
          <w:rFonts w:ascii="Times New Roman" w:cs="Times New Roman" w:eastAsia="Times New Roman" w:hAnsi="Times New Roman"/>
          <w:sz w:val="17"/>
          <w:szCs w:val="17"/>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71"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8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Finally,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We may also become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subject to similar investigations by other state or federal governmental agencies.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9,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95"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These risks and uncertainties are discussed in greater detail, along with other risks and uncertainties, in “Risk Factors” in Part I, Item 1A of our Annual Report on Form 10-K for the year ended December 31, 2023, as supplemented by the risks and</w:t>
      </w:r>
    </w:p>
    <w:p>
      <w:pPr>
        <w:spacing w:after="0"/>
        <w:rPr>
          <w:sz w:val="20"/>
          <w:szCs w:val="20"/>
          <w:color w:val="auto"/>
        </w:rPr>
      </w:pPr>
      <w:r>
        <w:rPr>
          <w:rFonts w:ascii="Times New Roman" w:cs="Times New Roman" w:eastAsia="Times New Roman" w:hAnsi="Times New Roman"/>
          <w:sz w:val="18"/>
          <w:szCs w:val="18"/>
          <w:color w:val="auto"/>
        </w:rPr>
        <w:t>uncertainties described in "Risk Factors" in Part II, Item 1A of our Quarterly Report on Form 10-Q for the quarter ended March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revenues and expenses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3"/>
            <w:vMerge w:val="restart"/>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340" w:type="dxa"/>
            <w:vAlign w:val="bottom"/>
            <w:gridSpan w:val="3"/>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946,987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1,831,206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20" w:type="dxa"/>
            <w:vAlign w:val="bottom"/>
          </w:tcPr>
          <w:p>
            <w:pPr>
              <w:spacing w:after="0"/>
              <w:rPr>
                <w:sz w:val="19"/>
                <w:szCs w:val="19"/>
                <w:color w:val="auto"/>
              </w:rPr>
            </w:pPr>
          </w:p>
        </w:tc>
        <w:tc>
          <w:tcPr>
            <w:tcW w:w="14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N/A(1)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 sales (excluding amortization of</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technologies)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226,181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638,761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398,648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152,062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net product sales, royalties and contract revenues, and total revenues (in thousands, except percentages):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3"/>
                <w:szCs w:val="13"/>
                <w:color w:val="auto"/>
              </w:rPr>
            </w:pPr>
          </w:p>
        </w:tc>
        <w:tc>
          <w:tcPr>
            <w:tcW w:w="22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12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691,365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1,343,263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1,831,206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957,317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1,850,129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Comparison to prior period not meaningful.</w:t>
      </w:r>
    </w:p>
    <w:p>
      <w:pPr>
        <w:spacing w:after="0" w:line="9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Xywav product sales increased in the three and six months ended June 30, 2024, compared to the same periods in 2023, primarily due to increased sales volumes of 14% and 15% in the respective periods and, to a lesser extent, a higher selling price, offset by higher gross to net deductions. We continue to see Xywav adoption in patients 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9,925 patients taking Xywav for narcolepsy and 3,300 taking Xywav for IH, an increase of approximately 7% and 50%, respectively, compared to the same period in 2023. Xyrem product sales decreased in the three and six months ended June 30, 2024, compared to the same periods in 2023, primarily due to decreased sales volumes of 57% and 61% in the respective periods, due to high-sodium oxybate competition, the adoption of Xywav by existing Xyrem patients and higher gross to net deductions, offset by a higher selling price. Epidiolex/Epidyolex product sales increased in the three and six months ended June 30, 2024, compared to the same periods in 2023, primarily due to increased sales volumes of 17% and 11% in the respective periods, due to increased demand and geographic expansion and a higher average selling price.</w:t>
      </w:r>
    </w:p>
    <w:p>
      <w:pPr>
        <w:spacing w:after="0" w:line="86"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Rylaze/Enrylaze product sales increased in the three months ended June 30, 2024, compared to the same period in 2023, primarily due to a higher average selling price. Rylaze/Enrylaze product sales increased in the six months ended June 30, 2024, compared to the same period in 2023, primarily due to increased sales volumes of 11% and a higher average selling price. Rylaze demand is driven by widespread adoption in pediatric asparaginase-based oncology protocols in the U.S. and adoption of the Monday/Wednesday/Friday dosing regimen. Zepzelca product sales increased in the three and six months ended June 30, 2024, compared to the same periods in 2023, due to increased sales volumes and a higher average selling price, offset by higher gross to net deductions. Defitelio/defibrotide product sales decreased in the three months ended June 30, 2024, compared to the same period in 2023, primarily due to decreased sales volumes offset by a higher average selling price. Defitelio/defibrotide product sales increased in the six months ended June 30, 2024, compared to the same period in 2023, primarily due to a higher average selling price, offset by decreased sales volumes. Vyxeos product sales increased in the three months ended June 30, 2024, compared to the same period in 2023, primarily due to an increase in sales volumes and lower gross to net deductions, offset by a lower average selling price due to regional mix. Vyxeos product sales increased in the six months ended June 30, 2024, compared to the same period in 2023, primarily due to an increase in sales volumes, partially offset by a lower average selling price due to regional mix and higher gross to net deductions.</w:t>
      </w:r>
    </w:p>
    <w:p>
      <w:pPr>
        <w:spacing w:after="0" w:line="82"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We expect total product sales will increase in 2024 over 2023, primarily due to our key growth drivers; Xywav, through continued growth in the IH market, Epidiolex through growth in current markets and expansion into new markets and Rylaze through demand, offset by a decrease in sales of Xyrem due to the impact of high-sodium oxybate competition and continued Xywav adoption.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 and Contract Revenues</w:t>
      </w:r>
    </w:p>
    <w:p>
      <w:pPr>
        <w:spacing w:after="0" w:line="119"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Royalties and contract revenues increased in the three and six months ended June 30, 2024, compared to the same periods in 2023, primarily due to royalty revenue received from Hikma Pharmaceuticals plc on net sales of their high sodium</w:t>
      </w:r>
    </w:p>
    <w:p>
      <w:pPr>
        <w:ind w:right="80"/>
        <w:spacing w:after="0" w:line="260" w:lineRule="auto"/>
        <w:rPr>
          <w:sz w:val="20"/>
          <w:szCs w:val="20"/>
          <w:color w:val="auto"/>
        </w:rPr>
      </w:pPr>
      <w:r>
        <w:rPr>
          <w:rFonts w:ascii="Times New Roman" w:cs="Times New Roman" w:eastAsia="Times New Roman" w:hAnsi="Times New Roman"/>
          <w:sz w:val="18"/>
          <w:szCs w:val="18"/>
          <w:color w:val="auto"/>
        </w:rPr>
        <w:t>oxybate AG. We expect royalties and contract revenues to increase in 2024 compared to 2023, primarily due to increased royalty revenues arising from net sales of high-sodium oxybate AG, primarily due to higher royalty rates in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Cost of product sales increased in the three months ended June 30, 2024, compared to the same period in 2023, primarily due to an increase in the acquisition accounting inventory fair value step-up expense, or fair value step-up expense, and changes in product mix. Cost of product sales decreased in the six months ended June 30, 2024, compared to the same period in 2023, primarily due to a reduction in the fair value step-up expense. Gross margin as a percentage of net product sales was 88.6% for the three and six months ended June 30, 2024 compared to 89.7% and 87.6% for the same periods in 2023. We expect our cost of product sales to increase in 2024 compared to 2023, primarily driven by a change in product mix.</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40" w:firstLine="445"/>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2024, decreased compared to the same period in 2023, primarily due to costs related to program terminations of $23.5 million incurred in the three months ended June 30, 2023, partially offset by increased investment in our priority programs including higher marketing expense of $10.8 million. Selling, general and administrative expenses for the six months ended</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June 30, 2024, increased compared to the same period in 2023, primarily due to an increase in compensation-related expenses of $21.4 million primarily driven by higher headcount in support of our key growth drivers, increased marketing investment in our priority programs of $20.5 million offset by costs related to program terminations of $23.5 million incurred in the six months ended June 30, 2023.</w:t>
      </w:r>
    </w:p>
    <w:p>
      <w:pPr>
        <w:spacing w:after="0" w:line="7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For 2024, we expect selling, general and administrative expenses in 2024 to increase compared to 2023, primarily due to continued investment in our key growth drivers, such as Xywav in IH, Epidiolex and Rylaze along with increased employee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breakout of our research and development expenses by major categories of expense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6"/>
        </w:trPr>
        <w:tc>
          <w:tcPr>
            <w:tcW w:w="5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studies and outside services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126,490</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expense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firstLine="445"/>
        <w:spacing w:after="0" w:line="281" w:lineRule="auto"/>
        <w:rPr>
          <w:sz w:val="20"/>
          <w:szCs w:val="20"/>
          <w:color w:val="auto"/>
        </w:rPr>
      </w:pPr>
      <w:r>
        <w:rPr>
          <w:rFonts w:ascii="Times New Roman" w:cs="Times New Roman" w:eastAsia="Times New Roman" w:hAnsi="Times New Roman"/>
          <w:sz w:val="17"/>
          <w:szCs w:val="17"/>
          <w:color w:val="auto"/>
        </w:rPr>
        <w:t>Research and development expenses increased by $11.5 million and $44.9 million in the three and six months ended June 30, 2024, compared to the same periods in 2023. Clinical studies and outside services costs increased in the three and six months ended June 30, 2024, compared to the same periods in 2023, primarily due to higher costs related to zanidatamab programs. Personnel expenses increased in the three and six months ended June 30, 2024, compared to the same periods in 2023, primarily driven by increased compensation costs and higher headcount in support of our development programs.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For 2024, we expect that our research and development expenses will continue to increase compared to 2023, as we prepare for anticipated data read-outs from clinical trials, initiate and undertake additional clinical trials and related development work primarily relating to zanidatamab.</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11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Intangible asset amortization increased in the three and six months ended June 30, 2024, compared to the same periods in 2023, primarily due to the impact of foreign currency translation adjustments. Intangible asset amortization for 2024 is expected to be in line with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Acquired in-process research and development, or IPR&amp;D, expense in the six months ended June 30, 2024, related to the upfront payment</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of $10.0 million made in connection with our asset purchase and collaboration agreement with Redx to acquire global rights to the Kirsten rat sarcoma virus, or KRAS, Inhibitor Program.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Interest expense, net decreased by $11.4 million and $19.5 million in the three and six months ended June 30, 2024, compared to the same periods in 2023, primarily driven by higher interest income on investments. We expect interest expense, net to decrease in 2024 compared to 2023, primarily due to higher interest income as a result of higher interest rates on our deposits and lower interest expense following the repricing of the seven-year $3.1 billion term loan B facility, or the Dollar Term Loan. For further information on this please refer to Liquidity and Capital Resources.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119" w:lineRule="exact"/>
        <w:rPr>
          <w:sz w:val="20"/>
          <w:szCs w:val="20"/>
          <w:color w:val="auto"/>
        </w:rPr>
      </w:pPr>
    </w:p>
    <w:p>
      <w:pPr>
        <w:ind w:right="540" w:firstLine="445"/>
        <w:spacing w:after="0" w:line="266" w:lineRule="auto"/>
        <w:rPr>
          <w:sz w:val="20"/>
          <w:szCs w:val="20"/>
          <w:color w:val="auto"/>
        </w:rPr>
      </w:pPr>
      <w:r>
        <w:rPr>
          <w:rFonts w:ascii="Times New Roman" w:cs="Times New Roman" w:eastAsia="Times New Roman" w:hAnsi="Times New Roman"/>
          <w:sz w:val="18"/>
          <w:szCs w:val="18"/>
          <w:color w:val="auto"/>
        </w:rPr>
        <w:t>The foreign exchange (gain) loss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income tax benefit was $30.7 million and $19.0 million for the three and six months ended June 30, 2024, respectively,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 million and $39.6 million for the same periods in 2023, relating to tax arising on income or losses in Ireland, the U.K., the U.S. and certain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jurisdictions and tax deficiencies from share based compensation, offset by deductions on subsidiary equity, foreign derived intangible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and tax credits.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As of June 30, 2024, we had cash, cash equivalents and investments of $2.0 billion, borrowing availability under our five-year $500.0 million revolving credit facility, or the Revolving Credit Facility, of $500.0 million and long-term debt principal balance of $5.8 billion. Our long-term debt included $2.7 billion aggregate principal amount of the Dollar Term Loan, $1.5 billion in aggregate principal amount of 4.375% senior secured notes, due 2029, or the Secured Notes, $1.0 billion principal amount on our 2.00% exchangeable senior notes due 2026, or 2026 Notes, and $575.0 million principal amount on our 1.50% exchangeable senior notes due 2024. We generated cash flows from operations of $598.6 million during the six months ended June 30, 2024, and we expect to continue to generate positive cash flows from operations which will enable us to operate our business and de-lever our balance sheet over time.</w:t>
      </w:r>
    </w:p>
    <w:p>
      <w:pPr>
        <w:spacing w:after="0" w:line="81"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Since the closing of the acquisition of GW in May 2021, we have fully repaid our Euro Term Loan of €625.0 million, or $753.0 million, and made voluntary and mandatory repayments of $300.0 million and $93.0 million, respectively, relating to the Dollar Term Loan.</w:t>
      </w:r>
    </w:p>
    <w:p>
      <w:pPr>
        <w:spacing w:after="0" w:line="54" w:lineRule="exact"/>
        <w:rPr>
          <w:sz w:val="20"/>
          <w:szCs w:val="20"/>
          <w:color w:val="auto"/>
        </w:rPr>
      </w:pPr>
    </w:p>
    <w:p>
      <w:pPr>
        <w:ind w:right="200" w:firstLine="445"/>
        <w:spacing w:after="0" w:line="219" w:lineRule="exact"/>
        <w:rPr>
          <w:sz w:val="20"/>
          <w:szCs w:val="20"/>
          <w:color w:val="auto"/>
        </w:rPr>
      </w:pPr>
      <w:r>
        <w:rPr>
          <w:rFonts w:ascii="Times New Roman" w:cs="Times New Roman" w:eastAsia="Times New Roman" w:hAnsi="Times New Roman"/>
          <w:sz w:val="18"/>
          <w:szCs w:val="18"/>
          <w:color w:val="auto"/>
        </w:rPr>
        <w:t>We have a significant amount of debt outstanding on a consolidated basis. For a more detailed description of our debt arrangements, including information relating to our scheduled maturities with respect to our long-term debt, see Note 8, Debt,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This substantial level of debt could have important consequences to our business, including, but not limited to the factors set forth in “Risk Factors” of our Annual Report on Form 10-K for the year ended December 31, 2023,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balances, cash we expect to generate from operations and funds available under our Revolving Credit Facility will be sufficient to fund our operations and to meet our existing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2023, as supplemented by the risks described in “Risk Factors" under the heading “Delays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in Part II, Item 1A of our Quarterly Report on Form 10-Q for the quarter ended March 31, 2024, as well as those factors set forth in “Risk Factors" under the heading and “To continue to grow our business, we will need to commit substantial resources, which could result in future losses or otherwise limit our opportunities or affect our ability to operate and grow our business” in Part I, Item 1A of our Annual Report on Form 10-K for the year ended December 31, 2023.</w:t>
      </w:r>
    </w:p>
    <w:p>
      <w:pPr>
        <w:spacing w:after="0" w:line="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68" w:lineRule="exact"/>
        <w:rPr>
          <w:sz w:val="20"/>
          <w:szCs w:val="20"/>
          <w:color w:val="auto"/>
        </w:rPr>
      </w:pPr>
    </w:p>
    <w:p>
      <w:pPr>
        <w:ind w:right="80" w:firstLine="445"/>
        <w:spacing w:after="0" w:line="251"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2024, our shareholders voted to approve our proposal to dis-apply the statutory pre-emption obligation. This current pre-emption opt-out authority is due to expire in</w:t>
      </w:r>
    </w:p>
    <w:p>
      <w:pPr>
        <w:spacing w:after="0" w:line="1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January 2026.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our credit agreement, or the Credit Agreement, that provides for (i) the Dollar Term Loan, (ii) the Euro Term Loan and, together with the Dollar Term Loan, collectively known as the Term Loan and (iii) the Revolving Credit Facility, and the indenture for the Secured Notes for certain financings.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In November 2016, our board of directors authorized a share repurchase program and as of June 30, 2024,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May 2021 credit agreement, corporate and regulatory requirements and market conditions. The share repurchase program may be modified, suspended or discontinued at any time without prior notice. During the three and six months ended June 30, 2024, we spent a total of $161.4 million to purchase 1.5 million of our ordinary shares under the share repurchase program at an average total purchase price, including commissions, of $110.75 per share. During the three and six months ended June 30, 2023, we spent a total of $95.6 million to purchase 0.8 million of our ordinary shares under the share repurchase program at an average total purchase price, including commissions, of $126.37 per share. All ordinary shares repurchased were cancelled. As of June 30, 2024, the remaining amount authorized under the share repurchase program was $47,475, exclusive of any brokerage commissions.</w:t>
      </w:r>
    </w:p>
    <w:p>
      <w:pPr>
        <w:spacing w:after="0" w:line="86"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In July 2024, our board of directors authorized a new share repurchase authorization to repurchase ordinary shares having an aggregate purchase price of $500 million, exclusive of any brokerage commissions.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 (in thousands):</w:t>
      </w:r>
    </w:p>
    <w:p>
      <w:pPr>
        <w:spacing w:after="0" w:line="15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617,473</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(126,455)</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400,822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 in the six months ended June 30, 2024, was broadly in line with the same period in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$438.4 million in the six months ended June 30, 2024, compared to the same period in 2023, primarily due to the following:</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$425.0 million net increase in the acquisition of investments, driven by time deposits;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upfront payment to Redx related to our asset purchase and collaboration agreement in the six months ended June 30,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$91.2 million in the six months ended June 30, 2024, compared to the same period in 2023, primarily due to:</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$65.8 million in share repurchases;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$20.7 million in proceeds from employee equity incentive and purchase plans.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summary of our outstanding indebtedness and scheduled maturities with respect to our long-term debt principal balances is included in Note 8, Debt, of the Notes to Condensed Consolidated Financial Statements included in Part I, Item 1 of this Quarterly Report on Form 10-Q. In January and July 2024, we entered into amendments to the Credit Agreement, as described below. In July 2024, we made an irrevocable election to fix the settlement method for exchanges of the 2026 Notes and, as a result, an exchanging noteholder will receive (i) up to $1,000 in cash per $1,000 principal amount of the 2026 Notes and (ii) any combination of cash and/or ordinary shares of the Company, for any exchange consideration in excess of $1,000 per $1,000 principal amount of the 2026 Notes. During the six months ended June 30, 2024, there were no other changes to our financing arrangements, as set forth in Note 12, Debt, of the Notes to Consolidated Financial Statements included in our Annual Report on Form 10-K for the year ended December 31, 2023.</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On May 5, 2021, the Company, Jazz Financing Lux S.à.r.l., or Jazz Lux, and certain of our other subsidiaries, as borrowers, or, collectively with the Company and Jazz Lux, the “Borrowers”, entered into the Credit Agreement by and among the Borrowers, the lenders and issuing banks from time to time party thereto, Bank of America, N.A., as administrative agent and U.S. Bank Trust Company, National Association, as collateral trustee, or the Credit Agreement, that provided for (i) the Dollar Term Loan which was drawn by Jazz Lux on the Closing Date in U.S. dollars (ii) the Euro Term Loan which was drawn by Jazz Lux on the Closing Date in Euros and (iii) the Revolving Credit Facility.</w:t>
      </w:r>
    </w:p>
    <w:p>
      <w:pPr>
        <w:spacing w:after="0" w:line="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January 2024, Jazz Lux entered into an amendment, or Repricing Amendment No.1, to the Credit Agreement. Upon entry into the Repricing Amendment No.1, certain existing lenders converted outstanding Dollar Term Loan into a new tranche of U.S. dollar term loans, or the Tranche B-1 Dollar Term Loans, and Jazz Lux borrowed $201.9 million aggregate principal amount of additional Tranche B-1 Dollar Term Loans, the proceeds of which were used to repay the outstanding Dollar Term Loan that were not converted.</w:t>
      </w:r>
    </w:p>
    <w:p>
      <w:pPr>
        <w:spacing w:after="0" w:line="7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July 2024, Jazz Lux entered into an amendment, or Repricing Amendment No. 2, to the Credit Agreement, or the Amended Credit Agreement. Upon entry into the Amended Credit Agreement, certain existing lenders converted the outstanding Tranche B-1 Dollar Term Loans into a new tranche of U.S. dollar term loans, or the Tranche B-2 Dollar Term Loans, and Jazz Lux borrowed $289.6 million aggregate principal amount of additional Tranche B-2 Dollar Term Loans, the proceeds of which were used to repay the outstanding Tranche B-1 Dollar Term Loans that were not converted.</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Tranche B-2 Dollar Term Loans are a separate class of term loans under the Amended Credit Agreement with the same material terms (including with respect to maturity, prepayment, security, covenants and events of default) as the previously outstanding Tranche B-1 Dollar Term Loans and the initial Dollar Term Loans incurred on May 5, 2021, with the interest rate amended as described below and the removal of the credit spread adjustment.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75"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of 75 basis points from the applicable margin on the Tranche B-1 Dollar Term Loans. The Tranche B-2 Dollar Term Loan is subject to a Term SOFR floor of 0.50%. As of June 30, 2024, the interest rate and effective interest rate on the Tranche B-1 Dollar Term Loans were 8.46% and 9.04%, respectively. At the closing of Repricing Amendment No. 2, the interest rate and effective interest rate on the Tranche B-2 Dollar Term Loans were 7.59% and 8.27%, respectively. The Tranche B-2 Dollar Term Loans will amortize in quarterly installments equal to 0.286294791% of the initial aggregate principal amount thereof, with the remaining balance payable on May 5, 2028.</w:t>
      </w:r>
    </w:p>
    <w:p>
      <w:pPr>
        <w:spacing w:after="0" w:line="8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applicable margin for the Revolving Credit Facility ranges from 3.25% to 2.75% (in the case of Term SOFR borrowings) and 2.25% to 1.75% (in the case of borrowings at the prime lending rate), depending on our first lien secured net leverage ratio level, any loans under the Revolving Credit Facility are not subject to a Term SOFR floor. The Revolving Credit Facility has a commitment fee payable on the undrawn amount ranging from 0.50% to 0.40% per annum based upon our first lien secured net leverage ratio. As of June 30, 2024, we had an undrawn Revolving Credit Facility totaling $500.0 million.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600" w:firstLine="44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there were no material changes to our contractual obligations as set forth in Part II, Item 7 “Management’s Discussion and Analysis of Financial Condition and Results of Operations” in our Annual Report on Form 10-K for the year ended December 31, 2023.</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43" w:lineRule="exact"/>
        <w:rPr>
          <w:sz w:val="20"/>
          <w:szCs w:val="20"/>
          <w:color w:val="auto"/>
        </w:rPr>
      </w:pPr>
    </w:p>
    <w:p>
      <w:pPr>
        <w:ind w:right="300" w:firstLine="445"/>
        <w:spacing w:after="0" w:line="245" w:lineRule="exact"/>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80" w:lineRule="exact"/>
        <w:rPr>
          <w:sz w:val="20"/>
          <w:szCs w:val="20"/>
          <w:color w:val="auto"/>
        </w:rPr>
      </w:pPr>
    </w:p>
    <w:p>
      <w:pPr>
        <w:ind w:right="100" w:firstLine="445"/>
        <w:spacing w:after="0" w:line="22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known and unknown risks, uncertainties and other factors include, without limitation:</w:t>
      </w:r>
    </w:p>
    <w:p>
      <w:pPr>
        <w:spacing w:after="0" w:line="90" w:lineRule="exact"/>
        <w:rPr>
          <w:sz w:val="20"/>
          <w:szCs w:val="20"/>
          <w:color w:val="auto"/>
        </w:rPr>
      </w:pPr>
    </w:p>
    <w:p>
      <w:pPr>
        <w:ind w:left="660" w:right="4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revenues from our oxybate franchise together with high-sodium oxybate AG royalty revenue would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in the U.S. market that compete with, or otherwise disrupt the market for, our oxybate products and product candidates has adversely affected and may continue to adversely affect sales of our oxybate products and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 sale of our oxybate products are subject to significant regulatory restrictions, including the requirements of a risk evaluation and mitigation strategy and safety reporting requirements, and these regulatory and safety requirements subject us to risks and uncertainties, any of which could negatively impact sales of Xywav and Xyrem.</w:t>
      </w:r>
    </w:p>
    <w:p>
      <w:pPr>
        <w:spacing w:after="0" w:line="6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Xywav and Epidiolex/Epidyolex to remain our largest products, our success also depends on our ability to effectively commercialize our other existing products and potential future products.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53"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as they consolidate and gain negotiating leverage, we may be required to pay rebates or other discounts or other restrictions to reimbursement, either of which could diminish our sales or adversely affect our ability to sell our products profitably.</w:t>
      </w:r>
    </w:p>
    <w:p>
      <w:pPr>
        <w:spacing w:after="0" w:line="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access, coverage and reimbursement, the commercial success of our products depends upon their market acceptance by physicians, patients, third party payors and the medical community.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0" w:hanging="328"/>
        <w:spacing w:after="0" w:line="312"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1" w:lineRule="exact"/>
        <w:rPr>
          <w:rFonts w:ascii="Times New Roman" w:cs="Times New Roman" w:eastAsia="Times New Roman" w:hAnsi="Times New Roman"/>
          <w:sz w:val="17"/>
          <w:szCs w:val="17"/>
          <w:color w:val="auto"/>
        </w:rPr>
      </w:pPr>
    </w:p>
    <w:p>
      <w:pPr>
        <w:ind w:left="660" w:right="7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data security breaches could adversely affect our business.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54"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2023, as supplemented by the risks and uncertainties described in "Risk Factors" Part II, Item 1A.in our Quarterly Report on Form 10-Q for the quarter ended March 31, 2024.</w:t>
      </w:r>
    </w:p>
    <w:p>
      <w:pPr>
        <w:spacing w:after="0" w:line="68" w:lineRule="exact"/>
        <w:rPr>
          <w:sz w:val="20"/>
          <w:szCs w:val="20"/>
          <w:color w:val="auto"/>
        </w:rPr>
      </w:pPr>
    </w:p>
    <w:p>
      <w:pPr>
        <w:ind w:right="80" w:firstLine="445"/>
        <w:spacing w:after="0" w:line="219" w:lineRule="exact"/>
        <w:rPr>
          <w:sz w:val="20"/>
          <w:szCs w:val="20"/>
          <w:color w:val="auto"/>
        </w:rPr>
      </w:pPr>
      <w:r>
        <w:rPr>
          <w:rFonts w:ascii="Times New Roman" w:cs="Times New Roman" w:eastAsia="Times New Roman" w:hAnsi="Times New Roman"/>
          <w:sz w:val="18"/>
          <w:szCs w:val="18"/>
          <w:color w:val="auto"/>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960" w:firstLine="445"/>
        <w:spacing w:after="0" w:line="312" w:lineRule="auto"/>
        <w:rPr>
          <w:sz w:val="20"/>
          <w:szCs w:val="20"/>
          <w:color w:val="auto"/>
        </w:rPr>
      </w:pPr>
      <w:r>
        <w:rPr>
          <w:rFonts w:ascii="Times New Roman" w:cs="Times New Roman" w:eastAsia="Times New Roman" w:hAnsi="Times New Roman"/>
          <w:sz w:val="17"/>
          <w:szCs w:val="17"/>
          <w:color w:val="auto"/>
        </w:rPr>
        <w:t>During the six months ended June 30, 2024, there were no material changes to our market risk disclosures as set forth in Part II, Item 7A “Quantitative and Qualitative Disclosures About Market Risk”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300" w:firstLine="445"/>
        <w:spacing w:after="0" w:line="221" w:lineRule="exact"/>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We have carried out an evaluation under the supervision and with the participation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principal executive officer and principal financial officer, of our disclosure controls and procedures (as defined in Rule 13a-15(e) and 15d-15(e)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their evaluation, our principal executive officer and principal financial officer concluded that our disclosure controls and procedures were effective as of June 30, 2024.</w:t>
      </w:r>
    </w:p>
    <w:p>
      <w:pPr>
        <w:spacing w:after="0" w:line="89"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Limitations on the Effectiveness of Controls</w:t>
      </w:r>
      <w:r>
        <w:rPr>
          <w:rFonts w:ascii="Times New Roman" w:cs="Times New Roman" w:eastAsia="Times New Roman" w:hAnsi="Times New Roman"/>
          <w:sz w:val="18"/>
          <w:szCs w:val="18"/>
          <w:color w:val="auto"/>
        </w:rPr>
        <w:t>. A control system, no matter how well conceived and operated, can provide only reasonable,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74" w:lineRule="exact"/>
        <w:rPr>
          <w:sz w:val="20"/>
          <w:szCs w:val="20"/>
          <w:color w:val="auto"/>
        </w:rPr>
      </w:pPr>
    </w:p>
    <w:p>
      <w:pPr>
        <w:ind w:right="2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June 30, 2024, there were no changes to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780" w:firstLine="445"/>
        <w:spacing w:after="0" w:line="239" w:lineRule="exact"/>
        <w:rPr>
          <w:sz w:val="20"/>
          <w:szCs w:val="20"/>
          <w:color w:val="auto"/>
        </w:rPr>
      </w:pPr>
      <w:r>
        <w:rPr>
          <w:rFonts w:ascii="Times New Roman" w:cs="Times New Roman" w:eastAsia="Times New Roman" w:hAnsi="Times New Roman"/>
          <w:sz w:val="18"/>
          <w:szCs w:val="18"/>
          <w:color w:val="auto"/>
        </w:rPr>
        <w:t>The information required to be set forth under this Item 1 is incorporated by reference to Note 9,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35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in our Annual Report on Form 10-K for the year ended December 31, 2023 and our Quarterly Report on Form 10-Q for the quarter ended March 31, 2024.</w:t>
      </w:r>
    </w:p>
    <w:p>
      <w:pPr>
        <w:spacing w:after="0" w:line="29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purchases of our ordinary shares made by or on behalf of us or any of our “affiliated purchasers”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Securities Exchange Act of 1934, as amended, during each fiscal month during the three-month period ended June 30,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(or</w:t>
            </w:r>
          </w:p>
        </w:tc>
      </w:tr>
      <w:tr>
        <w:trPr>
          <w:trHeight w:val="137"/>
        </w:trPr>
        <w:tc>
          <w:tcPr>
            <w:tcW w:w="3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jc w:val="center"/>
              <w:ind w:right="19"/>
              <w:spacing w:after="0" w:line="137"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60"/>
        </w:trPr>
        <w:tc>
          <w:tcPr>
            <w:tcW w:w="3240" w:type="dxa"/>
            <w:vAlign w:val="bottom"/>
          </w:tcPr>
          <w:p>
            <w:pPr>
              <w:spacing w:after="0"/>
              <w:rPr>
                <w:sz w:val="13"/>
                <w:szCs w:val="13"/>
                <w:color w:val="auto"/>
              </w:rPr>
            </w:pPr>
          </w:p>
        </w:tc>
        <w:tc>
          <w:tcPr>
            <w:tcW w:w="1860" w:type="dxa"/>
            <w:vAlign w:val="bottom"/>
          </w:tcPr>
          <w:p>
            <w:pPr>
              <w:jc w:val="right"/>
              <w:ind w:right="11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16"/>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00" w:type="dxa"/>
            <w:vAlign w:val="bottom"/>
          </w:tcPr>
          <w:p>
            <w:pPr>
              <w:spacing w:after="0"/>
              <w:rPr>
                <w:sz w:val="13"/>
                <w:szCs w:val="13"/>
                <w:color w:val="auto"/>
              </w:rPr>
            </w:pPr>
          </w:p>
        </w:tc>
        <w:tc>
          <w:tcPr>
            <w:tcW w:w="1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3"/>
                <w:szCs w:val="13"/>
                <w:color w:val="auto"/>
              </w:rPr>
            </w:pPr>
          </w:p>
        </w:tc>
        <w:tc>
          <w:tcPr>
            <w:tcW w:w="22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r>
      <w:tr>
        <w:trPr>
          <w:trHeight w:val="196"/>
        </w:trPr>
        <w:tc>
          <w:tcPr>
            <w:tcW w:w="3240" w:type="dxa"/>
            <w:vAlign w:val="bottom"/>
          </w:tcPr>
          <w:p>
            <w:pPr>
              <w:spacing w:after="0"/>
              <w:rPr>
                <w:sz w:val="17"/>
                <w:szCs w:val="17"/>
                <w:color w:val="auto"/>
              </w:rPr>
            </w:pPr>
          </w:p>
        </w:tc>
        <w:tc>
          <w:tcPr>
            <w:tcW w:w="18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0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Under the Plans or Programs (4)</w:t>
            </w:r>
          </w:p>
        </w:tc>
      </w:tr>
      <w:tr>
        <w:trPr>
          <w:trHeight w:val="229"/>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1 - April 30,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161,447,383</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1 - May 31, 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161,447,383</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1 - June 30, 2024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00" w:type="dxa"/>
            <w:vAlign w:val="bottom"/>
            <w:shd w:val="clear" w:color="auto" w:fill="CCED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w:t>
            </w: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24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ordinary shares that we withheld in order to satisfy tax withholding requirements in connection with the vesting and release of restricted stock units. All the ordinary shares reported in this column were purchased pursuant to our publicly announced share repurchase program.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ordinary share includes brokerage commissions.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reported in the table above were purchased pursuant to our publicly announced share repurchase program. On</w:t>
      </w:r>
    </w:p>
    <w:p>
      <w:pPr>
        <w:spacing w:after="0" w:line="27" w:lineRule="exact"/>
        <w:rPr>
          <w:rFonts w:ascii="Times New Roman" w:cs="Times New Roman" w:eastAsia="Times New Roman" w:hAnsi="Times New Roman"/>
          <w:sz w:val="18"/>
          <w:szCs w:val="18"/>
          <w:color w:val="auto"/>
        </w:rPr>
      </w:pPr>
    </w:p>
    <w:p>
      <w:pPr>
        <w:ind w:left="66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8, 2016, we announced that our board of directors had authorized the use of up to $300 million to repurchase our ordinary shares. In November 2018, December 2018, and October 2019, our board of directors increased the existing share repurchase program authorization by $320.0 million, $400.0 million, and $500.0 million, respectively, thereby increasing the total amount authorized for repurchase of ordinary shares having an aggregate purchase price of up to $1.5 billion, exclusive of any brokerage commissions. Under this program, which has no expiration date, we may repurchase ordinary shares from time to time on the open market. Such repurchases may be pursuant to Rule 10b-18 or Rule 10b5-1 agreements as determined by our management and in accordance with the requirements of the Securities and Exchange Commission. The timing and amount of repurchases will depend on a variety of factors, including the price of our ordinary shares, alternative investment opportunities, restrictions under our credit agreement, corporate and regulatory requirements and market conditions. The share repurchase program may be modified, suspended or discontinued at any time without prior notice.</w:t>
      </w:r>
    </w:p>
    <w:p>
      <w:pPr>
        <w:spacing w:after="0" w:line="8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shown represents, as of the end of each period,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spacing w:after="0" w:line="75"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In July 2024, our board of directors authorized a new share repurchase program to repurchase ordinary shares having an aggregate purchase price of $500 million, exclusive of any brokerage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terms of the contracts, instructions or written plans for the purchase or sale of the Company’s securities adopted or terminated by our officers (as defined in Rule 16a-1(f) under the Securities Exchange Act of 1934, as amended) and directors during the quarter ended June 30, 2024:</w:t>
      </w:r>
    </w:p>
    <w:p>
      <w:pPr>
        <w:spacing w:after="0" w:line="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00" w:type="dxa"/>
            <w:vAlign w:val="bottom"/>
          </w:tcPr>
          <w:p>
            <w:pPr>
              <w:spacing w:after="0"/>
              <w:rPr>
                <w:sz w:val="13"/>
                <w:szCs w:val="13"/>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Ordinary Shares</w:t>
            </w:r>
          </w:p>
        </w:tc>
        <w:tc>
          <w:tcPr>
            <w:tcW w:w="0" w:type="dxa"/>
            <w:vAlign w:val="bottom"/>
          </w:tcPr>
          <w:p>
            <w:pPr>
              <w:spacing w:after="0"/>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0" w:type="dxa"/>
            <w:vAlign w:val="bottom"/>
          </w:tcPr>
          <w:p>
            <w:pPr>
              <w:spacing w:after="0"/>
              <w:rPr>
                <w:sz w:val="1"/>
                <w:szCs w:val="1"/>
                <w:color w:val="auto"/>
              </w:rPr>
            </w:pPr>
          </w:p>
        </w:tc>
      </w:tr>
      <w:tr>
        <w:trPr>
          <w:trHeight w:val="22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Cozadd</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5, 2024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114,500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firstLine="8"/>
        <w:spacing w:after="0" w:line="282" w:lineRule="auto"/>
        <w:tabs>
          <w:tab w:leader="none" w:pos="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19"/>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008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80" w:type="dxa"/>
            <w:vAlign w:val="bottom"/>
            <w:gridSpan w:val="1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80" w:type="dxa"/>
            <w:vAlign w:val="bottom"/>
            <w:gridSpan w:val="18"/>
            <w:shd w:val="clear" w:color="auto" w:fill="CCEEFF"/>
          </w:tcPr>
          <w:p>
            <w:pPr>
              <w:spacing w:after="0" w:line="203"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Transaction Agreement, dated as of February 3, 2021, by and among Jazz Pharmaceuticals UK Holdings Limited, Jazz Pharmaceuticals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Public Limited Company and GW Pharmaceuticals PLC (incorporated herein by reference to Exhibit 2.1 in Jazz Pharmaceuticals plc’s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Current Report on Form 8-K (File No. 001-33500), as filed with the SEC on February 4, 2021).</w:t>
              </w:r>
            </w:hyperlink>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8"/>
          </w:tcPr>
          <w:p>
            <w:pPr>
              <w:spacing w:after="0" w:line="18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Amended and Restated Memorandum and Articles of Association of Jazz Pharmaceuticals plc, as amended on August 4, 2016</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(incorporated herein by reference to Exhibit 3.1 in Jazz Pharmaceuticals plc’s Quarterly Report on Form 10-Q (File No. 001-</w:t>
              </w:r>
            </w:hyperlink>
          </w:p>
        </w:tc>
        <w:tc>
          <w:tcPr>
            <w:tcW w:w="980" w:type="dxa"/>
            <w:vAlign w:val="bottom"/>
            <w:gridSpan w:val="10"/>
          </w:tcPr>
          <w:p>
            <w:pPr>
              <w:spacing w:after="0" w:line="156" w:lineRule="exact"/>
              <w:rPr>
                <w:rFonts w:ascii="Times New Roman" w:cs="Times New Roman" w:eastAsia="Times New Roman" w:hAnsi="Times New Roman"/>
                <w:sz w:val="18"/>
                <w:szCs w:val="18"/>
                <w:color w:val="0000FF"/>
                <w:w w:val="93"/>
              </w:rPr>
            </w:pPr>
            <w:hyperlink r:id="rId74">
              <w:r>
                <w:rPr>
                  <w:rFonts w:ascii="Times New Roman" w:cs="Times New Roman" w:eastAsia="Times New Roman" w:hAnsi="Times New Roman"/>
                  <w:sz w:val="18"/>
                  <w:szCs w:val="18"/>
                  <w:color w:val="0000FF"/>
                  <w:w w:val="93"/>
                </w:rPr>
                <w:t>33500) for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period ended June 30, 2016, as filed with the SEC on August 9, 2016).</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Amendment No. 2, dated as of July 19, 2024, by and among Jazz Pharmaceuticals Public Limited Company the other borrowers from time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to time party thereto, the lenders and issuing banks from time to time party thereto, Bank of America, N.A., as administrative agent, and</w:t>
              </w:r>
            </w:hyperlink>
          </w:p>
        </w:tc>
        <w:tc>
          <w:tcPr>
            <w:tcW w:w="8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800" w:type="dxa"/>
            <w:vAlign w:val="bottom"/>
            <w:tcBorders>
              <w:top w:val="single" w:sz="8" w:color="0000FF"/>
              <w:bottom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U.S. Bank Trust Company, National Association, as collateral trustee (incorporated by reference to Exhibit 10.1 in Jazz Pharmaceuticals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right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100" w:type="dxa"/>
            <w:vAlign w:val="bottom"/>
            <w:tcBorders>
              <w:bottom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plc’s Current Report on Form 8-K (File No. 001-033500), as filed with the SEC on July 22, 2024).</w:t>
              </w:r>
            </w:hyperlink>
          </w:p>
        </w:tc>
        <w:tc>
          <w:tcPr>
            <w:tcW w:w="2720" w:type="dxa"/>
            <w:vAlign w:val="bottom"/>
            <w:tcBorders>
              <w:bottom w:val="single" w:sz="8" w:color="CCEEFF"/>
            </w:tcBorders>
            <w:gridSpan w:val="7"/>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Offer Letter from Jazz Pharmaceuticals, Inc. to Samantha Pearce.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180" w:type="dxa"/>
            <w:vAlign w:val="bottom"/>
            <w:tcBorders>
              <w:top w:val="single" w:sz="8" w:color="CCEEFF"/>
            </w:tcBorders>
            <w:gridSpan w:val="5"/>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240" w:type="dxa"/>
            <w:vAlign w:val="bottom"/>
            <w:gridSpan w:val="6"/>
          </w:tcPr>
          <w:p>
            <w:pPr>
              <w:spacing w:after="0"/>
              <w:rPr>
                <w:sz w:val="13"/>
                <w:szCs w:val="13"/>
                <w:color w:val="auto"/>
              </w:rPr>
            </w:pP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69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5"/>
                <w:szCs w:val="15"/>
                <w:color w:val="auto"/>
              </w:rPr>
            </w:pPr>
          </w:p>
        </w:tc>
        <w:tc>
          <w:tcPr>
            <w:tcW w:w="100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CEEFF"/>
          </w:tcPr>
          <w:p>
            <w:pPr>
              <w:spacing w:after="0"/>
              <w:rPr>
                <w:sz w:val="20"/>
                <w:szCs w:val="20"/>
                <w:color w:val="auto"/>
              </w:rPr>
            </w:pPr>
          </w:p>
        </w:tc>
        <w:tc>
          <w:tcPr>
            <w:tcW w:w="100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bl>
    <w:p>
      <w:pPr>
        <w:ind w:left="1140" w:hanging="1101"/>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w:t>
      </w:r>
    </w:p>
    <w:p>
      <w:pPr>
        <w:spacing w:after="0" w:line="25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Certain portions of this exhibit have been omitted pursuant to Item 601(b)(2) of Regulation S-K.</w:t>
      </w:r>
    </w:p>
    <w:p>
      <w:pPr>
        <w:spacing w:after="0" w:line="27" w:lineRule="exact"/>
        <w:rPr>
          <w:sz w:val="20"/>
          <w:szCs w:val="20"/>
          <w:color w:val="auto"/>
        </w:rPr>
      </w:pPr>
    </w:p>
    <w:p>
      <w:pPr>
        <w:ind w:left="500" w:right="40" w:hanging="492"/>
        <w:spacing w:after="0" w:line="234" w:lineRule="exact"/>
        <w:tabs>
          <w:tab w:leader="none" w:pos="2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JAZZ PHARMACEUTICALS PUBLIC LIMITED COMPANY</w:t>
      </w: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Bruce C. Cozadd</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Chairman and Chief Executive Officer and Director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Philip L. Johnson</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Patricia Carr</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Accounting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20"/>
          </w:cols>
          <w:pgMar w:left="320" w:top="121" w:right="8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[Jazz Pharmaceuticals Letterhead]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18,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Samantha Pearce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on File</w:t>
      </w:r>
    </w:p>
    <w:p>
      <w:pPr>
        <w:spacing w:after="0" w:line="2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Offer of Promotion to EVP, Chief Commercial Officer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Sam,</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As discussed, we are very pleased to confirm our offer to promote you to the position of EVP, Chief Commercial Officer (“</w:t>
      </w:r>
      <w:r>
        <w:rPr>
          <w:rFonts w:ascii="Times New Roman" w:cs="Times New Roman" w:eastAsia="Times New Roman" w:hAnsi="Times New Roman"/>
          <w:sz w:val="21"/>
          <w:szCs w:val="21"/>
          <w:b w:val="1"/>
          <w:bCs w:val="1"/>
          <w:color w:val="auto"/>
        </w:rPr>
        <w:t>CCO</w:t>
      </w:r>
      <w:r>
        <w:rPr>
          <w:rFonts w:ascii="Times New Roman" w:cs="Times New Roman" w:eastAsia="Times New Roman" w:hAnsi="Times New Roman"/>
          <w:sz w:val="21"/>
          <w:szCs w:val="21"/>
          <w:color w:val="auto"/>
        </w:rPr>
        <w:t>”). This letter sets out the terms of the CCO position and the terms of your employment with Jazz Pharmaceuticals, Inc. (“</w:t>
      </w:r>
      <w:r>
        <w:rPr>
          <w:rFonts w:ascii="Times New Roman" w:cs="Times New Roman" w:eastAsia="Times New Roman" w:hAnsi="Times New Roman"/>
          <w:sz w:val="21"/>
          <w:szCs w:val="21"/>
          <w:b w:val="1"/>
          <w:bCs w:val="1"/>
          <w:color w:val="auto"/>
        </w:rPr>
        <w:t>Jazz Pharmaceuticals</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will become your employing entity when you relocate to the United States.</w:t>
      </w:r>
    </w:p>
    <w:p>
      <w:pPr>
        <w:spacing w:after="0" w:line="192" w:lineRule="exact"/>
        <w:rPr>
          <w:sz w:val="20"/>
          <w:szCs w:val="20"/>
          <w:color w:val="auto"/>
        </w:rPr>
      </w:pPr>
    </w:p>
    <w:p>
      <w:pPr>
        <w:jc w:val="both"/>
        <w:ind w:firstLine="656"/>
        <w:spacing w:after="0" w:line="251" w:lineRule="auto"/>
        <w:tabs>
          <w:tab w:leader="none" w:pos="864"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Position, Relocation, and Responsibilities. </w:t>
      </w:r>
      <w:r>
        <w:rPr>
          <w:rFonts w:ascii="Times New Roman" w:cs="Times New Roman" w:eastAsia="Times New Roman" w:hAnsi="Times New Roman"/>
          <w:sz w:val="22"/>
          <w:szCs w:val="22"/>
          <w:color w:val="auto"/>
        </w:rPr>
        <w:t>Your position will be EVP, CCO, reporting to Renee Gala, President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COO. This is a full-time position with global responsibilities and is a home-based role to be located in the United States. As discussed and agreed, you will promptly relocate to the United States once you have obtained your legal right to work in the United States, and the Company is providing you with the services of our immigration counsel to aid in obtaining your L-1A Visa.</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this position, you will perform all duties and responsibilities of EVP, CCO, and you will be a member of our Executive Committee. This position will require frequent domestic and international business travel as necessary to fulfill your responsibilities. As part of your employment relationship, you agree to comply with Jazz Pharmaceuticals’ policies and procedures in effect during your employment, as well as continuing to comply with our global polices including but not limited to the Global Code of Conduct.</w:t>
      </w:r>
    </w:p>
    <w:p>
      <w:pPr>
        <w:spacing w:after="0" w:line="175" w:lineRule="exact"/>
        <w:rPr>
          <w:sz w:val="20"/>
          <w:szCs w:val="20"/>
          <w:color w:val="auto"/>
        </w:rPr>
      </w:pPr>
    </w:p>
    <w:p>
      <w:pPr>
        <w:jc w:val="both"/>
        <w:ind w:firstLine="656"/>
        <w:spacing w:after="0" w:line="252" w:lineRule="auto"/>
        <w:tabs>
          <w:tab w:leader="none" w:pos="877"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Base Salary and Annual Bonus. </w:t>
      </w:r>
      <w:r>
        <w:rPr>
          <w:rFonts w:ascii="Times New Roman" w:cs="Times New Roman" w:eastAsia="Times New Roman" w:hAnsi="Times New Roman"/>
          <w:sz w:val="22"/>
          <w:szCs w:val="22"/>
          <w:color w:val="auto"/>
        </w:rPr>
        <w:t>Your initial annual base salary rate will be $675,000, less all applicable deductions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withholdings and payable in accordance with Jazz Pharmaceuticals’ customary payroll practices. While you remain in the United Kingdom, the base salary amount will converted to GBP and paid via UK payroll, and upon your move to the U.S. you will be moved to the U.S. payroll. As an exempt employee, you will be paid on a salaried basis and you will be expected to work the number of hours required to do your job well, and you are not eligible for overtime compensation. Salary is subject to periodic review and adjustment by Jazz Pharmaceuticals, in accordance with its normal practices; we have a Company-wide performance review process that takes place early in each calendar year.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Pursuant to the Jazz Pharmaceuticals Global Cash Bonus Plan, you will be eligible for consideration of an annual bonus, and in this position, your annual bonus target will be sixty-five percent (65%) of your annual base salary rate, starting with your 2024 annual bonus. The amount of</w:t>
      </w:r>
    </w:p>
    <w:p>
      <w:pPr>
        <w:sectPr>
          <w:pgSz w:w="11900" w:h="16838" w:orient="portrait"/>
          <w:cols w:equalWidth="0" w:num="1">
            <w:col w:w="11240"/>
          </w:cols>
          <w:pgMar w:left="320" w:top="1049" w:right="339" w:bottom="1440" w:gutter="0" w:footer="0" w:header="0"/>
        </w:sectPr>
      </w:pPr>
    </w:p>
    <w:bookmarkStart w:id="55" w:name="page56"/>
    <w:bookmarkEnd w:id="55"/>
    <w:p>
      <w:pPr>
        <w:jc w:val="both"/>
        <w:spacing w:after="0" w:line="257" w:lineRule="auto"/>
        <w:rPr>
          <w:sz w:val="20"/>
          <w:szCs w:val="20"/>
          <w:color w:val="auto"/>
        </w:rPr>
      </w:pPr>
      <w:r>
        <w:rPr>
          <w:rFonts w:ascii="Times New Roman" w:cs="Times New Roman" w:eastAsia="Times New Roman" w:hAnsi="Times New Roman"/>
          <w:sz w:val="22"/>
          <w:szCs w:val="22"/>
          <w:color w:val="auto"/>
        </w:rPr>
        <w:t>your bonus will be based on the Company’s level of achievement of its annual objectives, and on your level of achievement of your objectives. Bonuses are not guaranteed, and whether there will be a bonus in any year, and the amount of any bonus, is within the discretion of the Board of Directors of Jazz Pharmaceuticals plc.</w:t>
      </w:r>
    </w:p>
    <w:p>
      <w:pPr>
        <w:spacing w:after="0" w:line="182" w:lineRule="exact"/>
        <w:rPr>
          <w:sz w:val="20"/>
          <w:szCs w:val="20"/>
          <w:color w:val="auto"/>
        </w:rPr>
      </w:pPr>
    </w:p>
    <w:p>
      <w:pPr>
        <w:jc w:val="both"/>
        <w:ind w:firstLine="656"/>
        <w:spacing w:after="0" w:line="252" w:lineRule="auto"/>
        <w:tabs>
          <w:tab w:leader="none" w:pos="891"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Benefits. </w:t>
      </w:r>
      <w:r>
        <w:rPr>
          <w:rFonts w:ascii="Times New Roman" w:cs="Times New Roman" w:eastAsia="Times New Roman" w:hAnsi="Times New Roman"/>
          <w:sz w:val="22"/>
          <w:szCs w:val="22"/>
          <w:color w:val="auto"/>
        </w:rPr>
        <w:t>Once you relocate to the United States you generally will be eligible to participate in all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benefits which are extended to other similarly-situated employees at Jazz Pharmaceuticals, including medical and dental benefits, life insurance, 401(k) plan and other benefits offered to regular employees, subject to the terms and conditions of the benefit plans. You will be eligible for paid time off and holidays in accordance with our U.S. policies, and you will continue to be deemed a participant in the Jazz Pharmaceuticals Amended and Restated Executive Change in Control and Severance Benefit Plan.</w:t>
      </w:r>
    </w:p>
    <w:p>
      <w:pPr>
        <w:spacing w:after="0" w:line="174"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864"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Award and Cash Payment. </w:t>
      </w:r>
      <w:r>
        <w:rPr>
          <w:rFonts w:ascii="Times New Roman" w:cs="Times New Roman" w:eastAsia="Times New Roman" w:hAnsi="Times New Roman"/>
          <w:sz w:val="22"/>
          <w:szCs w:val="22"/>
          <w:color w:val="auto"/>
        </w:rPr>
        <w:t>In connection with your promotion, you will receive a one-time equity award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total grant value of $1,500,000, of which $750,000 will be in the form of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and $750,000 will be in the form of Performance Stock Units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giving you a right to receive Jazz Pharmaceuticals plc ordinary shares at a future date, subject to the terms and conditions of the Jazz Pharmaceuticals plc 2011 Equity Incentive Plan, and the terms and conditions of the applicable award agreements. Your new RSUs will vest in four equal annual installments, subject to your continued employment through each vesting date. Your new PSUs will vest based on the achievement of certain pre-established financial and/or strategic performance goals as determined at the end of the applicable performance period by the Jazz Board of Directors.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RSUs and PSUs will be granted on the second trading day following the filing date of the Company’s next quarterly or annual report filed with the U.S. Securities and Exchange Commission following your start date as CCO in accordance with the Company’s Equity Incentive Grant Policy. Each of your new hire RSUs and PSUs will be converted from the dollar value shown above to a number of units based on the average closing price of Jazz plc common shares for the 30-day period ending the day prior to the grant date.</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As part of the annual compensation review, you will be eligible to receive annual equity awards subject to approval by the Compensation and Management Development Committee.</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You will be eligible for a one-time cash payment of $300,000, payable upon your relocation to the United States, and will be subject to standard U.S. payroll deductions and withholdings. You will be required to repay the cash payment to the Company if you terminate your employment within twenty-four (24) months after you receive the payment. As a condition of receiving the payment, you will need to sign a repayment agreement which the Company will provide to you.</w:t>
      </w:r>
    </w:p>
    <w:p>
      <w:pPr>
        <w:spacing w:after="0" w:line="175" w:lineRule="exact"/>
        <w:rPr>
          <w:sz w:val="20"/>
          <w:szCs w:val="20"/>
          <w:color w:val="auto"/>
        </w:rPr>
      </w:pPr>
    </w:p>
    <w:p>
      <w:pPr>
        <w:jc w:val="both"/>
        <w:ind w:firstLine="656"/>
        <w:spacing w:after="0" w:line="269" w:lineRule="auto"/>
        <w:tabs>
          <w:tab w:leader="none" w:pos="918"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Relocation Benefits. </w:t>
      </w:r>
      <w:r>
        <w:rPr>
          <w:rFonts w:ascii="Times New Roman" w:cs="Times New Roman" w:eastAsia="Times New Roman" w:hAnsi="Times New Roman"/>
          <w:sz w:val="21"/>
          <w:szCs w:val="21"/>
          <w:color w:val="auto"/>
        </w:rPr>
        <w:t>You will be eligible for our standard relocation benefits under the Jazz Pharmaceuticals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Permanent Move Policy. We will also (a) provide extended tax assistance to cover the tax years during which you remain in the EVP, CCO role, if related income and/or significant foreign tax credits remain in effect in such tax years, and (b) cover the costs to ship your household goods back to the United Kingdom at the completion of your role as EVP, CCO as long as you are in good standing as an employee within the Jazz Pharmaceuticals company group and you have not voluntarily resigned.</w:t>
      </w:r>
    </w:p>
    <w:p>
      <w:pPr>
        <w:sectPr>
          <w:pgSz w:w="11900" w:h="16838" w:orient="portrait"/>
          <w:cols w:equalWidth="0" w:num="1">
            <w:col w:w="11240"/>
          </w:cols>
          <w:pgMar w:left="320" w:top="774" w:right="339" w:bottom="1440" w:gutter="0" w:footer="0" w:header="0"/>
        </w:sectPr>
      </w:pPr>
    </w:p>
    <w:bookmarkStart w:id="56" w:name="page57"/>
    <w:bookmarkEnd w:id="56"/>
    <w:p>
      <w:pPr>
        <w:jc w:val="both"/>
        <w:ind w:firstLine="656"/>
        <w:spacing w:after="0" w:line="250" w:lineRule="auto"/>
        <w:tabs>
          <w:tab w:leader="none" w:pos="891"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 Information and Inventions Agreement, Outside Employment. </w:t>
      </w:r>
      <w:r>
        <w:rPr>
          <w:rFonts w:ascii="Times New Roman" w:cs="Times New Roman" w:eastAsia="Times New Roman" w:hAnsi="Times New Roman"/>
          <w:sz w:val="22"/>
          <w:szCs w:val="22"/>
          <w:color w:val="auto"/>
        </w:rPr>
        <w:t>To enable Jazz Pharmaceuticals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safeguard its proprietary and confidential information, you will need to sign and comply with Jazz Pharmaceuticals’ standard form of “Employee Confidential Information and Inventions Agreement.” You agree that, during your employment with Jazz Pharmaceuticals and in accordance with our Outside Employment policy, you will not engage in any business activity that competes with Jazz Pharmaceuticals, and you will notify your manager (for review and approval) if you are considering accepting or continuing outside work, including self-employment, consulting arrangements, or any roles on any outside Boards of Directors.</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877"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Status. </w:t>
      </w:r>
      <w:r>
        <w:rPr>
          <w:rFonts w:ascii="Times New Roman" w:cs="Times New Roman" w:eastAsia="Times New Roman" w:hAnsi="Times New Roman"/>
          <w:sz w:val="22"/>
          <w:szCs w:val="22"/>
          <w:color w:val="auto"/>
        </w:rPr>
        <w:t>Employment status for all employees in the United States is “at-will” status, meaning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either you or Jazz Pharmaceuticals may terminate the employment relationship at any time, with or without cause, and with or without advance notice. Due to your at-will employment status, Jazz Pharmaceuticals also retains the discretion to modify the terms and conditions of your employment (with exception of your at-will status), including but not limited to your salary, incentive compensation and benefits, as well as your job title, location, duties, responsibilities, assignments and reporting relationships. Participation in any benefit, compensation or bonus program does not change the nature of the employment relationship, which remains “at-will”.</w:t>
      </w:r>
    </w:p>
    <w:p>
      <w:pPr>
        <w:spacing w:after="0" w:line="193"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891"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Employment with Jazz Pharmaceuticals UK Limited. </w:t>
      </w:r>
      <w:r>
        <w:rPr>
          <w:rFonts w:ascii="Times New Roman" w:cs="Times New Roman" w:eastAsia="Times New Roman" w:hAnsi="Times New Roman"/>
          <w:sz w:val="22"/>
          <w:szCs w:val="22"/>
          <w:color w:val="auto"/>
        </w:rPr>
        <w:t>Your employment relationship with Jazz</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Pharmaceuticals UK Limited will terminate effective immediately prior to your commencement of employment with Jazz Pharmaceuticals, Inc., without an interruption in your service date to the Jazz Pharmaceuticals group (your original service date will remain in effect). Accordingly, your Employment Contract with Jazz Pharmaceuticals UK Limited, as amended, will terminate at that time, based on our mutual agreement and without regard to its notice period, and you will cease to be a UK employee at such time. On or promptly following termination of your UK employment relationship, you will receive payment in lieu of any accrued but untaken holiday with Jazz Pharmaceuticals UK Limited.</w:t>
      </w:r>
    </w:p>
    <w:p>
      <w:pPr>
        <w:spacing w:after="0" w:line="180" w:lineRule="exact"/>
        <w:rPr>
          <w:sz w:val="20"/>
          <w:szCs w:val="20"/>
          <w:color w:val="auto"/>
        </w:rPr>
      </w:pPr>
    </w:p>
    <w:p>
      <w:pPr>
        <w:jc w:val="both"/>
        <w:ind w:firstLine="656"/>
        <w:spacing w:after="0" w:line="252" w:lineRule="auto"/>
        <w:tabs>
          <w:tab w:leader="none" w:pos="1026"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Complete Terms for EVP, CCO Position and Agreement. </w:t>
      </w:r>
      <w:r>
        <w:rPr>
          <w:rFonts w:ascii="Times New Roman" w:cs="Times New Roman" w:eastAsia="Times New Roman" w:hAnsi="Times New Roman"/>
          <w:sz w:val="22"/>
          <w:szCs w:val="22"/>
          <w:color w:val="auto"/>
        </w:rPr>
        <w:t>This letter, including the Employee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Inventions Agreement referenced herein, contains our complete understanding and agreement regarding the terms of your promotion to EVP, CCO and your anticipated employment with Jazz Pharmaceuticals; this letter is entered into without reliance on any promise or representation, written or oral, other than those expressly contained herein, and it supersedes any other such promises, warranties or representations. There are no other, different or prior agreements or understandings on this or related subjects.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blank.]</w:t>
      </w:r>
    </w:p>
    <w:p>
      <w:pPr>
        <w:sectPr>
          <w:pgSz w:w="11900" w:h="16838" w:orient="portrait"/>
          <w:cols w:equalWidth="0" w:num="1">
            <w:col w:w="11240"/>
          </w:cols>
          <w:pgMar w:left="320" w:top="770" w:right="33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2"/>
          <w:szCs w:val="22"/>
          <w:color w:val="auto"/>
        </w:rPr>
        <w:t>Sam, we are impressed by your past accomplishments as well as your future potential in this exciting new role! To confirm your understanding and acceptance of these terms, please countersign this letter (which will be sent to you by DocuSign) within five business days.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any questions about this letter, please let me know.</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Heidi Manna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Heidi Manna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People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behalf of Jazz Pharmaceuticals, Inc., and Jazz Pharmaceuticals UK Limited (for purposes of Section 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ACCEPTANCE OF CCO POSITION: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accept the promotion to the position of EVP, Chief Commercial Officer on the terms set forth in this letter.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Samantha Pearce</w:t>
      </w:r>
    </w:p>
    <w:p>
      <w:pPr>
        <w:spacing w:after="0" w:line="24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u w:val="single" w:color="auto"/>
          <w:color w:val="auto"/>
        </w:rPr>
        <w:t>18 May 2024</w:t>
      </w:r>
    </w:p>
    <w:p>
      <w:pPr>
        <w:sectPr>
          <w:pgSz w:w="11900" w:h="16838" w:orient="portrait"/>
          <w:cols w:equalWidth="0" w:num="1">
            <w:col w:w="11240"/>
          </w:cols>
          <w:pgMar w:left="320" w:top="10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Bruce C. Cozadd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 and Director</w:t>
      </w:r>
    </w:p>
    <w:p>
      <w:pPr>
        <w:sectPr>
          <w:pgSz w:w="11900" w:h="16838" w:orient="portrait"/>
          <w:cols w:equalWidth="0" w:num="1">
            <w:col w:w="11240"/>
          </w:cols>
          <w:pgMar w:left="320" w:top="100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L. Johnson, certify that:</w:t>
      </w:r>
    </w:p>
    <w:p>
      <w:pPr>
        <w:spacing w:after="0" w:line="293"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600" w:val="left"/>
          <w:tab w:leader="none" w:pos="7880" w:val="left"/>
          <w:tab w:leader="none" w:pos="824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Philip L. Johnson</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ectPr>
          <w:pgSz w:w="11900" w:h="16838" w:orient="portrait"/>
          <w:cols w:equalWidth="0" w:num="1">
            <w:col w:w="11240"/>
          </w:cols>
          <w:pgMar w:left="320" w:top="1008"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3"/>
          <w:szCs w:val="23"/>
          <w:b w:val="1"/>
          <w:bCs w:val="1"/>
          <w:color w:val="auto"/>
          <w:vertAlign w:val="superscript"/>
        </w:rPr>
        <w:t>(1)</w:t>
      </w:r>
    </w:p>
    <w:p>
      <w:pPr>
        <w:ind w:right="20"/>
        <w:spacing w:after="0" w:line="23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Philip L. Johnson, Executive Vice President and Chief Financial Officer of the Company, each hereby certifies that, to the best of his knowledge:</w:t>
      </w:r>
    </w:p>
    <w:p>
      <w:pPr>
        <w:spacing w:after="0" w:line="266" w:lineRule="exact"/>
        <w:rPr>
          <w:sz w:val="20"/>
          <w:szCs w:val="20"/>
          <w:color w:val="auto"/>
        </w:rPr>
      </w:pPr>
    </w:p>
    <w:p>
      <w:pPr>
        <w:ind w:left="740" w:right="220" w:hanging="327"/>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32.1 (the “Periodic Report”), fully complies with the requirements of Section 13(a) or Section 15(d) of the Exchange Act; and</w:t>
      </w:r>
    </w:p>
    <w:p>
      <w:pPr>
        <w:spacing w:after="0" w:line="121"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33"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Bruce C. Cozadd</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 and Director (Principal Executive</w:t>
      </w:r>
    </w:p>
    <w:p>
      <w:pPr>
        <w:ind w:left="2200"/>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300"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150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20" w:right="80" w:hanging="331"/>
        <w:spacing w:after="0" w:line="252" w:lineRule="auto"/>
        <w:tabs>
          <w:tab w:leader="none" w:pos="4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lvl w:ilvl="1">
      <w:lvlJc w:val="left"/>
      <w:lvlText w:val="%2"/>
      <w:numFmt w:val="decimal"/>
      <w:start w:val="104"/>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2"/>
    </w:lvl>
  </w:abstractNum>
  <w:abstractNum w:abstractNumId="19">
    <w:nsid w:val="6763845E"/>
    <w:multiLevelType w:val="hybridMultilevel"/>
    <w:lvl w:ilvl="0">
      <w:lvlJc w:val="left"/>
      <w:lvlText w:val="%1."/>
      <w:numFmt w:val="decimal"/>
      <w:start w:val="3"/>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6"/>
    </w:lvl>
  </w:abstractNum>
  <w:abstractNum w:abstractNumId="22">
    <w:nsid w:val="79838CB2"/>
    <w:multiLevelType w:val="hybridMultilevel"/>
    <w:lvl w:ilvl="0">
      <w:lvlJc w:val="left"/>
      <w:lvlText w:val="%1."/>
      <w:numFmt w:val="decimal"/>
      <w:start w:val="10"/>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73" Type="http://schemas.openxmlformats.org/officeDocument/2006/relationships/hyperlink" Target="https://www.sec.gov/Archives/edgar/data/1232524/000119312521027577/d117870dex21.htm" TargetMode="External"/><Relationship Id="rId74" Type="http://schemas.openxmlformats.org/officeDocument/2006/relationships/hyperlink" Target="https://www.sec.gov/Archives/edgar/data/1232524/000123252416000303/jazzq22016ex31.htm" TargetMode="External"/><Relationship Id="rId75" Type="http://schemas.openxmlformats.org/officeDocument/2006/relationships/hyperlink" Target="https://www.sec.gov/Archives/edgar/data/1232524/000119312524181938/d81328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2024-08-01T06:44:12Z</dcterms:created>
  <dcterms:modified xsi:type="dcterms:W3CDTF">2024-08-01T06:44:12Z</dcterms:modified>
</cp:coreProperties>
</file>