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25, 2024, 63,039,618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MARCH 31,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0"/>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and December 31,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 – Three Months Ended March 31, 2024 and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Months Ended March 31, 2024 and</w:t>
            </w:r>
          </w:p>
        </w:tc>
        <w:tc>
          <w:tcPr>
            <w:tcW w:w="84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8"/>
                <w:szCs w:val="18"/>
                <w:color w:val="0000FF"/>
                <w:w w:val="88"/>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2023</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0000FF"/>
            </w:tcBorders>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 Three Months Ended March 31, 2024 and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2024 and 2023</w:t>
            </w:r>
          </w:p>
        </w:tc>
        <w:tc>
          <w:tcPr>
            <w:tcW w:w="600" w:type="dxa"/>
            <w:vAlign w:val="bottom"/>
            <w:gridSpan w:val="2"/>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00" w:type="dxa"/>
            <w:vAlign w:val="bottom"/>
            <w:gridSpan w:val="5"/>
          </w:tcPr>
          <w:p>
            <w:pPr>
              <w:spacing w:after="0"/>
              <w:rPr>
                <w:sz w:val="18"/>
                <w:szCs w:val="18"/>
                <w:color w:val="auto"/>
              </w:rPr>
            </w:pPr>
          </w:p>
        </w:tc>
        <w:tc>
          <w:tcPr>
            <w:tcW w:w="1280" w:type="dxa"/>
            <w:vAlign w:val="bottom"/>
            <w:gridSpan w:val="4"/>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48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20" w:type="dxa"/>
            <w:vAlign w:val="bottom"/>
            <w:tcBorders>
              <w:top w:val="single" w:sz="8" w:color="0000FF"/>
            </w:tcBorders>
            <w:gridSpan w:val="7"/>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798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445"/>
        <w:spacing w:after="0" w:line="222" w:lineRule="exact"/>
        <w:rPr>
          <w:sz w:val="20"/>
          <w:szCs w:val="20"/>
          <w:color w:val="auto"/>
        </w:rPr>
      </w:pPr>
      <w:r>
        <w:rPr>
          <w:rFonts w:ascii="Times New Roman" w:cs="Times New Roman" w:eastAsia="Times New Roman" w:hAnsi="Times New Roman"/>
          <w:sz w:val="18"/>
          <w:szCs w:val="18"/>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Xywav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(calcium, magnesium, potassium, and sodium oxybates) oral solution,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oral solution, Epidiolex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(cannabidiol) oral solution, Epidyolex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for Epidiolex), 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(asparaginase erwinia chrysanthemi (recombinant)-rywn), Enrylaze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and Canada for Rylaze), Zepzelca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(lurbinectedin),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sodium),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(daunorubicin and cytarabine) liposome for injection,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liposomal 44 mg/100 mg powder for concentrate for solution for infusion, CombiPlex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Sativex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705,794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3,435,428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1,536,692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878,656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3,736,997</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11,327,075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884,219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892,812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developed technologies)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297,917</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189,410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766,757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 and equity in loss of investees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69,420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62,537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73,771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145,279</w:t>
            </w:r>
          </w:p>
        </w:tc>
      </w:tr>
      <w:tr>
        <w:trPr>
          <w:trHeight w:val="27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hedging activities, net of income tax expense of $1,720 and $—, respectively</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 on cash flow hedging activities reclassified from accumulated other comprehensive income (loss) to interest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net of income tax expense of $451 and $—, respectively</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145,279</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780" w:type="dxa"/>
            <w:vAlign w:val="bottom"/>
            <w:gridSpan w:val="5"/>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760" w:type="dxa"/>
            <w:vAlign w:val="bottom"/>
            <w:vMerge w:val="restart"/>
          </w:tcPr>
          <w:p>
            <w:pPr>
              <w:jc w:val="center"/>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3,696,461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center"/>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733,586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3,511,732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(980,230)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3,335,041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69,420</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149,786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56,352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60,458</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(66,061)</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28,460</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(6,266)</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42,032</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(9,541)</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34,286</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(96,985)</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25,413</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w:t>
            </w:r>
          </w:p>
        </w:tc>
      </w:tr>
      <w:tr>
        <w:trPr>
          <w:trHeight w:val="22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320,708</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(43,266)</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21,228</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286,429</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1,506,310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881,482</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1,443,385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1,167,911</w:t>
            </w: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7" w:lineRule="exact"/>
        <w:rPr>
          <w:sz w:val="20"/>
          <w:szCs w:val="20"/>
          <w:color w:val="auto"/>
        </w:rPr>
      </w:pPr>
    </w:p>
    <w:p>
      <w:pPr>
        <w:ind w:left="740" w:right="8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 Xywav is also approved in Canada for the treatment of cataplexy in patients with narcolepsy;</w:t>
      </w:r>
    </w:p>
    <w:p>
      <w:pPr>
        <w:spacing w:after="0" w:line="71" w:lineRule="exact"/>
        <w:rPr>
          <w:rFonts w:ascii="Times New Roman" w:cs="Times New Roman" w:eastAsia="Times New Roman" w:hAnsi="Times New Roman"/>
          <w:sz w:val="18"/>
          <w:szCs w:val="18"/>
          <w:color w:val="auto"/>
        </w:rPr>
      </w:pPr>
    </w:p>
    <w:p>
      <w:pPr>
        <w:ind w:left="740" w:hanging="327"/>
        <w:spacing w:after="0" w:line="26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Xyrem (sodium oxybate) oral solution</w:t>
      </w:r>
      <w:r>
        <w:rPr>
          <w:rFonts w:ascii="Times New Roman" w:cs="Times New Roman" w:eastAsia="Times New Roman" w:hAnsi="Times New Roman"/>
          <w:sz w:val="18"/>
          <w:szCs w:val="18"/>
          <w:color w:val="auto"/>
        </w:rPr>
        <w:t>, a product approved by FDA and distributed in the U.S. for the treatment of cataplexy or EDS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 years of age or older with narcolepsy;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68" w:lineRule="exact"/>
        <w:rPr>
          <w:rFonts w:ascii="Times New Roman" w:cs="Times New Roman" w:eastAsia="Times New Roman" w:hAnsi="Times New Roman"/>
          <w:sz w:val="18"/>
          <w:szCs w:val="18"/>
          <w:color w:val="auto"/>
        </w:rPr>
      </w:pPr>
    </w:p>
    <w:p>
      <w:pPr>
        <w:ind w:left="740" w:right="6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Pharmaceuticals plc, or GW,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7" w:lineRule="exact"/>
        <w:rPr>
          <w:sz w:val="20"/>
          <w:szCs w:val="20"/>
          <w:color w:val="auto"/>
        </w:rPr>
      </w:pPr>
    </w:p>
    <w:p>
      <w:pPr>
        <w:ind w:left="740" w:right="40" w:hanging="327"/>
        <w:spacing w:after="0" w:line="282" w:lineRule="auto"/>
        <w:tabs>
          <w:tab w:leader="none" w:pos="7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European Commission granted marketing authorization for this therapy under the trade name Enrylaze; and</w:t>
      </w:r>
    </w:p>
    <w:p>
      <w:pPr>
        <w:spacing w:after="0" w:line="53" w:lineRule="exact"/>
        <w:rPr>
          <w:rFonts w:ascii="Times New Roman" w:cs="Times New Roman" w:eastAsia="Times New Roman" w:hAnsi="Times New Roman"/>
          <w:sz w:val="17"/>
          <w:szCs w:val="17"/>
          <w:color w:val="auto"/>
        </w:rPr>
      </w:pPr>
    </w:p>
    <w:p>
      <w:pPr>
        <w:ind w:left="740" w:right="40" w:hanging="327"/>
        <w:spacing w:after="0" w:line="26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445"/>
        <w:spacing w:after="0" w:line="220" w:lineRule="exact"/>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40"/>
        <w:spacing w:after="0" w:line="245" w:lineRule="exact"/>
        <w:rPr>
          <w:sz w:val="20"/>
          <w:szCs w:val="20"/>
          <w:color w:val="auto"/>
        </w:rPr>
      </w:pPr>
      <w:r>
        <w:rPr>
          <w:rFonts w:ascii="Times New Roman" w:cs="Times New Roman" w:eastAsia="Times New Roman" w:hAnsi="Times New Roman"/>
          <w:sz w:val="18"/>
          <w:szCs w:val="18"/>
          <w:color w:val="auto"/>
        </w:rPr>
        <w:t>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91"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months ended March 31, 2024, are not necessarily indicative of the results to be expected for the year ending December 31, 2024, for any other interim period or for any future period.</w:t>
      </w:r>
    </w:p>
    <w:p>
      <w:pPr>
        <w:spacing w:after="0" w:line="31" w:lineRule="exact"/>
        <w:rPr>
          <w:sz w:val="20"/>
          <w:szCs w:val="20"/>
          <w:color w:val="auto"/>
        </w:rPr>
      </w:pPr>
    </w:p>
    <w:p>
      <w:pPr>
        <w:ind w:right="12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9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and intercompany transactions and balances have been eliminated.</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or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The new guidance is not expected to have a material impact on our financial statement disclosures.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Historically, our business was substantially dependent on Xyrem and while we expect that our business will continue to meaningfully depend on oxybate revenues from both Xywav and Xyrem,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introduction of two authorized generic, or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8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 reduce our net revenue; increasing scrutiny of pharmaceutical product pricing and resulting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Epidiolex and zanidatamab, at the expected levels, with the expected costs and within the expected timeframe;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March 31, 2024, we had foreign exchange forward contracts with notional amounts totaling $537.1 million. As of March 31, 2024, the outstanding foreign exchange forward contracts had a net asset fair value of $0.4 million. As of March 31, 2024, we had interest rate swap contracts with notional amounts totaling</w:t>
      </w:r>
    </w:p>
    <w:p>
      <w:pPr>
        <w:spacing w:after="0" w:line="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$500.0 million. These outstanding interest rate swap contracts had an asset fair value of $5.5 million as of March 31, 2024. The counterparties to these contracts are large multinational commercial banks, and we believe the risk of nonperformance is not significant.</w:t>
      </w:r>
    </w:p>
    <w:p>
      <w:pPr>
        <w:spacing w:after="0" w:line="7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2024 and December 31, 2023, allowances on receivables were not material. As of March 31, 2024, five customers accounted for 78% of gross accounts receivable, including Express Scripts Specialty Distribution Services, Inc. and its affiliates, or ESSDS, which accounted for 41% of gross accounts receivable, McKesson Corporation and affiliates, or McKesson, which accounted for 12% of gross accounts receivable and ASD Specialty Healthcare LLC, or ASD, which accounted for 12% of gross accounts receivable. As of December 31, 2023, five customers accounted for 79% of gross accounts receivable, including ESSDS, which accounted for 41% of gross accounts receivable, ASD, which accounted for 13% of gross accounts receivable and McKesson, which accounted for 11% of gross accounts receivable.</w:t>
      </w:r>
    </w:p>
    <w:p>
      <w:pPr>
        <w:spacing w:after="0" w:line="84"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right="560" w:firstLine="445"/>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additional enhanced tax disclosures. The amendments are effective on a prospective basis, with the option to apply it retrospectively, for fiscal years beginning after December 15, 2024. We are currently evaluating the impact of adopting this new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1,818,385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1,818,385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1,443,385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$23.3 million and $10.6 million in the three months ended March 31, 2024 and 2023,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that were measured at fair value on a recurring basis and were categorized using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1,210,405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2024 or 2023.</w:t>
      </w:r>
    </w:p>
    <w:p>
      <w:pPr>
        <w:spacing w:after="0" w:line="11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6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estimated fair values of the 1.50% exchangeable senior notes due 2024, or 2024 Notes, the 2.00% exchangeable senior notes due 2026, or 2026 Notes, which we refer to collectively as the Exchangeable Senior Notes, the 4.375% senior secured notes, due 2029, or the Secured Notes, and the seven-year $3.1 billion term loan B facility, or the Dollar Term Loan were approximately $566 million, $1.0 billion, $1.4 billion and $2.7 billion respectively. The fair values of each of these debt facilities was estimated using quoted market prices obtained from brokers (Level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Instruments and Hedging Activities</w:t>
      </w:r>
    </w:p>
    <w:p>
      <w:pPr>
        <w:spacing w:after="0" w:line="121"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March 31, 2024 and December 31, 2023, the notional amount of foreign exchange contracts where hedge accounting is not applied was $537.1 million and $511.7 million, respectively.</w:t>
      </w:r>
    </w:p>
    <w:p>
      <w:pPr>
        <w:spacing w:after="0" w:line="75"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gain (loss) in our condensed consolidated statements of income (loss) included the following gain (losses) associated with foreign exchange contracts not designated as hedging instruments (in thousands):</w:t>
      </w:r>
    </w:p>
    <w:p>
      <w:pPr>
        <w:spacing w:after="0" w:line="8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gain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r>
    </w:tbl>
    <w:p>
      <w:pPr>
        <w:spacing w:after="0" w:line="18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March 31, 2024, the interest rate swap agreements had a notional amount of $500.0 million. As a result of these agreements, the interest rate on a portion of our term loan borrowings is fixed at 3.9086%, plus the borrowing spread, until April 30, 2026.</w:t>
      </w:r>
    </w:p>
    <w:p>
      <w:pPr>
        <w:spacing w:after="0" w:line="7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impact on accumulated other comprehensive income (loss) and earnings from derivative instruments that qualified as cash flow hedges for the three months ended March 31, 2024 was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recognized in accumulated other comprehensive income (loss),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reclassified from accumulated other comprehensive income (loss) to interest expense, net of tax</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Assuming no change in the U.S dollar Secured Overnight Financing Rate, or Term SOFR, based interest rates from market rates as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March 31, 2024, $3.7 million of gains, net of tax, recognized in accumulated other comprehensive income (loss) will be reclassified to earnings over the next 12 months.</w:t>
      </w:r>
    </w:p>
    <w:p>
      <w:pPr>
        <w:spacing w:after="0" w:line="73"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three months ended March 31, 2024 and 2023 are included within net cash provided by operating activities in the condensed consolidated statements of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2"/>
                <w:szCs w:val="12"/>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741"/>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597,039</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40" w:firstLine="445"/>
        <w:spacing w:after="0" w:line="312" w:lineRule="auto"/>
        <w:rPr>
          <w:sz w:val="20"/>
          <w:szCs w:val="20"/>
          <w:color w:val="auto"/>
        </w:rPr>
      </w:pPr>
      <w:r>
        <w:rPr>
          <w:rFonts w:ascii="Times New Roman" w:cs="Times New Roman" w:eastAsia="Times New Roman" w:hAnsi="Times New Roman"/>
          <w:sz w:val="17"/>
          <w:szCs w:val="17"/>
          <w:color w:val="auto"/>
        </w:rPr>
        <w:t>As of March 31, 2024 and December 31, 2023 inventories included $297.3 million and $328.0 million, respectively, related to the purchase accounting inventory fair value step-up on inventory acquired as part of our acquisition of GW, which we refer to as the GW Acquisition.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(13,635)</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1,739,495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2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7,743,422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5,235,496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22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7,757,873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(2,522,377)</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5,235,496</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7,800,209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(2,382,170)</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intangible assets as of March 31, 2024 compared to December 31, 2023 relates to the negative impact of foreign currency translation adjustments primarily due to the weakening of sterling against the U.S. dollar.</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March 31, 2024, and assuming the underlying assets will not be impaired and that we will not change the expected lives of the assets, future amortization expenses were estimated as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51"/>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2024 (remainder)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260" w:hanging="976"/>
        <w:spacing w:after="0"/>
        <w:tabs>
          <w:tab w:leader="none" w:pos="2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466,008</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621,344</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621,344</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621,344</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620,012</w:t>
      </w:r>
    </w:p>
    <w:p>
      <w:pPr>
        <w:spacing w:after="0" w:line="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2,285,444</w:t>
      </w:r>
    </w:p>
    <w:p>
      <w:pPr>
        <w:spacing w:after="0" w:line="31" w:lineRule="exact"/>
        <w:rPr>
          <w:sz w:val="20"/>
          <w:szCs w:val="20"/>
          <w:color w:val="auto"/>
        </w:rPr>
      </w:pPr>
    </w:p>
    <w:p>
      <w:pPr>
        <w:ind w:left="2120" w:hanging="836"/>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5,235,496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43180</wp:posOffset>
            </wp:positionV>
            <wp:extent cx="1045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ind w:left="18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25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5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22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3"/>
                <w:szCs w:val="2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 for income taxes on intercompany profit</w:t>
            </w:r>
          </w:p>
        </w:tc>
        <w:tc>
          <w:tcPr>
            <w:tcW w:w="25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facilities expenses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3"/>
                <w:szCs w:val="2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993,600</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1,480,214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2,665,174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5,710,486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5,712,942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5,105,111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1" w:lineRule="auto"/>
        <w:rPr>
          <w:sz w:val="20"/>
          <w:szCs w:val="20"/>
          <w:color w:val="auto"/>
        </w:rPr>
      </w:pPr>
      <w:r>
        <w:rPr>
          <w:rFonts w:ascii="Times New Roman" w:cs="Times New Roman" w:eastAsia="Times New Roman" w:hAnsi="Times New Roman"/>
          <w:sz w:val="18"/>
          <w:szCs w:val="18"/>
          <w:color w:val="auto"/>
        </w:rPr>
        <w:t>In January 2024, Jazz Lux entered into an amendment, or Repricing Amendment, to the Credit Agreement. Upon entry into the Repricing Amendment, certain existing lenders converted outstanding Dollar Term Loans into a new tranche of U.S. dollar term loans, or the Tranche B-1 Dollar Term Loans, and Jazz Lux borrowed $201.9 million aggregate principal amount of additional Tranche B-1 Dollar Term Loans, the proceeds of which were used to repay the outstanding Dollar Term Loans that were not converted. The Tranche B-1 Dollar Term Loans are a separate class of term loans under the Credit Agreement with the same material terms (including with respect to maturity, prepayment, security, covenants and events of default) as the previously outstanding Dollar Term Loans, with the interest rate amended as described below. The principal amount of Dollar Term Loans outstanding immediately prior to the Repricing Amendment and the outstanding principal amount of Tranche B-1 Dollar Term Loans immediately following the Repricing Amendment, each totaled $2.723 billion. The Tranche B-1 Dollar Term Loans bear interest at a rate equal to either (a) Term SOFR, or (b) the prime lending rate, in each case, plus an applicable margin. The applicable margin for the Tranche B-1 Dollar Term Loans is 3.00% (in the case of Term SOFR borrowings) and 2.00% (in the case of borrowings at the prime lending rate), a decrease of 50 basis points from the applicable margin on the Initial Dollar Term Loans. The Tranche B-1 Dollar Term Loans are subject to a Term SOFR floor of 0.50%. The applicable margin for the Revolving Credit Facility ranges from 3.25% to 2.75% (in the case of Term SOFR borrowings) and 2.25% to 1.75% (in the case of borrowings at the prime lending rate), depending on our first lien secured net leverage ratio level. The Tranche B-1 Dollar Term Loan is subject to a Term SOFR floor of 0.50% and loans under the Revolving Credit Facility are not subject to a floor. The Revolving Credit Facility has a commitment fee payable on the undrawn amount ranging from</w:t>
      </w:r>
    </w:p>
    <w:p>
      <w:pPr>
        <w:spacing w:after="0" w:line="12"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0.50% to 0.40% per annum based upon our first lien secured net leverage ratio. As of March 31, 2024, the interest rate and effective interest rate on the Tranche B-1 Dollar Term Loans were 8.44% and 9.04%, respectively. As of March 31, 2024, we had an undrawn Revolving Credit Facility totaling $500.0 million.</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8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total liability of the 2026 Notes is reflected net of issuance costs of $15.3 million which will be amortized over the term of the 2026 Notes. The effective interest rate of the 2026 Notes is 2.26%. During the three months ended March 31, 2024 and 2023, we recognized interest expense of</w:t>
      </w:r>
    </w:p>
    <w:p>
      <w:pPr>
        <w:spacing w:after="0"/>
        <w:rPr>
          <w:sz w:val="20"/>
          <w:szCs w:val="20"/>
          <w:color w:val="auto"/>
        </w:rPr>
      </w:pPr>
      <w:r>
        <w:rPr>
          <w:rFonts w:ascii="Times New Roman" w:cs="Times New Roman" w:eastAsia="Times New Roman" w:hAnsi="Times New Roman"/>
          <w:sz w:val="18"/>
          <w:szCs w:val="18"/>
          <w:color w:val="auto"/>
        </w:rPr>
        <w:t>$5.5 million, of which $5.0 million related to the contractual coupon rate and $0.5 million related to the amortization of debt issuance costs, respectively.</w:t>
      </w:r>
    </w:p>
    <w:p>
      <w:pPr>
        <w:spacing w:after="0" w:line="9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total liability of the 2024 Notes is reflected net of issuance costs of $11.4 million which will be amortized over the term of the 2024 Notes. The effective interest rate of the 2024 Notes is 1.79%. During the three months ended March 31, 2024 and 2023, we recognized interest expense of</w:t>
      </w:r>
    </w:p>
    <w:p>
      <w:pPr>
        <w:spacing w:after="0"/>
        <w:rPr>
          <w:sz w:val="20"/>
          <w:szCs w:val="20"/>
          <w:color w:val="auto"/>
        </w:rPr>
      </w:pPr>
      <w:r>
        <w:rPr>
          <w:rFonts w:ascii="Times New Roman" w:cs="Times New Roman" w:eastAsia="Times New Roman" w:hAnsi="Times New Roman"/>
          <w:sz w:val="18"/>
          <w:szCs w:val="18"/>
          <w:color w:val="auto"/>
        </w:rPr>
        <w:t>$2.5 million, of which $2.1 million related to the contractual coupon rate and $0.4 million related to the amortization of debt issuance costs, respectively.</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March 31, 2024 were as follows (in thousands):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46"/>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27" w:lineRule="exact"/>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2,598,500</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2024 and December 31, 2023.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6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 Inc., Lupin Ltd., Lupin Pharmaceuticals Inc., and Lupin Inc., or, collectively, the BCBS Defendants.</w:t>
      </w:r>
    </w:p>
    <w:p>
      <w:pPr>
        <w:spacing w:after="0" w:line="75" w:lineRule="exact"/>
        <w:rPr>
          <w:sz w:val="20"/>
          <w:szCs w:val="20"/>
          <w:color w:val="auto"/>
        </w:rPr>
      </w:pPr>
    </w:p>
    <w:p>
      <w:pPr>
        <w:ind w:right="500" w:firstLine="445"/>
        <w:spacing w:after="0" w:line="261"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2"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2" w:lineRule="exact"/>
        <w:rPr>
          <w:sz w:val="20"/>
          <w:szCs w:val="20"/>
          <w:color w:val="auto"/>
        </w:rPr>
      </w:pPr>
    </w:p>
    <w:p>
      <w:pPr>
        <w:jc w:val="both"/>
        <w:ind w:right="140" w:firstLine="445"/>
        <w:spacing w:after="0" w:line="261"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 Inc., Lupin Ltd., Lupin Pharmaceuticals, Inc., and Lupin Inc.</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8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4"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5"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 Hikma, and the plaintiffs filed motions for summary judgment. The Court scheduled a hearing for these motions on July 19, 2024. Trial in this matter is scheduled for October 28, 2024.</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 amended complaint and Hikma filed a motion to quash service. That motion remains pending.</w:t>
      </w:r>
    </w:p>
    <w:p>
      <w:pPr>
        <w:spacing w:after="0" w:line="84"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GW Acquisition Litigation</w:t>
      </w:r>
    </w:p>
    <w:p>
      <w:pPr>
        <w:spacing w:after="0" w:line="11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March 15, 2021, GW filed a definitive proxy statement, or Proxy Statement, with the Securities and Exchange Commission in connection with the GW Acquisition.</w:t>
      </w:r>
    </w:p>
    <w:p>
      <w:pPr>
        <w:spacing w:after="0" w:line="5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79"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54"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68"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June 3, 2022, we filed a motion to dismiss the Ziegler Lawsuit. While the motion to dismiss was pending, in December 2022, the parties participated in a mediation and reached a tentative settlement, which remains subject to court approval. On March 20, 2023, the plaintiffs in the Ziegler Lawsuit filed a motion for preliminary approval of the settlement. On July 28, 2023, the Court granted the motion for preliminary approval, which conditionally certified a class for settlement purposes. On December 11, 2023, the Court held a hearing regarding final approval of the proposed settlement and took the matter under advisement. On March 25, 2024, the Court issued an order finally approving the settlement and a judgment dismissing the case. On April 4, 2024, the Court issued amended versions of the order and judgment.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Avadel Litigation</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Pharmaceuticals plc, or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The Court has not yet ruled on these motions. As noted above, on March 3, 2023, we and Avadel stipulated to the dismissal without prejudice of the claims and counterclaims related to infringement and validity of the delisted patent.</w:t>
      </w:r>
    </w:p>
    <w:p>
      <w:pPr>
        <w:spacing w:after="0" w:line="8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6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concluded on March 4, 2024, with the jury finding both of our asserted patents valid, and awarding us damages for infringement for Avadel’s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past sales of Lumryz. On April 12, 2024, we filed a motion for a permanent injunction and ongoing royalties. The Court scheduled a hearing on that motion for June 4, 2024.</w:t>
      </w:r>
    </w:p>
    <w:p>
      <w:pPr>
        <w:spacing w:after="0" w:line="5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Both motions to stay remain pending.</w:t>
      </w:r>
    </w:p>
    <w:p>
      <w:pPr>
        <w:spacing w:after="0" w:line="72"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trial date has been set in the consolidated case.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Alkem Patent Litigation</w:t>
      </w:r>
    </w:p>
    <w:p>
      <w:pPr>
        <w:spacing w:after="0" w:line="11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April 2023, we received notice from Alkem Laboratories Ltd., or Alkem, that it has filed with FDA an ANDA, for a generic version of Xyrem. The notice from Alkem included a paragraph IV certification with respect to six of our patents listed in FDA’s Orange Book for Xyrem on the date of our receipt of the notice. The asserted patents relate generally to methods of treatment when Xyrem is administered concomitantly with certain other medications.</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June 2023, we filed a patent infringement suit against Alkem in the United States District Court for the District of New Jersey. The complaint alleges that by filing its ANDA, Alkem has infringed six of our Orange Book listed patents. We are seeking a permanent injunction to prevent Alkem from introducing a generic version of Xyrem that would infringe our patents. As a result of this lawsuit, we expect that a stay of approval of up to 30 months will be imposed by FDA on Alkem’s ANDA.</w:t>
      </w:r>
    </w:p>
    <w:p>
      <w:pPr>
        <w:spacing w:after="0" w:line="72"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On October 4, 2023, we entered into a settlement agreement with Alkem that resolves our patent litigation. Under the settlement agreement, we granted Alkem a license to manufacture, market, and sell its generic version of Xyrem on or after December 31, 2025, or earlier under certain circumstances, including circumstances where Hikma launches its own generic sodium oxybate product.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Epidiolex Patent Litigation</w:t>
      </w:r>
    </w:p>
    <w:p>
      <w:pPr>
        <w:spacing w:after="0" w:line="119"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8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72" w:lineRule="exact"/>
        <w:rPr>
          <w:sz w:val="20"/>
          <w:szCs w:val="20"/>
          <w:color w:val="auto"/>
        </w:rPr>
      </w:pPr>
    </w:p>
    <w:p>
      <w:pPr>
        <w:ind w:right="160" w:firstLine="445"/>
        <w:spacing w:after="0" w:line="281" w:lineRule="auto"/>
        <w:rPr>
          <w:sz w:val="20"/>
          <w:szCs w:val="20"/>
          <w:color w:val="auto"/>
        </w:rPr>
      </w:pPr>
      <w:r>
        <w:rPr>
          <w:rFonts w:ascii="Times New Roman" w:cs="Times New Roman" w:eastAsia="Times New Roman" w:hAnsi="Times New Roman"/>
          <w:sz w:val="17"/>
          <w:szCs w:val="17"/>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Court in the Epidiolex Patent Litigation scheduled trial for September 2025.</w:t>
      </w:r>
    </w:p>
    <w:p>
      <w:pPr>
        <w:spacing w:after="0" w:line="11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75"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On October 24, 2023, we entered into a settlement agreement with Padagis US LLC, or Padagis, that resolved our patent litigation with Padagis related to Epidiolex. Under the settlement agreement, we granted Padagis a license to manufacture, market, and sell its generic version of Epidiolex on a date that depends on the occurrence of certain other events. The specific terms of the Padagis settlement agreement are confidential.</w:t>
      </w:r>
    </w:p>
    <w:p>
      <w:pPr>
        <w:spacing w:after="0" w:line="6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November 20, 2023, we entered into a settlement agreement with Teva Pharmaceuticals, Inc., or Teva, that resolved our patent litigation with Teva related to Epidiolex. Under the settlement agreement, we granted Teva a license to manufacture, market and sell its generic version of Epidiolex on a date which remains confidential. The specific terms of the Teva settlement agreement are confidential.</w:t>
      </w:r>
    </w:p>
    <w:p>
      <w:pPr>
        <w:spacing w:after="0" w:line="68"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4, 2023, we entered into a settlement agreement with Alkem Laboratories Ltd., or Alkem, that resolved our patent litigation with Alkem related to Epidiolex. Under the settlement agreement, we granted Alkem a license to manufacture, market, and sell its generic version of Epidiolex on a date which remains confidential. The specific terms of the Alkem settlement are confidential.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settlements with Padagis, Teva and Alkem do not resolve the litigation against the other seven Epidiolex ANDA Filers, which is ongoing. We cannot predict the specific timing or outcome of events in these matters with respect to the remaining defendants or the impact of developments involving any specific parties or patents on other ongoing proceedings with any specific Epidiolex ANDA Filer.</w:t>
      </w:r>
    </w:p>
    <w:p>
      <w:pPr>
        <w:spacing w:after="0" w:line="68"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Epidiolex also has orphan drug exclusivity, or ODE, for the treatment of seizures associated with LGS or DS in patients 2 years of age and older through September 28, 2025, and for the treatment of seizures associated with LGS or DS in patients between 1 and 2 years of age and for the treatment of seizures associated with TSC through July 31, 2027.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vigorously enforces its intellectual property rights but cannot predict the outcome of these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MSP Litigation</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 April 3, 2023, MSP Recovery Claims, Series LLC, or MSP, filed a class action lawsuit on behalf itself and others similarly situated against 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 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80"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On July 25, 2023, we and certain other defendants filed motions to dismiss MSP's complaint, which the Court granted on December 12, 2023. On January 5, 2024, the MSP filed an amended complaint. On February 20, 2024, we filed a motion to dismiss MSP’s amended complaint. The Court scheduled a hearing on the motion for June 13, 2024. No trial date has been set for this matter.</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9"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New Drug Application, or NDA, for Avadel's Lumryz was unlawful. In the complaint, we allege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6"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On September 15, 2023, we filed a motion for summary judgment. On October 20, 2023, Avadel and FDA filed cross motions for summary judgment. Oral argument on these motions is currently scheduled for May 10, 2024.</w:t>
      </w:r>
    </w:p>
    <w:p>
      <w:pPr>
        <w:spacing w:after="0" w:line="54"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In November 2016, our board of directors authorized a share repurchase program and, as of March 31, 2024,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three months ended March 31, 2024, no shares were repurchased. As of March 31, 2024, the remaining amount authorized under the share repurchase program was $161.4 million, exclusive of any brokerage commissions.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March 31, 2024 and December 31, 2023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Gain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(882,394)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other comprehensive income (loss) primarily reflects foreign currency translation adjustments, primarily due to the weakening of sterling and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Ordinary Share</w:t>
      </w:r>
    </w:p>
    <w:p>
      <w:pPr>
        <w:spacing w:after="0" w:line="121"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income (loss) per ordinary share were computed as follows (in thousands, except per share amounts):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interest on assumed conversions of Exchangeable Senior Notes, net of tax</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for dilutive net income (loss) per ordinary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Exchangeable Senior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Potentially dilutive ordinary shares from our employee equity incentive and purchase plans are determined by applying the treasury stock method to the assumed vesting of outstanding restricted stock units, or RSUs, and performance-based restricted stock units, or PRSUs, the assumed exercise of share options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In August 2023, we made an irrevocable election to 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the three months ended March 31, 2023. The potential issue of ordinary shares upon exchange of the 2026 Notes was anti-dilutive and had no impact on diluted net loss per ordinary share for the three months ended March 31, 2024.</w:t>
      </w:r>
    </w:p>
    <w:p>
      <w:pPr>
        <w:spacing w:after="0" w:line="8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80"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651,898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884,219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892,812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810,116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892,812</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51"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related to RSUs, PRSUs, grants under our ESPP and share options was as follows (in thousands):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61,441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58,042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47,733</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RSUs granted covering an equal number of our ordinary shares and the weighted-average grant date fair value of RSUs granted:</w:t>
      </w:r>
    </w:p>
    <w:p>
      <w:pPr>
        <w:spacing w:after="0" w:line="8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 (in thousands)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118.89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r>
    </w:tbl>
    <w:p>
      <w:pPr>
        <w:spacing w:after="0" w:line="179"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2024, December 31, 2025 and December 31, 2026, respectively. The number of shares that will be awarded is determined based on the Company’s achievement with respect to the performance criteria. For PRSUs granted prior to 2024, the amount of shares awarded will be subject to adjustment based on the application of a relative total shareholder return, or TSR, modifier. For PRSUs granted in 2024, the relative TSR represents one of the performance metrics. In both cases, the number of shares that may be earned ranges between 0% and 200% of the target number of PRSUs granted.</w:t>
      </w:r>
    </w:p>
    <w:p>
      <w:pPr>
        <w:spacing w:after="0" w:line="8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PRSUs granted covering an equal number of our ordinary shares and the weighted-average grant date fair value of PRSUs granted:</w:t>
      </w:r>
    </w:p>
    <w:p>
      <w:pPr>
        <w:spacing w:after="0" w:line="8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granted (in thousands)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136.19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w:t>
            </w:r>
          </w:p>
        </w:tc>
      </w:tr>
    </w:tbl>
    <w:p>
      <w:pPr>
        <w:spacing w:after="0" w:line="166" w:lineRule="exact"/>
        <w:rPr>
          <w:sz w:val="20"/>
          <w:szCs w:val="20"/>
          <w:color w:val="auto"/>
        </w:rPr>
      </w:pPr>
    </w:p>
    <w:p>
      <w:pPr>
        <w:jc w:val="both"/>
        <w:ind w:right="700" w:firstLine="445"/>
        <w:spacing w:after="0" w:line="266" w:lineRule="auto"/>
        <w:rPr>
          <w:sz w:val="20"/>
          <w:szCs w:val="20"/>
          <w:color w:val="auto"/>
        </w:rPr>
      </w:pPr>
      <w:r>
        <w:rPr>
          <w:rFonts w:ascii="Times New Roman" w:cs="Times New Roman" w:eastAsia="Times New Roman" w:hAnsi="Times New Roman"/>
          <w:sz w:val="18"/>
          <w:szCs w:val="18"/>
          <w:color w:val="auto"/>
        </w:rPr>
        <w:t>As the PRSUs granted in each year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compensation cost not yet recognized related to unvested RSUs, PRSUs, ESPP and share options was $435.9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 million, $8.3 million and $0.3 million, respectively, which is expected to be recognized over a weighted-average period of 3.0 years, 1.8 years,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and 0.5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100" w:firstLine="445"/>
        <w:spacing w:after="0" w:line="289" w:lineRule="auto"/>
        <w:rPr>
          <w:sz w:val="20"/>
          <w:szCs w:val="20"/>
          <w:color w:val="auto"/>
        </w:rPr>
      </w:pPr>
      <w:r>
        <w:rPr>
          <w:rFonts w:ascii="Times New Roman" w:cs="Times New Roman" w:eastAsia="Times New Roman" w:hAnsi="Times New Roman"/>
          <w:sz w:val="17"/>
          <w:szCs w:val="17"/>
          <w:color w:val="auto"/>
        </w:rPr>
        <w:t>Our income tax expense was $11.7 million for the three months ended March 31, 2024, resulting primarily from tax deficiencies from share based compensation. Our income tax benefit was $15.3 million for the same period in 2023, relating to tax arising on income or losses in Ireland, the U.K., the U.S. and certain other foreign jurisdictions, offset by deductions on subsidiary equity, foreign derived intangible income, or FDII, and patent box benefits.</w:t>
      </w:r>
    </w:p>
    <w:p>
      <w:pPr>
        <w:spacing w:after="0" w:line="50"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2019.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2019 and earlier may still be adjusted upon examination by the taxing authorities. One of our subsidiaries is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$24.2 million, translated at the foreign exchange rate as March 31, 2024. We disagree with the proposed assessments and are contesting them vigorously.</w:t>
      </w:r>
    </w:p>
    <w:p>
      <w:pPr>
        <w:spacing w:after="0" w:line="8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(No. 2) Act 2023 (the "Finance Act"). The Finance Act closely follows the EU Minimum Tax Directive and OECD Guidance released to date. The Company is within the scope of these rules, which took effect from January 1, 2024. Under the new legislation, we are liable to pay a top-up tax for the difference between the Pillar Two effective tax rate per jurisdiction and the 15% minimum rate. The rules on how to calculate the 15% effective tax rate are detailed and highly complex and specific adjustments envisaged in the Pillar Two legislation can give rise to different effective tax rates compared to those calculated for accounting purposes. We will account for it as a current tax when it is incurred. We expect to be subject to the top-up tax in relation to our operations in Ireland, where the trading statutory tax rate is 12.5%, though the impact in 2024 is not significant. The proportion of our profit before tax which is subject to the top-up tax and our exposure to Pillar Two income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2023, as supplemented by the risks and uncertainties described in "Risk Factors" Item 1A. Risk Factors in Part II of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is focused on:</w:t>
      </w:r>
    </w:p>
    <w:p>
      <w:pPr>
        <w:spacing w:after="0" w:line="117" w:lineRule="exact"/>
        <w:rPr>
          <w:sz w:val="20"/>
          <w:szCs w:val="20"/>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117"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In 2024, consistent with our strategy, we are continuing to focus on research and development activities within our neuroscience and oncology therapeutic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196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66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CCEEFF"/>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excessive</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daytime sleepiness, or EDS, in</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Xywav® (calcium, magnesium,</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40" w:type="dxa"/>
            <w:vAlign w:val="bottom"/>
          </w:tcPr>
          <w:p>
            <w:pPr>
              <w:spacing w:after="0"/>
              <w:rPr>
                <w:sz w:val="20"/>
                <w:szCs w:val="20"/>
                <w:color w:val="auto"/>
              </w:rPr>
            </w:pPr>
          </w:p>
        </w:tc>
        <w:tc>
          <w:tcPr>
            <w:tcW w:w="1160" w:type="dxa"/>
            <w:vAlign w:val="bottom"/>
            <w:tcBorders>
              <w:right w:val="single" w:sz="8" w:color="B6B6B6"/>
            </w:tcBorders>
          </w:tcPr>
          <w:p>
            <w:pPr>
              <w:spacing w:after="0"/>
              <w:rPr>
                <w:sz w:val="20"/>
                <w:szCs w:val="20"/>
                <w:color w:val="auto"/>
              </w:rPr>
            </w:pPr>
          </w:p>
        </w:tc>
        <w:tc>
          <w:tcPr>
            <w:tcW w:w="66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640" w:type="dxa"/>
            <w:vAlign w:val="bottom"/>
            <w:tcBorders>
              <w:left w:val="single" w:sz="8" w:color="B6B6B6"/>
              <w:right w:val="single" w:sz="8" w:color="B6B6B6"/>
            </w:tcBorders>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960" w:type="dxa"/>
            <w:vAlign w:val="bottom"/>
            <w:tcBorders>
              <w:right w:val="single" w:sz="8" w:color="B6B6B6"/>
            </w:tcBorders>
          </w:tcPr>
          <w:p>
            <w:pPr>
              <w:spacing w:after="0"/>
              <w:rPr>
                <w:sz w:val="10"/>
                <w:szCs w:val="10"/>
                <w:color w:val="auto"/>
              </w:rPr>
            </w:pPr>
          </w:p>
        </w:tc>
        <w:tc>
          <w:tcPr>
            <w:tcW w:w="1640" w:type="dxa"/>
            <w:vAlign w:val="bottom"/>
          </w:tcPr>
          <w:p>
            <w:pPr>
              <w:spacing w:after="0"/>
              <w:rPr>
                <w:sz w:val="10"/>
                <w:szCs w:val="10"/>
                <w:color w:val="auto"/>
              </w:rPr>
            </w:pPr>
          </w:p>
        </w:tc>
        <w:tc>
          <w:tcPr>
            <w:tcW w:w="1160" w:type="dxa"/>
            <w:vAlign w:val="bottom"/>
            <w:tcBorders>
              <w:right w:val="single" w:sz="8" w:color="B6B6B6"/>
            </w:tcBorders>
          </w:tcPr>
          <w:p>
            <w:pPr>
              <w:spacing w:after="0"/>
              <w:rPr>
                <w:sz w:val="10"/>
                <w:szCs w:val="10"/>
                <w:color w:val="auto"/>
              </w:rPr>
            </w:pPr>
          </w:p>
        </w:tc>
        <w:tc>
          <w:tcPr>
            <w:tcW w:w="660" w:type="dxa"/>
            <w:vAlign w:val="bottom"/>
          </w:tcPr>
          <w:p>
            <w:pPr>
              <w:spacing w:after="0"/>
              <w:rPr>
                <w:sz w:val="10"/>
                <w:szCs w:val="10"/>
                <w:color w:val="auto"/>
              </w:rPr>
            </w:pPr>
          </w:p>
        </w:tc>
        <w:tc>
          <w:tcPr>
            <w:tcW w:w="2160" w:type="dxa"/>
            <w:vAlign w:val="bottom"/>
            <w:tcBorders>
              <w:right w:val="single" w:sz="8" w:color="B6B6B6"/>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860" w:type="dxa"/>
            <w:vAlign w:val="bottom"/>
            <w:tcBorders>
              <w:bottom w:val="single" w:sz="8" w:color="B6B6B6"/>
            </w:tcBorders>
          </w:tcPr>
          <w:p>
            <w:pPr>
              <w:spacing w:after="0"/>
              <w:rPr>
                <w:sz w:val="9"/>
                <w:szCs w:val="9"/>
                <w:color w:val="auto"/>
              </w:rPr>
            </w:pPr>
          </w:p>
        </w:tc>
        <w:tc>
          <w:tcPr>
            <w:tcW w:w="1960" w:type="dxa"/>
            <w:vAlign w:val="bottom"/>
            <w:tcBorders>
              <w:bottom w:val="single" w:sz="8" w:color="B6B6B6"/>
              <w:right w:val="single" w:sz="8" w:color="B6B6B6"/>
            </w:tcBorders>
          </w:tcPr>
          <w:p>
            <w:pPr>
              <w:spacing w:after="0"/>
              <w:rPr>
                <w:sz w:val="9"/>
                <w:szCs w:val="9"/>
                <w:color w:val="auto"/>
              </w:rPr>
            </w:pPr>
          </w:p>
        </w:tc>
        <w:tc>
          <w:tcPr>
            <w:tcW w:w="1640" w:type="dxa"/>
            <w:vAlign w:val="bottom"/>
            <w:tcBorders>
              <w:bottom w:val="single" w:sz="8" w:color="B6B6B6"/>
            </w:tcBorders>
          </w:tcPr>
          <w:p>
            <w:pPr>
              <w:spacing w:after="0"/>
              <w:rPr>
                <w:sz w:val="9"/>
                <w:szCs w:val="9"/>
                <w:color w:val="auto"/>
              </w:rPr>
            </w:pPr>
          </w:p>
        </w:tc>
        <w:tc>
          <w:tcPr>
            <w:tcW w:w="1160" w:type="dxa"/>
            <w:vAlign w:val="bottom"/>
            <w:tcBorders>
              <w:bottom w:val="single" w:sz="8" w:color="B6B6B6"/>
              <w:right w:val="single" w:sz="8" w:color="B6B6B6"/>
            </w:tcBorders>
          </w:tcPr>
          <w:p>
            <w:pPr>
              <w:spacing w:after="0"/>
              <w:rPr>
                <w:sz w:val="9"/>
                <w:szCs w:val="9"/>
                <w:color w:val="auto"/>
              </w:rPr>
            </w:pPr>
          </w:p>
        </w:tc>
        <w:tc>
          <w:tcPr>
            <w:tcW w:w="660" w:type="dxa"/>
            <w:vAlign w:val="bottom"/>
            <w:tcBorders>
              <w:bottom w:val="single" w:sz="8" w:color="B6B6B6"/>
            </w:tcBorders>
          </w:tcPr>
          <w:p>
            <w:pPr>
              <w:spacing w:after="0"/>
              <w:rPr>
                <w:sz w:val="9"/>
                <w:szCs w:val="9"/>
                <w:color w:val="auto"/>
              </w:rPr>
            </w:pPr>
          </w:p>
        </w:tc>
        <w:tc>
          <w:tcPr>
            <w:tcW w:w="2160" w:type="dxa"/>
            <w:vAlign w:val="bottom"/>
            <w:tcBorders>
              <w:bottom w:val="single" w:sz="8" w:color="B6B6B6"/>
              <w:right w:val="single" w:sz="8" w:color="B6B6B6"/>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40" w:type="dxa"/>
            <w:vAlign w:val="bottom"/>
            <w:tcBorders>
              <w:left w:val="single" w:sz="8" w:color="B6B6B6"/>
              <w:right w:val="single" w:sz="8" w:color="B6B6B6"/>
            </w:tcBorders>
            <w:gridSpan w:val="2"/>
            <w:vMerge w:val="continue"/>
          </w:tcPr>
          <w:p>
            <w:pPr>
              <w:spacing w:after="0"/>
              <w:rPr>
                <w:sz w:val="9"/>
                <w:szCs w:val="9"/>
                <w:color w:val="auto"/>
              </w:rPr>
            </w:pPr>
          </w:p>
        </w:tc>
        <w:tc>
          <w:tcPr>
            <w:tcW w:w="2820" w:type="dxa"/>
            <w:vAlign w:val="bottom"/>
            <w:tcBorders>
              <w:right w:val="single" w:sz="8" w:color="B6B6B6"/>
            </w:tcBorders>
            <w:gridSpan w:val="2"/>
            <w:vMerge w:val="restart"/>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idiopathic hypersomnia,</w:t>
            </w:r>
          </w:p>
        </w:tc>
        <w:tc>
          <w:tcPr>
            <w:tcW w:w="2800" w:type="dxa"/>
            <w:vAlign w:val="bottom"/>
            <w:tcBorders>
              <w:right w:val="single" w:sz="8" w:color="B6B6B6"/>
            </w:tcBorders>
            <w:gridSpan w:val="2"/>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August 2021</w:t>
            </w:r>
          </w:p>
        </w:tc>
        <w:tc>
          <w:tcPr>
            <w:tcW w:w="2820" w:type="dxa"/>
            <w:vAlign w:val="bottom"/>
            <w:tcBorders>
              <w:right w:val="single" w:sz="8" w:color="B6B6B6"/>
            </w:tcBorders>
            <w:gridSpan w:val="2"/>
            <w:vMerge w:val="restart"/>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40" w:type="dxa"/>
            <w:vAlign w:val="bottom"/>
            <w:tcBorders>
              <w:left w:val="single" w:sz="8" w:color="B6B6B6"/>
            </w:tcBorders>
          </w:tcPr>
          <w:p>
            <w:pPr>
              <w:spacing w:after="0"/>
              <w:rPr>
                <w:sz w:val="5"/>
                <w:szCs w:val="5"/>
                <w:color w:val="auto"/>
              </w:rPr>
            </w:pPr>
          </w:p>
        </w:tc>
        <w:tc>
          <w:tcPr>
            <w:tcW w:w="2000" w:type="dxa"/>
            <w:vAlign w:val="bottom"/>
            <w:tcBorders>
              <w:right w:val="single" w:sz="8" w:color="B6B6B6"/>
            </w:tcBorders>
          </w:tcPr>
          <w:p>
            <w:pPr>
              <w:spacing w:after="0"/>
              <w:rPr>
                <w:sz w:val="5"/>
                <w:szCs w:val="5"/>
                <w:color w:val="auto"/>
              </w:rPr>
            </w:pPr>
          </w:p>
        </w:tc>
        <w:tc>
          <w:tcPr>
            <w:tcW w:w="2820" w:type="dxa"/>
            <w:vAlign w:val="bottom"/>
            <w:tcBorders>
              <w:right w:val="single" w:sz="8" w:color="B6B6B6"/>
            </w:tcBorders>
            <w:gridSpan w:val="2"/>
            <w:vMerge w:val="continue"/>
          </w:tcPr>
          <w:p>
            <w:pPr>
              <w:spacing w:after="0"/>
              <w:rPr>
                <w:sz w:val="5"/>
                <w:szCs w:val="5"/>
                <w:color w:val="auto"/>
              </w:rPr>
            </w:pPr>
          </w:p>
        </w:tc>
        <w:tc>
          <w:tcPr>
            <w:tcW w:w="2800" w:type="dxa"/>
            <w:vAlign w:val="bottom"/>
            <w:tcBorders>
              <w:right w:val="single" w:sz="8" w:color="B6B6B6"/>
            </w:tcBorders>
            <w:gridSpan w:val="2"/>
            <w:vMerge w:val="continue"/>
          </w:tcPr>
          <w:p>
            <w:pPr>
              <w:spacing w:after="0"/>
              <w:rPr>
                <w:sz w:val="5"/>
                <w:szCs w:val="5"/>
                <w:color w:val="auto"/>
              </w:rPr>
            </w:pPr>
          </w:p>
        </w:tc>
        <w:tc>
          <w:tcPr>
            <w:tcW w:w="2820" w:type="dxa"/>
            <w:vAlign w:val="bottom"/>
            <w:tcBorders>
              <w:right w:val="single" w:sz="8" w:color="B6B6B6"/>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 IH, in adults.</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May 2023</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or EDS in</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July 2002</w:t>
            </w: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CCEEFF"/>
            </w:tcBorders>
            <w:shd w:val="clear" w:color="auto" w:fill="CCEEFF"/>
          </w:tcPr>
          <w:p>
            <w:pPr>
              <w:spacing w:after="0"/>
              <w:rPr>
                <w:sz w:val="20"/>
                <w:szCs w:val="20"/>
                <w:color w:val="auto"/>
              </w:rPr>
            </w:pPr>
          </w:p>
        </w:tc>
        <w:tc>
          <w:tcPr>
            <w:tcW w:w="2000" w:type="dxa"/>
            <w:vAlign w:val="bottom"/>
            <w:tcBorders>
              <w:bottom w:val="single" w:sz="8" w:color="CCEEFF"/>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August 2005</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Xyrem® (sodium oxybate)</w:t>
            </w: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40" w:type="dxa"/>
            <w:vAlign w:val="bottom"/>
            <w:tcBorders>
              <w:bottom w:val="single" w:sz="8" w:color="B6B6B6"/>
            </w:tcBorders>
            <w:shd w:val="clear" w:color="auto" w:fill="CCEEFF"/>
          </w:tcPr>
          <w:p>
            <w:pPr>
              <w:spacing w:after="0"/>
              <w:rPr>
                <w:sz w:val="21"/>
                <w:szCs w:val="21"/>
                <w:color w:val="auto"/>
              </w:rPr>
            </w:pPr>
          </w:p>
        </w:tc>
        <w:tc>
          <w:tcPr>
            <w:tcW w:w="1160" w:type="dxa"/>
            <w:vAlign w:val="bottom"/>
            <w:tcBorders>
              <w:bottom w:val="single" w:sz="8" w:color="B6B6B6"/>
              <w:right w:val="single" w:sz="8" w:color="B6B6B6"/>
            </w:tcBorders>
            <w:shd w:val="clear" w:color="auto" w:fill="CCEEFF"/>
          </w:tcPr>
          <w:p>
            <w:pPr>
              <w:spacing w:after="0"/>
              <w:rPr>
                <w:sz w:val="21"/>
                <w:szCs w:val="21"/>
                <w:color w:val="auto"/>
              </w:rPr>
            </w:pPr>
          </w:p>
        </w:tc>
        <w:tc>
          <w:tcPr>
            <w:tcW w:w="660" w:type="dxa"/>
            <w:vAlign w:val="bottom"/>
            <w:tcBorders>
              <w:bottom w:val="single" w:sz="8" w:color="B6B6B6"/>
            </w:tcBorders>
            <w:shd w:val="clear" w:color="auto" w:fill="CCEEFF"/>
          </w:tcPr>
          <w:p>
            <w:pPr>
              <w:spacing w:after="0"/>
              <w:rPr>
                <w:sz w:val="21"/>
                <w:szCs w:val="21"/>
                <w:color w:val="auto"/>
              </w:rPr>
            </w:pPr>
          </w:p>
        </w:tc>
        <w:tc>
          <w:tcPr>
            <w:tcW w:w="2160" w:type="dxa"/>
            <w:vAlign w:val="bottom"/>
            <w:tcBorders>
              <w:bottom w:val="single" w:sz="8" w:color="B6B6B6"/>
              <w:right w:val="single" w:sz="8" w:color="B6B6B6"/>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narcolepsy with</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October 2005</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European Union, or EU, Great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cataplexy in adult patients,</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Britain, other markets (through</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adolescents and children from age of</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licensing agreement)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years.</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640" w:type="dxa"/>
            <w:vAlign w:val="bottom"/>
            <w:tcBorders>
              <w:left w:val="single" w:sz="8" w:color="B6B6B6"/>
              <w:bottom w:val="single" w:sz="8" w:color="B6B6B6"/>
            </w:tcBorders>
            <w:shd w:val="clear" w:color="auto" w:fill="CCEEFF"/>
          </w:tcPr>
          <w:p>
            <w:pPr>
              <w:spacing w:after="0"/>
              <w:rPr>
                <w:sz w:val="5"/>
                <w:szCs w:val="5"/>
                <w:color w:val="auto"/>
              </w:rPr>
            </w:pPr>
          </w:p>
        </w:tc>
        <w:tc>
          <w:tcPr>
            <w:tcW w:w="2000" w:type="dxa"/>
            <w:vAlign w:val="bottom"/>
            <w:tcBorders>
              <w:bottom w:val="single" w:sz="8" w:color="B6B6B6"/>
              <w:right w:val="single" w:sz="8" w:color="B6B6B6"/>
            </w:tcBorders>
            <w:shd w:val="clear" w:color="auto" w:fill="CCEEFF"/>
          </w:tcPr>
          <w:p>
            <w:pPr>
              <w:spacing w:after="0"/>
              <w:rPr>
                <w:sz w:val="5"/>
                <w:szCs w:val="5"/>
                <w:color w:val="auto"/>
              </w:rPr>
            </w:pPr>
          </w:p>
        </w:tc>
        <w:tc>
          <w:tcPr>
            <w:tcW w:w="860" w:type="dxa"/>
            <w:vAlign w:val="bottom"/>
            <w:tcBorders>
              <w:bottom w:val="single" w:sz="8" w:color="B6B6B6"/>
            </w:tcBorders>
            <w:shd w:val="clear" w:color="auto" w:fill="CCEEFF"/>
          </w:tcPr>
          <w:p>
            <w:pPr>
              <w:spacing w:after="0"/>
              <w:rPr>
                <w:sz w:val="5"/>
                <w:szCs w:val="5"/>
                <w:color w:val="auto"/>
              </w:rPr>
            </w:pPr>
          </w:p>
        </w:tc>
        <w:tc>
          <w:tcPr>
            <w:tcW w:w="1960" w:type="dxa"/>
            <w:vAlign w:val="bottom"/>
            <w:tcBorders>
              <w:bottom w:val="single" w:sz="8" w:color="B6B6B6"/>
              <w:right w:val="single" w:sz="8" w:color="B6B6B6"/>
            </w:tcBorders>
            <w:shd w:val="clear" w:color="auto" w:fill="CCEEFF"/>
          </w:tcPr>
          <w:p>
            <w:pPr>
              <w:spacing w:after="0"/>
              <w:rPr>
                <w:sz w:val="5"/>
                <w:szCs w:val="5"/>
                <w:color w:val="auto"/>
              </w:rPr>
            </w:pPr>
          </w:p>
        </w:tc>
        <w:tc>
          <w:tcPr>
            <w:tcW w:w="1640" w:type="dxa"/>
            <w:vAlign w:val="bottom"/>
            <w:tcBorders>
              <w:bottom w:val="single" w:sz="8" w:color="B6B6B6"/>
            </w:tcBorders>
            <w:shd w:val="clear" w:color="auto" w:fill="CCEEFF"/>
          </w:tcPr>
          <w:p>
            <w:pPr>
              <w:spacing w:after="0"/>
              <w:rPr>
                <w:sz w:val="5"/>
                <w:szCs w:val="5"/>
                <w:color w:val="auto"/>
              </w:rPr>
            </w:pPr>
          </w:p>
        </w:tc>
        <w:tc>
          <w:tcPr>
            <w:tcW w:w="1160" w:type="dxa"/>
            <w:vAlign w:val="bottom"/>
            <w:tcBorders>
              <w:bottom w:val="single" w:sz="8" w:color="B6B6B6"/>
              <w:right w:val="single" w:sz="8" w:color="B6B6B6"/>
            </w:tcBorders>
            <w:shd w:val="clear" w:color="auto" w:fill="CCEEFF"/>
          </w:tcPr>
          <w:p>
            <w:pPr>
              <w:spacing w:after="0"/>
              <w:rPr>
                <w:sz w:val="5"/>
                <w:szCs w:val="5"/>
                <w:color w:val="auto"/>
              </w:rPr>
            </w:pPr>
          </w:p>
        </w:tc>
        <w:tc>
          <w:tcPr>
            <w:tcW w:w="660" w:type="dxa"/>
            <w:vAlign w:val="bottom"/>
            <w:tcBorders>
              <w:bottom w:val="single" w:sz="8" w:color="B6B6B6"/>
            </w:tcBorders>
            <w:shd w:val="clear" w:color="auto" w:fill="CCEEFF"/>
          </w:tcPr>
          <w:p>
            <w:pPr>
              <w:spacing w:after="0"/>
              <w:rPr>
                <w:sz w:val="5"/>
                <w:szCs w:val="5"/>
                <w:color w:val="auto"/>
              </w:rPr>
            </w:pPr>
          </w:p>
        </w:tc>
        <w:tc>
          <w:tcPr>
            <w:tcW w:w="2160" w:type="dxa"/>
            <w:vAlign w:val="bottom"/>
            <w:tcBorders>
              <w:bottom w:val="single" w:sz="8" w:color="B6B6B6"/>
              <w:right w:val="single" w:sz="8" w:color="B6B6B6"/>
            </w:tcBorders>
            <w:shd w:val="clear" w:color="auto" w:fill="CCEEFF"/>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seizures associated with</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June 2018</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Lennox-Gastaut syndrome, or LGS,</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Dravet syndrome, or DS, or tuberous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sclerosis complex, or TSC, in patients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1 year of age and older.</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September 2019</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6"/>
                <w:szCs w:val="16"/>
                <w:color w:val="auto"/>
              </w:rPr>
              <w:t>EU, Great Britain, EEA</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Israel,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associated with LGS or DS, in</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Switzerland, Australia and New</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conjunction with clobazam, for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Zealand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24"/>
                <w:szCs w:val="24"/>
                <w:color w:val="auto"/>
              </w:rPr>
            </w:pPr>
          </w:p>
        </w:tc>
        <w:tc>
          <w:tcPr>
            <w:tcW w:w="1160" w:type="dxa"/>
            <w:vAlign w:val="bottom"/>
            <w:tcBorders>
              <w:right w:val="single" w:sz="8" w:color="B6B6B6"/>
            </w:tcBorders>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Borders>
              <w:right w:val="single" w:sz="8" w:color="B6B6B6"/>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860" w:type="dxa"/>
            <w:vAlign w:val="bottom"/>
            <w:tcBorders>
              <w:bottom w:val="single" w:sz="8" w:color="B6B6B6"/>
            </w:tcBorders>
          </w:tcPr>
          <w:p>
            <w:pPr>
              <w:spacing w:after="0"/>
              <w:rPr>
                <w:sz w:val="12"/>
                <w:szCs w:val="12"/>
                <w:color w:val="auto"/>
              </w:rPr>
            </w:pPr>
          </w:p>
        </w:tc>
        <w:tc>
          <w:tcPr>
            <w:tcW w:w="1960" w:type="dxa"/>
            <w:vAlign w:val="bottom"/>
            <w:tcBorders>
              <w:bottom w:val="single" w:sz="8" w:color="B6B6B6"/>
              <w:right w:val="single" w:sz="8" w:color="B6B6B6"/>
            </w:tcBorders>
          </w:tcPr>
          <w:p>
            <w:pPr>
              <w:spacing w:after="0"/>
              <w:rPr>
                <w:sz w:val="12"/>
                <w:szCs w:val="12"/>
                <w:color w:val="auto"/>
              </w:rPr>
            </w:pPr>
          </w:p>
        </w:tc>
        <w:tc>
          <w:tcPr>
            <w:tcW w:w="1640" w:type="dxa"/>
            <w:vAlign w:val="bottom"/>
            <w:tcBorders>
              <w:bottom w:val="single" w:sz="8" w:color="B6B6B6"/>
            </w:tcBorders>
          </w:tcPr>
          <w:p>
            <w:pPr>
              <w:spacing w:after="0"/>
              <w:rPr>
                <w:sz w:val="12"/>
                <w:szCs w:val="12"/>
                <w:color w:val="auto"/>
              </w:rPr>
            </w:pPr>
          </w:p>
        </w:tc>
        <w:tc>
          <w:tcPr>
            <w:tcW w:w="1160" w:type="dxa"/>
            <w:vAlign w:val="bottom"/>
            <w:tcBorders>
              <w:bottom w:val="single" w:sz="8" w:color="B6B6B6"/>
              <w:right w:val="single" w:sz="8" w:color="B6B6B6"/>
            </w:tcBorders>
          </w:tcPr>
          <w:p>
            <w:pPr>
              <w:spacing w:after="0"/>
              <w:rPr>
                <w:sz w:val="12"/>
                <w:szCs w:val="12"/>
                <w:color w:val="auto"/>
              </w:rPr>
            </w:pPr>
          </w:p>
        </w:tc>
        <w:tc>
          <w:tcPr>
            <w:tcW w:w="660" w:type="dxa"/>
            <w:vAlign w:val="bottom"/>
            <w:tcBorders>
              <w:bottom w:val="single" w:sz="8" w:color="B6B6B6"/>
            </w:tcBorders>
          </w:tcPr>
          <w:p>
            <w:pPr>
              <w:spacing w:after="0"/>
              <w:rPr>
                <w:sz w:val="12"/>
                <w:szCs w:val="12"/>
                <w:color w:val="auto"/>
              </w:rPr>
            </w:pPr>
          </w:p>
        </w:tc>
        <w:tc>
          <w:tcPr>
            <w:tcW w:w="2160" w:type="dxa"/>
            <w:vAlign w:val="bottom"/>
            <w:tcBorders>
              <w:bottom w:val="single" w:sz="8" w:color="B6B6B6"/>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April 2021</w:t>
            </w: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EU, Great Britain, Israel 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associated with TSC for patients 2</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Switzerland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years of age and older.</w:t>
            </w:r>
          </w:p>
        </w:tc>
        <w:tc>
          <w:tcPr>
            <w:tcW w:w="1640" w:type="dxa"/>
            <w:vAlign w:val="bottom"/>
          </w:tcPr>
          <w:p>
            <w:pPr>
              <w:spacing w:after="0"/>
              <w:rPr>
                <w:sz w:val="20"/>
                <w:szCs w:val="20"/>
                <w:color w:val="auto"/>
              </w:rPr>
            </w:pPr>
          </w:p>
        </w:tc>
        <w:tc>
          <w:tcPr>
            <w:tcW w:w="1160" w:type="dxa"/>
            <w:vAlign w:val="bottom"/>
            <w:tcBorders>
              <w:right w:val="single" w:sz="8" w:color="B6B6B6"/>
            </w:tcBorders>
          </w:tcPr>
          <w:p>
            <w:pPr>
              <w:spacing w:after="0"/>
              <w:rPr>
                <w:sz w:val="20"/>
                <w:szCs w:val="20"/>
                <w:color w:val="auto"/>
              </w:rPr>
            </w:pPr>
          </w:p>
        </w:tc>
        <w:tc>
          <w:tcPr>
            <w:tcW w:w="66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40" w:type="dxa"/>
            <w:vAlign w:val="bottom"/>
            <w:tcBorders>
              <w:left w:val="single" w:sz="8" w:color="B6B6B6"/>
              <w:bottom w:val="single" w:sz="8" w:color="B6B6B6"/>
            </w:tcBorders>
          </w:tcPr>
          <w:p>
            <w:pPr>
              <w:spacing w:after="0"/>
              <w:rPr>
                <w:sz w:val="12"/>
                <w:szCs w:val="12"/>
                <w:color w:val="auto"/>
              </w:rPr>
            </w:pPr>
          </w:p>
        </w:tc>
        <w:tc>
          <w:tcPr>
            <w:tcW w:w="2000" w:type="dxa"/>
            <w:vAlign w:val="bottom"/>
            <w:tcBorders>
              <w:bottom w:val="single" w:sz="8" w:color="B6B6B6"/>
              <w:right w:val="single" w:sz="8" w:color="B6B6B6"/>
            </w:tcBorders>
          </w:tcPr>
          <w:p>
            <w:pPr>
              <w:spacing w:after="0"/>
              <w:rPr>
                <w:sz w:val="12"/>
                <w:szCs w:val="12"/>
                <w:color w:val="auto"/>
              </w:rPr>
            </w:pPr>
          </w:p>
        </w:tc>
        <w:tc>
          <w:tcPr>
            <w:tcW w:w="860" w:type="dxa"/>
            <w:vAlign w:val="bottom"/>
            <w:tcBorders>
              <w:bottom w:val="single" w:sz="8" w:color="B6B6B6"/>
            </w:tcBorders>
          </w:tcPr>
          <w:p>
            <w:pPr>
              <w:spacing w:after="0"/>
              <w:rPr>
                <w:sz w:val="12"/>
                <w:szCs w:val="12"/>
                <w:color w:val="auto"/>
              </w:rPr>
            </w:pPr>
          </w:p>
        </w:tc>
        <w:tc>
          <w:tcPr>
            <w:tcW w:w="1960" w:type="dxa"/>
            <w:vAlign w:val="bottom"/>
            <w:tcBorders>
              <w:bottom w:val="single" w:sz="8" w:color="B6B6B6"/>
              <w:right w:val="single" w:sz="8" w:color="B6B6B6"/>
            </w:tcBorders>
          </w:tcPr>
          <w:p>
            <w:pPr>
              <w:spacing w:after="0"/>
              <w:rPr>
                <w:sz w:val="12"/>
                <w:szCs w:val="12"/>
                <w:color w:val="auto"/>
              </w:rPr>
            </w:pPr>
          </w:p>
        </w:tc>
        <w:tc>
          <w:tcPr>
            <w:tcW w:w="1640" w:type="dxa"/>
            <w:vAlign w:val="bottom"/>
            <w:tcBorders>
              <w:bottom w:val="single" w:sz="8" w:color="B6B6B6"/>
            </w:tcBorders>
          </w:tcPr>
          <w:p>
            <w:pPr>
              <w:spacing w:after="0"/>
              <w:rPr>
                <w:sz w:val="12"/>
                <w:szCs w:val="12"/>
                <w:color w:val="auto"/>
              </w:rPr>
            </w:pPr>
          </w:p>
        </w:tc>
        <w:tc>
          <w:tcPr>
            <w:tcW w:w="1160" w:type="dxa"/>
            <w:vAlign w:val="bottom"/>
            <w:tcBorders>
              <w:bottom w:val="single" w:sz="8" w:color="B6B6B6"/>
              <w:right w:val="single" w:sz="8" w:color="B6B6B6"/>
            </w:tcBorders>
          </w:tcPr>
          <w:p>
            <w:pPr>
              <w:spacing w:after="0"/>
              <w:rPr>
                <w:sz w:val="12"/>
                <w:szCs w:val="12"/>
                <w:color w:val="auto"/>
              </w:rPr>
            </w:pPr>
          </w:p>
        </w:tc>
        <w:tc>
          <w:tcPr>
            <w:tcW w:w="660" w:type="dxa"/>
            <w:vAlign w:val="bottom"/>
            <w:tcBorders>
              <w:bottom w:val="single" w:sz="8" w:color="B6B6B6"/>
            </w:tcBorders>
          </w:tcPr>
          <w:p>
            <w:pPr>
              <w:spacing w:after="0"/>
              <w:rPr>
                <w:sz w:val="12"/>
                <w:szCs w:val="12"/>
                <w:color w:val="auto"/>
              </w:rPr>
            </w:pPr>
          </w:p>
        </w:tc>
        <w:tc>
          <w:tcPr>
            <w:tcW w:w="2160" w:type="dxa"/>
            <w:vAlign w:val="bottom"/>
            <w:tcBorders>
              <w:bottom w:val="single" w:sz="8" w:color="B6B6B6"/>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associated with LGS, DS or TSC for</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CCEEFF"/>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treatment of acute lymphoblastic</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leukemia, or ALL, and lymphoblastic</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line="184" w:lineRule="exact"/>
              <w:rPr>
                <w:sz w:val="20"/>
                <w:szCs w:val="20"/>
                <w:color w:val="auto"/>
              </w:rPr>
            </w:pPr>
            <w:r>
              <w:rPr>
                <w:rFonts w:ascii="Times New Roman" w:cs="Times New Roman" w:eastAsia="Times New Roman" w:hAnsi="Times New Roman"/>
                <w:sz w:val="18"/>
                <w:szCs w:val="18"/>
                <w:color w:val="auto"/>
              </w:rPr>
              <w:t>chrysanthemi (recombinant)-</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lymphoma, or LBL, in adult and</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rywn)</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pediatric patients 1 month or older</w:t>
            </w:r>
          </w:p>
        </w:tc>
        <w:tc>
          <w:tcPr>
            <w:tcW w:w="1640" w:type="dxa"/>
            <w:vAlign w:val="bottom"/>
          </w:tcPr>
          <w:p>
            <w:pPr>
              <w:spacing w:after="0"/>
              <w:rPr>
                <w:sz w:val="12"/>
                <w:szCs w:val="12"/>
                <w:color w:val="auto"/>
              </w:rPr>
            </w:pPr>
          </w:p>
        </w:tc>
        <w:tc>
          <w:tcPr>
            <w:tcW w:w="1160" w:type="dxa"/>
            <w:vAlign w:val="bottom"/>
            <w:tcBorders>
              <w:right w:val="single" w:sz="8" w:color="B6B6B6"/>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Borders>
              <w:right w:val="single" w:sz="8" w:color="B6B6B6"/>
            </w:tcBorders>
          </w:tcPr>
          <w:p>
            <w:pPr>
              <w:spacing w:after="0"/>
              <w:rPr>
                <w:sz w:val="3"/>
                <w:szCs w:val="3"/>
                <w:color w:val="auto"/>
              </w:rPr>
            </w:pPr>
          </w:p>
        </w:tc>
        <w:tc>
          <w:tcPr>
            <w:tcW w:w="66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September 2022</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treatment of ALL and LBL, in adults</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pediatric patients 1 year or older</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40" w:type="dxa"/>
            <w:vAlign w:val="bottom"/>
          </w:tcPr>
          <w:p>
            <w:pPr>
              <w:spacing w:after="0"/>
              <w:rPr>
                <w:sz w:val="12"/>
                <w:szCs w:val="12"/>
                <w:color w:val="auto"/>
              </w:rPr>
            </w:pPr>
          </w:p>
        </w:tc>
        <w:tc>
          <w:tcPr>
            <w:tcW w:w="1160" w:type="dxa"/>
            <w:vAlign w:val="bottom"/>
            <w:tcBorders>
              <w:right w:val="single" w:sz="8" w:color="B6B6B6"/>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Borders>
              <w:right w:val="single" w:sz="8" w:color="B6B6B6"/>
            </w:tcBorders>
          </w:tcPr>
          <w:p>
            <w:pPr>
              <w:spacing w:after="0"/>
              <w:rPr>
                <w:sz w:val="3"/>
                <w:szCs w:val="3"/>
                <w:color w:val="auto"/>
              </w:rPr>
            </w:pPr>
          </w:p>
        </w:tc>
        <w:tc>
          <w:tcPr>
            <w:tcW w:w="66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to</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929292"/>
            </w:tcBorders>
          </w:tcPr>
          <w:p>
            <w:pPr>
              <w:spacing w:after="0"/>
              <w:rPr>
                <w:sz w:val="19"/>
                <w:szCs w:val="19"/>
                <w:color w:val="auto"/>
              </w:rPr>
            </w:pPr>
          </w:p>
        </w:tc>
        <w:tc>
          <w:tcPr>
            <w:tcW w:w="2000" w:type="dxa"/>
            <w:vAlign w:val="bottom"/>
            <w:tcBorders>
              <w:bottom w:val="single" w:sz="8" w:color="929292"/>
              <w:right w:val="single" w:sz="8" w:color="B6B6B6"/>
            </w:tcBorders>
          </w:tcPr>
          <w:p>
            <w:pPr>
              <w:spacing w:after="0"/>
              <w:rPr>
                <w:sz w:val="19"/>
                <w:szCs w:val="19"/>
                <w:color w:val="auto"/>
              </w:rPr>
            </w:pPr>
          </w:p>
        </w:tc>
        <w:tc>
          <w:tcPr>
            <w:tcW w:w="2820" w:type="dxa"/>
            <w:vAlign w:val="bottom"/>
            <w:tcBorders>
              <w:bottom w:val="single" w:sz="8" w:color="929292"/>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929292"/>
            </w:tcBorders>
          </w:tcPr>
          <w:p>
            <w:pPr>
              <w:spacing w:after="0"/>
              <w:rPr>
                <w:sz w:val="19"/>
                <w:szCs w:val="19"/>
                <w:color w:val="auto"/>
              </w:rPr>
            </w:pPr>
          </w:p>
        </w:tc>
        <w:tc>
          <w:tcPr>
            <w:tcW w:w="1160" w:type="dxa"/>
            <w:vAlign w:val="bottom"/>
            <w:tcBorders>
              <w:bottom w:val="single" w:sz="8" w:color="929292"/>
              <w:right w:val="single" w:sz="8" w:color="B6B6B6"/>
            </w:tcBorders>
          </w:tcPr>
          <w:p>
            <w:pPr>
              <w:spacing w:after="0"/>
              <w:rPr>
                <w:sz w:val="19"/>
                <w:szCs w:val="19"/>
                <w:color w:val="auto"/>
              </w:rPr>
            </w:pPr>
          </w:p>
        </w:tc>
        <w:tc>
          <w:tcPr>
            <w:tcW w:w="660" w:type="dxa"/>
            <w:vAlign w:val="bottom"/>
            <w:tcBorders>
              <w:bottom w:val="single" w:sz="8" w:color="929292"/>
            </w:tcBorders>
          </w:tcPr>
          <w:p>
            <w:pPr>
              <w:spacing w:after="0"/>
              <w:rPr>
                <w:sz w:val="19"/>
                <w:szCs w:val="19"/>
                <w:color w:val="auto"/>
              </w:rPr>
            </w:pPr>
          </w:p>
        </w:tc>
        <w:tc>
          <w:tcPr>
            <w:tcW w:w="2160" w:type="dxa"/>
            <w:vAlign w:val="bottom"/>
            <w:tcBorders>
              <w:bottom w:val="single" w:sz="8" w:color="929292"/>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12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36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929292"/>
            </w:tcBorders>
          </w:tcPr>
          <w:p>
            <w:pPr>
              <w:spacing w:after="0" w:line="20" w:lineRule="exact"/>
              <w:rPr>
                <w:sz w:val="1"/>
                <w:szCs w:val="1"/>
                <w:color w:val="auto"/>
              </w:rPr>
            </w:pPr>
          </w:p>
        </w:tc>
        <w:tc>
          <w:tcPr>
            <w:tcW w:w="64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860" w:type="dxa"/>
            <w:vAlign w:val="bottom"/>
            <w:tcBorders>
              <w:top w:val="single" w:sz="8" w:color="auto"/>
              <w:bottom w:val="single" w:sz="8" w:color="929292"/>
            </w:tcBorders>
          </w:tcPr>
          <w:p>
            <w:pPr>
              <w:spacing w:after="0" w:line="20" w:lineRule="exact"/>
              <w:rPr>
                <w:sz w:val="1"/>
                <w:szCs w:val="1"/>
                <w:color w:val="auto"/>
              </w:rPr>
            </w:pPr>
          </w:p>
        </w:tc>
        <w:tc>
          <w:tcPr>
            <w:tcW w:w="1960" w:type="dxa"/>
            <w:vAlign w:val="bottom"/>
            <w:tcBorders>
              <w:bottom w:val="single" w:sz="8" w:color="929292"/>
            </w:tcBorders>
          </w:tcPr>
          <w:p>
            <w:pPr>
              <w:spacing w:after="0" w:line="20" w:lineRule="exact"/>
              <w:rPr>
                <w:sz w:val="1"/>
                <w:szCs w:val="1"/>
                <w:color w:val="auto"/>
              </w:rPr>
            </w:pPr>
          </w:p>
        </w:tc>
        <w:tc>
          <w:tcPr>
            <w:tcW w:w="1640" w:type="dxa"/>
            <w:vAlign w:val="bottom"/>
            <w:tcBorders>
              <w:top w:val="single" w:sz="8" w:color="auto"/>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660" w:type="dxa"/>
            <w:vAlign w:val="bottom"/>
            <w:tcBorders>
              <w:top w:val="single" w:sz="8" w:color="auto"/>
              <w:bottom w:val="single" w:sz="8" w:color="929292"/>
            </w:tcBorders>
          </w:tcPr>
          <w:p>
            <w:pPr>
              <w:spacing w:after="0" w:line="20" w:lineRule="exact"/>
              <w:rPr>
                <w:sz w:val="1"/>
                <w:szCs w:val="1"/>
                <w:color w:val="auto"/>
              </w:rPr>
            </w:pPr>
          </w:p>
        </w:tc>
        <w:tc>
          <w:tcPr>
            <w:tcW w:w="21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September 2023</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EU, Great Britain</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treatment of ALL and LBL in adult</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640" w:type="dxa"/>
            <w:vAlign w:val="bottom"/>
            <w:tcBorders>
              <w:left w:val="single" w:sz="8" w:color="B6B6B6"/>
              <w:right w:val="single" w:sz="8" w:color="B6B6B6"/>
            </w:tcBorders>
            <w:gridSpan w:val="3"/>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pediatric patients (1 month and</w:t>
            </w:r>
          </w:p>
        </w:tc>
        <w:tc>
          <w:tcPr>
            <w:tcW w:w="1640" w:type="dxa"/>
            <w:vAlign w:val="bottom"/>
          </w:tcPr>
          <w:p>
            <w:pPr>
              <w:spacing w:after="0"/>
              <w:rPr>
                <w:sz w:val="7"/>
                <w:szCs w:val="7"/>
                <w:color w:val="auto"/>
              </w:rPr>
            </w:pPr>
          </w:p>
        </w:tc>
        <w:tc>
          <w:tcPr>
            <w:tcW w:w="1160" w:type="dxa"/>
            <w:vAlign w:val="bottom"/>
            <w:tcBorders>
              <w:right w:val="single" w:sz="8" w:color="B6B6B6"/>
            </w:tcBorders>
          </w:tcPr>
          <w:p>
            <w:pPr>
              <w:spacing w:after="0"/>
              <w:rPr>
                <w:sz w:val="7"/>
                <w:szCs w:val="7"/>
                <w:color w:val="auto"/>
              </w:rPr>
            </w:pPr>
          </w:p>
        </w:tc>
        <w:tc>
          <w:tcPr>
            <w:tcW w:w="66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282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Borders>
              <w:right w:val="single" w:sz="8" w:color="B6B6B6"/>
            </w:tcBorders>
          </w:tcPr>
          <w:p>
            <w:pPr>
              <w:spacing w:after="0"/>
              <w:rPr>
                <w:sz w:val="8"/>
                <w:szCs w:val="8"/>
                <w:color w:val="auto"/>
              </w:rPr>
            </w:pPr>
          </w:p>
        </w:tc>
        <w:tc>
          <w:tcPr>
            <w:tcW w:w="66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3"/>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older) who have developed</w:t>
            </w:r>
          </w:p>
        </w:tc>
        <w:tc>
          <w:tcPr>
            <w:tcW w:w="1640" w:type="dxa"/>
            <w:vAlign w:val="bottom"/>
          </w:tcPr>
          <w:p>
            <w:pPr>
              <w:spacing w:after="0"/>
              <w:rPr>
                <w:sz w:val="12"/>
                <w:szCs w:val="12"/>
                <w:color w:val="auto"/>
              </w:rPr>
            </w:pPr>
          </w:p>
        </w:tc>
        <w:tc>
          <w:tcPr>
            <w:tcW w:w="1160" w:type="dxa"/>
            <w:vAlign w:val="bottom"/>
            <w:tcBorders>
              <w:right w:val="single" w:sz="8" w:color="B6B6B6"/>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40" w:type="dxa"/>
            <w:vAlign w:val="bottom"/>
            <w:tcBorders>
              <w:lef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136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1160" w:type="dxa"/>
            <w:vAlign w:val="bottom"/>
            <w:tcBorders>
              <w:right w:val="single" w:sz="8" w:color="B6B6B6"/>
            </w:tcBorders>
          </w:tcPr>
          <w:p>
            <w:pPr>
              <w:spacing w:after="0"/>
              <w:rPr>
                <w:sz w:val="3"/>
                <w:szCs w:val="3"/>
                <w:color w:val="auto"/>
              </w:rPr>
            </w:pPr>
          </w:p>
        </w:tc>
        <w:tc>
          <w:tcPr>
            <w:tcW w:w="66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hypersensitivity or silent inactivation</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1360" w:type="dxa"/>
            <w:vAlign w:val="bottom"/>
            <w:tcBorders>
              <w:bottom w:val="single" w:sz="8" w:color="B6B6B6"/>
              <w:right w:val="single" w:sz="8" w:color="B6B6B6"/>
            </w:tcBorders>
          </w:tcPr>
          <w:p>
            <w:pPr>
              <w:spacing w:after="0"/>
              <w:rPr>
                <w:sz w:val="19"/>
                <w:szCs w:val="19"/>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1640" w:type="dxa"/>
            <w:vAlign w:val="bottom"/>
            <w:tcBorders>
              <w:bottom w:val="single" w:sz="8" w:color="B6B6B6"/>
            </w:tcBorders>
          </w:tcPr>
          <w:p>
            <w:pPr>
              <w:spacing w:after="0"/>
              <w:rPr>
                <w:sz w:val="19"/>
                <w:szCs w:val="19"/>
                <w:color w:val="auto"/>
              </w:rPr>
            </w:pPr>
          </w:p>
        </w:tc>
        <w:tc>
          <w:tcPr>
            <w:tcW w:w="1160" w:type="dxa"/>
            <w:vAlign w:val="bottom"/>
            <w:tcBorders>
              <w:bottom w:val="single" w:sz="8" w:color="B6B6B6"/>
              <w:right w:val="single" w:sz="8" w:color="B6B6B6"/>
            </w:tcBorders>
          </w:tcPr>
          <w:p>
            <w:pPr>
              <w:spacing w:after="0"/>
              <w:rPr>
                <w:sz w:val="19"/>
                <w:szCs w:val="19"/>
                <w:color w:val="auto"/>
              </w:rPr>
            </w:pPr>
          </w:p>
        </w:tc>
        <w:tc>
          <w:tcPr>
            <w:tcW w:w="66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6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 patients with</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June 2020</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U.S. (licensed from Pharma Mar S.A.,</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metastatic small cell lung cancer, or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or PharmaMar)</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SCLC, with disease progression on or</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platinum-based chemotherapy.</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640" w:type="dxa"/>
            <w:vAlign w:val="bottom"/>
            <w:tcBorders>
              <w:left w:val="single" w:sz="8" w:color="B6B6B6"/>
              <w:bottom w:val="single" w:sz="8" w:color="CCEEFF"/>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860" w:type="dxa"/>
            <w:vAlign w:val="bottom"/>
            <w:tcBorders>
              <w:bottom w:val="single" w:sz="8" w:color="B6B6B6"/>
            </w:tcBorders>
            <w:shd w:val="clear" w:color="auto" w:fill="CCEEFF"/>
          </w:tcPr>
          <w:p>
            <w:pPr>
              <w:spacing w:after="0"/>
              <w:rPr>
                <w:sz w:val="24"/>
                <w:szCs w:val="24"/>
                <w:color w:val="auto"/>
              </w:rPr>
            </w:pPr>
          </w:p>
        </w:tc>
        <w:tc>
          <w:tcPr>
            <w:tcW w:w="1960" w:type="dxa"/>
            <w:vAlign w:val="bottom"/>
            <w:tcBorders>
              <w:bottom w:val="single" w:sz="8" w:color="B6B6B6"/>
              <w:right w:val="single" w:sz="8" w:color="B6B6B6"/>
            </w:tcBorders>
            <w:shd w:val="clear" w:color="auto" w:fill="CCEEFF"/>
          </w:tcPr>
          <w:p>
            <w:pPr>
              <w:spacing w:after="0"/>
              <w:rPr>
                <w:sz w:val="24"/>
                <w:szCs w:val="24"/>
                <w:color w:val="auto"/>
              </w:rPr>
            </w:pPr>
          </w:p>
        </w:tc>
        <w:tc>
          <w:tcPr>
            <w:tcW w:w="1640" w:type="dxa"/>
            <w:vAlign w:val="bottom"/>
            <w:tcBorders>
              <w:bottom w:val="single" w:sz="8" w:color="B6B6B6"/>
            </w:tcBorders>
            <w:shd w:val="clear" w:color="auto" w:fill="CCEEFF"/>
          </w:tcPr>
          <w:p>
            <w:pPr>
              <w:spacing w:after="0"/>
              <w:rPr>
                <w:sz w:val="24"/>
                <w:szCs w:val="24"/>
                <w:color w:val="auto"/>
              </w:rPr>
            </w:pPr>
          </w:p>
        </w:tc>
        <w:tc>
          <w:tcPr>
            <w:tcW w:w="1160" w:type="dxa"/>
            <w:vAlign w:val="bottom"/>
            <w:tcBorders>
              <w:bottom w:val="single" w:sz="8" w:color="B6B6B6"/>
              <w:right w:val="single" w:sz="8" w:color="B6B6B6"/>
            </w:tcBorders>
            <w:shd w:val="clear" w:color="auto" w:fill="CCEEFF"/>
          </w:tcPr>
          <w:p>
            <w:pPr>
              <w:spacing w:after="0"/>
              <w:rPr>
                <w:sz w:val="24"/>
                <w:szCs w:val="24"/>
                <w:color w:val="auto"/>
              </w:rPr>
            </w:pPr>
          </w:p>
        </w:tc>
        <w:tc>
          <w:tcPr>
            <w:tcW w:w="660" w:type="dxa"/>
            <w:vAlign w:val="bottom"/>
            <w:tcBorders>
              <w:bottom w:val="single" w:sz="8" w:color="B6B6B6"/>
            </w:tcBorders>
            <w:shd w:val="clear" w:color="auto" w:fill="CCEEFF"/>
          </w:tcPr>
          <w:p>
            <w:pPr>
              <w:spacing w:after="0"/>
              <w:rPr>
                <w:sz w:val="24"/>
                <w:szCs w:val="24"/>
                <w:color w:val="auto"/>
              </w:rPr>
            </w:pPr>
          </w:p>
        </w:tc>
        <w:tc>
          <w:tcPr>
            <w:tcW w:w="2160" w:type="dxa"/>
            <w:vAlign w:val="bottom"/>
            <w:tcBorders>
              <w:bottom w:val="single" w:sz="8" w:color="B6B6B6"/>
              <w:right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6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metastatic SCLC who have</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progressed on or after platinum-</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1640" w:type="dxa"/>
            <w:vAlign w:val="bottom"/>
            <w:shd w:val="clear" w:color="auto" w:fill="CCEEFF"/>
          </w:tcPr>
          <w:p>
            <w:pPr>
              <w:spacing w:after="0"/>
              <w:rPr>
                <w:sz w:val="20"/>
                <w:szCs w:val="20"/>
                <w:color w:val="auto"/>
              </w:rPr>
            </w:pPr>
          </w:p>
        </w:tc>
        <w:tc>
          <w:tcPr>
            <w:tcW w:w="1160" w:type="dxa"/>
            <w:vAlign w:val="bottom"/>
            <w:tcBorders>
              <w:right w:val="single" w:sz="8" w:color="B6B6B6"/>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gridSpan w:val="2"/>
            <w:shd w:val="clear" w:color="auto" w:fill="CCEEFF"/>
          </w:tcPr>
          <w:p>
            <w:pPr>
              <w:spacing w:after="0"/>
              <w:rPr>
                <w:sz w:val="20"/>
                <w:szCs w:val="20"/>
                <w:color w:val="auto"/>
              </w:rPr>
            </w:pPr>
          </w:p>
        </w:tc>
        <w:tc>
          <w:tcPr>
            <w:tcW w:w="860" w:type="dxa"/>
            <w:vAlign w:val="bottom"/>
            <w:tcBorders>
              <w:bottom w:val="single" w:sz="8" w:color="B6B6B6"/>
            </w:tcBorders>
            <w:shd w:val="clear" w:color="auto" w:fill="CCEEFF"/>
          </w:tcPr>
          <w:p>
            <w:pPr>
              <w:spacing w:after="0"/>
              <w:rPr>
                <w:sz w:val="20"/>
                <w:szCs w:val="20"/>
                <w:color w:val="auto"/>
              </w:rPr>
            </w:pPr>
          </w:p>
        </w:tc>
        <w:tc>
          <w:tcPr>
            <w:tcW w:w="196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severe hepatic veno-</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October 2013</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EU, Great Britain, EEA</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occlusive disease, or VOD, also</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Switzerland, Israel, Australia, South</w:t>
            </w: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known as sinusoidal obstruction</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Korea, Saudi Arabia</w:t>
            </w:r>
          </w:p>
        </w:tc>
        <w:tc>
          <w:tcPr>
            <w:tcW w:w="0" w:type="dxa"/>
            <w:vAlign w:val="bottom"/>
          </w:tcPr>
          <w:p>
            <w:pPr>
              <w:spacing w:after="0"/>
              <w:rPr>
                <w:sz w:val="1"/>
                <w:szCs w:val="1"/>
                <w:color w:val="auto"/>
              </w:rPr>
            </w:pP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syndrome, or SOS, following</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hematopoietic stem cell</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transplantation, or HSCT, therapy.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 and pediatric</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March 2016</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patients with hepatic VOD, also</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known as SOS, with renal or</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pulmonary dysfunction following</w:t>
            </w:r>
          </w:p>
        </w:tc>
        <w:tc>
          <w:tcPr>
            <w:tcW w:w="1640" w:type="dxa"/>
            <w:vAlign w:val="bottom"/>
          </w:tcPr>
          <w:p>
            <w:pPr>
              <w:spacing w:after="0"/>
              <w:rPr>
                <w:sz w:val="15"/>
                <w:szCs w:val="15"/>
                <w:color w:val="auto"/>
              </w:rPr>
            </w:pPr>
          </w:p>
        </w:tc>
        <w:tc>
          <w:tcPr>
            <w:tcW w:w="1160" w:type="dxa"/>
            <w:vAlign w:val="bottom"/>
            <w:tcBorders>
              <w:righ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HSCT.</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gridSpan w:val="3"/>
          </w:tcPr>
          <w:p>
            <w:pPr>
              <w:ind w:left="40"/>
              <w:spacing w:after="0" w:line="173"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severe hepatic VOD,</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July 2017</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Canada, Brazil</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282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also known as SOS, following HSCT</w:t>
            </w:r>
          </w:p>
        </w:tc>
        <w:tc>
          <w:tcPr>
            <w:tcW w:w="1640" w:type="dxa"/>
            <w:vAlign w:val="bottom"/>
          </w:tcPr>
          <w:p>
            <w:pPr>
              <w:spacing w:after="0"/>
              <w:rPr>
                <w:sz w:val="16"/>
                <w:szCs w:val="16"/>
                <w:color w:val="auto"/>
              </w:rPr>
            </w:pPr>
          </w:p>
        </w:tc>
        <w:tc>
          <w:tcPr>
            <w:tcW w:w="1160" w:type="dxa"/>
            <w:vAlign w:val="bottom"/>
            <w:tcBorders>
              <w:righ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hepatic SOS (hepatic</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June 2019</w:t>
            </w:r>
          </w:p>
        </w:tc>
        <w:tc>
          <w:tcPr>
            <w:tcW w:w="282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VOD).</w:t>
            </w:r>
          </w:p>
        </w:tc>
        <w:tc>
          <w:tcPr>
            <w:tcW w:w="1640" w:type="dxa"/>
            <w:vAlign w:val="bottom"/>
            <w:tcBorders>
              <w:bottom w:val="single" w:sz="8" w:color="B6B6B6"/>
            </w:tcBorders>
          </w:tcPr>
          <w:p>
            <w:pPr>
              <w:spacing w:after="0"/>
              <w:rPr>
                <w:sz w:val="20"/>
                <w:szCs w:val="20"/>
                <w:color w:val="auto"/>
              </w:rPr>
            </w:pPr>
          </w:p>
        </w:tc>
        <w:tc>
          <w:tcPr>
            <w:tcW w:w="1160" w:type="dxa"/>
            <w:vAlign w:val="bottom"/>
            <w:tcBorders>
              <w:bottom w:val="single" w:sz="8" w:color="B6B6B6"/>
              <w:right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newly-diagnosed</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August 2017</w:t>
            </w: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therapy-related acute myeloid</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leukemia, or t-AML, or AML with</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myelodysplasia-related changes, or</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AML-MRC, in adults and pediatric</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136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one year and older.</w:t>
            </w: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Vyxeos® liposomal</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August 2018</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EU, Great Britain, Switzerland, Israel,</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44 mg/100 mg powder for</w:t>
            </w: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diagnosed t-AML or AML-MRC.</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Australia, South Korea, Saudi Arabia</w:t>
            </w: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3"/>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concentrate for solution for</w:t>
            </w:r>
          </w:p>
        </w:tc>
        <w:tc>
          <w:tcPr>
            <w:tcW w:w="860" w:type="dxa"/>
            <w:vAlign w:val="bottom"/>
            <w:shd w:val="clear" w:color="auto" w:fill="CCEEFF"/>
          </w:tcPr>
          <w:p>
            <w:pPr>
              <w:spacing w:after="0"/>
              <w:rPr>
                <w:sz w:val="15"/>
                <w:szCs w:val="15"/>
                <w:color w:val="auto"/>
              </w:rPr>
            </w:pPr>
          </w:p>
        </w:tc>
        <w:tc>
          <w:tcPr>
            <w:tcW w:w="196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B6B6B6"/>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1160" w:type="dxa"/>
            <w:vAlign w:val="bottom"/>
            <w:tcBorders>
              <w:bottom w:val="single" w:sz="8" w:color="B6B6B6"/>
              <w:right w:val="single" w:sz="8" w:color="B6B6B6"/>
            </w:tcBorders>
            <w:shd w:val="clear" w:color="auto" w:fill="CCEEFF"/>
          </w:tcPr>
          <w:p>
            <w:pPr>
              <w:spacing w:after="0"/>
              <w:rPr>
                <w:sz w:val="19"/>
                <w:szCs w:val="19"/>
                <w:color w:val="auto"/>
              </w:rPr>
            </w:pPr>
          </w:p>
        </w:tc>
        <w:tc>
          <w:tcPr>
            <w:tcW w:w="66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2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diagnosed therapy-related t-AML or</w:t>
            </w:r>
          </w:p>
        </w:tc>
        <w:tc>
          <w:tcPr>
            <w:tcW w:w="1640" w:type="dxa"/>
            <w:vAlign w:val="bottom"/>
            <w:shd w:val="clear" w:color="auto" w:fill="CCEEFF"/>
          </w:tcPr>
          <w:p>
            <w:pPr>
              <w:spacing w:after="0"/>
              <w:rPr>
                <w:sz w:val="16"/>
                <w:szCs w:val="16"/>
                <w:color w:val="auto"/>
              </w:rPr>
            </w:pPr>
          </w:p>
        </w:tc>
        <w:tc>
          <w:tcPr>
            <w:tcW w:w="1160" w:type="dxa"/>
            <w:vAlign w:val="bottom"/>
            <w:tcBorders>
              <w:right w:val="single" w:sz="8" w:color="B6B6B6"/>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B6B6B6"/>
              <w:right w:val="single" w:sz="8" w:color="B6B6B6"/>
            </w:tcBorders>
            <w:gridSpan w:val="3"/>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Powder, 44 mg daunorubicin and</w:t>
            </w:r>
          </w:p>
        </w:tc>
        <w:tc>
          <w:tcPr>
            <w:tcW w:w="282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AML with AML-MRC.</w:t>
            </w: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100 mg cytarabine per vial,</w:t>
            </w:r>
          </w:p>
        </w:tc>
        <w:tc>
          <w:tcPr>
            <w:tcW w:w="860" w:type="dxa"/>
            <w:vAlign w:val="bottom"/>
            <w:shd w:val="clear" w:color="auto" w:fill="CCEEFF"/>
          </w:tcPr>
          <w:p>
            <w:pPr>
              <w:spacing w:after="0"/>
              <w:rPr>
                <w:sz w:val="15"/>
                <w:szCs w:val="15"/>
                <w:color w:val="auto"/>
              </w:rPr>
            </w:pPr>
          </w:p>
        </w:tc>
        <w:tc>
          <w:tcPr>
            <w:tcW w:w="196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160" w:type="dxa"/>
            <w:vAlign w:val="bottom"/>
            <w:tcBorders>
              <w:right w:val="single" w:sz="8" w:color="B6B6B6"/>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intravenous, or IV, infusion</w:t>
            </w:r>
          </w:p>
        </w:tc>
        <w:tc>
          <w:tcPr>
            <w:tcW w:w="860" w:type="dxa"/>
            <w:vAlign w:val="bottom"/>
            <w:tcBorders>
              <w:bottom w:val="single" w:sz="8" w:color="B6B6B6"/>
            </w:tcBorders>
            <w:shd w:val="clear" w:color="auto" w:fill="CCEEFF"/>
          </w:tcPr>
          <w:p>
            <w:pPr>
              <w:spacing w:after="0"/>
              <w:rPr>
                <w:sz w:val="20"/>
                <w:szCs w:val="20"/>
                <w:color w:val="auto"/>
              </w:rPr>
            </w:pPr>
          </w:p>
        </w:tc>
        <w:tc>
          <w:tcPr>
            <w:tcW w:w="196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Vyxeos® Combination for I.V.</w:t>
            </w: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High-risk AML</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March 2024</w:t>
            </w:r>
          </w:p>
        </w:tc>
        <w:tc>
          <w:tcPr>
            <w:tcW w:w="282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Japan (through licensing agreement)</w:t>
            </w:r>
            <w:r>
              <w:rPr>
                <w:rFonts w:ascii="Times New Roman" w:cs="Times New Roman" w:eastAsia="Times New Roman" w:hAnsi="Times New Roman"/>
                <w:sz w:val="20"/>
                <w:szCs w:val="20"/>
                <w:color w:val="auto"/>
                <w:vertAlign w:val="superscript"/>
              </w:rPr>
              <w:t>5</w:t>
            </w:r>
          </w:p>
        </w:tc>
        <w:tc>
          <w:tcPr>
            <w:tcW w:w="0" w:type="dxa"/>
            <w:vAlign w:val="bottom"/>
          </w:tcPr>
          <w:p>
            <w:pPr>
              <w:spacing w:after="0"/>
              <w:rPr>
                <w:sz w:val="1"/>
                <w:szCs w:val="1"/>
                <w:color w:val="auto"/>
              </w:rPr>
            </w:pPr>
          </w:p>
        </w:tc>
      </w:tr>
      <w:tr>
        <w:trPr>
          <w:trHeight w:val="239"/>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Injection</w:t>
            </w:r>
          </w:p>
        </w:tc>
        <w:tc>
          <w:tcPr>
            <w:tcW w:w="860" w:type="dxa"/>
            <w:vAlign w:val="bottom"/>
            <w:tcBorders>
              <w:bottom w:val="single" w:sz="8" w:color="B6B6B6"/>
            </w:tcBorders>
            <w:shd w:val="clear" w:color="auto" w:fill="CCEEFF"/>
          </w:tcPr>
          <w:p>
            <w:pPr>
              <w:spacing w:after="0"/>
              <w:rPr>
                <w:sz w:val="20"/>
                <w:szCs w:val="20"/>
                <w:color w:val="auto"/>
              </w:rPr>
            </w:pPr>
          </w:p>
        </w:tc>
        <w:tc>
          <w:tcPr>
            <w:tcW w:w="196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1160" w:type="dxa"/>
            <w:vAlign w:val="bottom"/>
            <w:tcBorders>
              <w:bottom w:val="single" w:sz="8" w:color="B6B6B6"/>
              <w:right w:val="single" w:sz="8" w:color="B6B6B6"/>
            </w:tcBorders>
            <w:shd w:val="clear" w:color="auto" w:fill="CCEEFF"/>
          </w:tcPr>
          <w:p>
            <w:pPr>
              <w:spacing w:after="0"/>
              <w:rPr>
                <w:sz w:val="20"/>
                <w:szCs w:val="20"/>
                <w:color w:val="auto"/>
              </w:rPr>
            </w:pPr>
          </w:p>
        </w:tc>
        <w:tc>
          <w:tcPr>
            <w:tcW w:w="66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European Economic Area</w:t>
      </w:r>
    </w:p>
    <w:p>
      <w:pPr>
        <w:ind w:right="5100"/>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Accelerated approval received from U.S. Food and Drug Administration, or FDA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Conditional approval received from Health Canada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Development and commercialization rights held by Nippon Shinyaku Co. Ltd. in Japan</w:t>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for treatment of cataplexy and in 2005 for treatment of EDS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We view the adoption of Xywav in narcolepsy as a positive indication that physicians and patients appreciate the benefits of a low-sodium oxybate option.</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June 2021, FDA recognized seven years of Orphan Drug Exclusivity, or ODE, for Xywav in narcolepsy. ODE extends through July 2027. Nevertheless, Lumryz, a fixed-dose, high-sodium oxybate, was approved by FDA on May 1, 2023, for the treatment of cataplexy or EDS in adults with narcolepsy.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0" w:lineRule="exact"/>
        <w:rPr>
          <w:sz w:val="20"/>
          <w:szCs w:val="20"/>
          <w:color w:val="auto"/>
        </w:rPr>
      </w:pPr>
    </w:p>
    <w:p>
      <w:pPr>
        <w:jc w:val="both"/>
        <w:ind w:right="60" w:firstLine="445"/>
        <w:spacing w:after="0" w:line="258"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5" w:lineRule="exact"/>
        <w:rPr>
          <w:sz w:val="20"/>
          <w:szCs w:val="20"/>
          <w:color w:val="auto"/>
        </w:rPr>
      </w:pPr>
    </w:p>
    <w:p>
      <w:pPr>
        <w:ind w:right="620" w:firstLine="445"/>
        <w:spacing w:after="0" w:line="266"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68"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Exiting the first quarter of 2024, there were approximately 12,950 patients taking Xywav, including approximately 9,900 patients with narcolepsy and approximately 3,050 patients with IH.</w:t>
      </w:r>
    </w:p>
    <w:p>
      <w:pPr>
        <w:spacing w:after="0" w:line="68"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of patients and health care providers for an innovative, high-quality erwinia asparaginase with reliable supply. The initial approved recommended dosage of Rylaze was for an intramuscular, or IM, administration of 25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every 48 hours. In November 2022, FDA approved a supplemental Biologics License Application, or sBLA, for a Monday/Wednesday/Friday 25/25/50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IM dosing schedule. In April 2022, we submitted a separate sBLA for IV administration. In February 2023, we received a complete response letter from FDA requesting additional clinical data on the IV administration of Rylaze. There is no impact on the approved product labeling for Rylaze IM administration. In September 2023, the EC granted marketing authorization for JZP458 under the trade name Enrylaze and the rolling launch in Europe is ongoing. This product has also been approved in the United Kingdom and Canada.</w:t>
      </w:r>
    </w:p>
    <w:p>
      <w:pPr>
        <w:spacing w:after="0" w:line="9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first-line extensive stage SCLC of Zepzelca in combination with Tecentriq® (atezolizumab).</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Defitelio is the first and only approved treatment for patients with VOD, severe VOD, or sVOD, or VOD with renal or pulmonary dysfunction following HSCT by regulatory authorities in the U.S., Europe, Japan and other markets.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spacing w:after="0" w:line="75" w:lineRule="exact"/>
        <w:rPr>
          <w:sz w:val="20"/>
          <w:szCs w:val="20"/>
          <w:color w:val="auto"/>
        </w:rPr>
      </w:pPr>
    </w:p>
    <w:p>
      <w:pPr>
        <w:jc w:val="both"/>
        <w:ind w:right="460" w:firstLine="445"/>
        <w:spacing w:after="0" w:line="261" w:lineRule="auto"/>
        <w:rPr>
          <w:sz w:val="20"/>
          <w:szCs w:val="20"/>
          <w:color w:val="auto"/>
        </w:rPr>
      </w:pPr>
      <w:r>
        <w:rPr>
          <w:rFonts w:ascii="Times New Roman" w:cs="Times New Roman" w:eastAsia="Times New Roman" w:hAnsi="Times New Roman"/>
          <w:sz w:val="18"/>
          <w:szCs w:val="18"/>
          <w:color w:val="auto"/>
        </w:rPr>
        <w:t>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With ongoing trends in the U.S. towards lower-intensity treatments and away from intensive chemotherapy regimens for AML, we have seen increasing competition from other therapeutic options.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Zanidatamab is a bispecific antibody that can simultaneously bind two non-overlapping epitopes of HER2, known as biparatopic binding.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biliary tract cancer, or BTC, we initiated a rolling BLA submission for accelerated approval in second-line BTC which was completed in March 2024. In addition, we have an ongoing Phase 3 randomized clinical trial evaluating zanidatamab in combination with chemotherapy plus or minus tislelizumab as a first-line treatment for HER2-expressing gastroesophageal adenocarcinoma, or GEA, and an ongoing Phase 2 trial examining zanidatamab in combination with chemotherapy in first-line patients with HER2-expressing metastatic GEA. There are also multiple ongoing clinical trials exploring zanidatamab in breast cancer and other HER2-expressing tumor types.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in first-line extensive stage SCLC.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w:t>
      </w:r>
    </w:p>
    <w:p>
      <w:pPr>
        <w:spacing w:after="0" w:line="5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6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interferon alpha, or IFNα, INDUKINE™ molecule. We initiated a Phase 1 clinical trial of JZP898 in late 2023.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initiated in October 2022.</w:t>
      </w:r>
    </w:p>
    <w:p>
      <w:pPr>
        <w:spacing w:after="0" w:line="11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December 2021, we initiated Phase 2 clinical trials for suvecaltamide (JZP385), for essential tremor, or ET. Additionally, in November 2022, we initiated a Phase 2 trial of suvecaltamide in patients with Parkinson's disease tremor. In December 2023, we announced that our Phase 2 clinical trial for JZP150 for treatment of post-traumatic stress disorder, or PTSD, did not meet the primary endpoint. We plan to fully evaluate these data; however, based on top-line results we do not anticipate moving forward with additional JZP150 development in PTSD. We are also pursuing early-stage activities related to the development of JZP324, an extended-release low sodium, oxybate formulation that we believe could provide a clinically meaningful option for narcolepsy patients.</w:t>
      </w:r>
    </w:p>
    <w:p>
      <w:pPr>
        <w:spacing w:after="0" w:line="7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 safety findings related to visual disturbances and cardiovascular effects; no liver toxicity signals were observed. We are committed to orexin-2 agonist development and have a backup orexin-2 receptor agonist program.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Review</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Previously treated, advanced HER2-expressing BTC (ongoing trial) (pivotal trial)</w:t>
            </w:r>
          </w:p>
        </w:tc>
      </w:tr>
      <w:tr>
        <w:trPr>
          <w:trHeight w:val="22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First-line HER2-positive GEA (ongoing trial)</w:t>
            </w: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First-line HER2-positive BTC (ongoing trial)</w:t>
            </w: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Zepzelca</w:t>
            </w:r>
          </w:p>
        </w:tc>
        <w:tc>
          <w:tcPr>
            <w:tcW w:w="7580" w:type="dxa"/>
            <w:vAlign w:val="bottom"/>
            <w:gridSpan w:val="3"/>
            <w:shd w:val="clear" w:color="auto" w:fill="CCEEFF"/>
          </w:tcPr>
          <w:p>
            <w:pPr>
              <w:ind w:left="900"/>
              <w:spacing w:after="0" w:line="176" w:lineRule="exact"/>
              <w:rPr>
                <w:sz w:val="20"/>
                <w:szCs w:val="20"/>
                <w:color w:val="auto"/>
              </w:rPr>
            </w:pPr>
            <w:r>
              <w:rPr>
                <w:rFonts w:ascii="Times New Roman" w:cs="Times New Roman" w:eastAsia="Times New Roman" w:hAnsi="Times New Roman"/>
                <w:sz w:val="18"/>
                <w:szCs w:val="18"/>
                <w:color w:val="auto"/>
              </w:rPr>
              <w:t>First-line extensive stage SCLC in combination with Tecentriq (collaboration with Roche)</w:t>
            </w: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Confirmatory second-line trial (PharmaMar study) (ongoing trial)</w:t>
            </w: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AML or high-risk Myelodysplastic Syndrome, or MDS (AML18) (cooperative group</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580" w:type="dxa"/>
            <w:vAlign w:val="bottom"/>
            <w:gridSpan w:val="3"/>
          </w:tcPr>
          <w:p>
            <w:pPr>
              <w:ind w:left="900"/>
              <w:spacing w:after="0" w:line="184" w:lineRule="exact"/>
              <w:rPr>
                <w:sz w:val="20"/>
                <w:szCs w:val="20"/>
                <w:color w:val="auto"/>
              </w:rPr>
            </w:pPr>
            <w:r>
              <w:rPr>
                <w:rFonts w:ascii="Times New Roman" w:cs="Times New Roman" w:eastAsia="Times New Roman" w:hAnsi="Times New Roman"/>
                <w:sz w:val="18"/>
                <w:szCs w:val="18"/>
                <w:color w:val="auto"/>
              </w:rPr>
              <w:t>studies) (ongoing trial)</w:t>
            </w:r>
          </w:p>
        </w:tc>
      </w:tr>
      <w:tr>
        <w:trPr>
          <w:trHeight w:val="180"/>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580" w:type="dxa"/>
            <w:vAlign w:val="bottom"/>
            <w:gridSpan w:val="3"/>
          </w:tcPr>
          <w:p>
            <w:pPr>
              <w:ind w:left="900"/>
              <w:spacing w:after="0" w:line="181"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group study) (ongoing trial)</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580" w:type="dxa"/>
            <w:vAlign w:val="bottom"/>
            <w:gridSpan w:val="3"/>
          </w:tcPr>
          <w:p>
            <w:pPr>
              <w:ind w:left="900"/>
              <w:spacing w:after="0" w:line="184" w:lineRule="exact"/>
              <w:rPr>
                <w:sz w:val="20"/>
                <w:szCs w:val="20"/>
                <w:color w:val="auto"/>
              </w:rPr>
            </w:pPr>
            <w:r>
              <w:rPr>
                <w:rFonts w:ascii="Times New Roman" w:cs="Times New Roman" w:eastAsia="Times New Roman" w:hAnsi="Times New Roman"/>
                <w:sz w:val="18"/>
                <w:szCs w:val="18"/>
                <w:color w:val="auto"/>
              </w:rPr>
              <w:t>Newly diagnosed pediatric patients with AML (Children’s Oncology Group cooperative</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group study) (ongoing trial)</w:t>
            </w: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chemotherapy (ongoing trial)</w:t>
            </w:r>
          </w:p>
        </w:tc>
      </w:tr>
      <w:tr>
        <w:trPr>
          <w:trHeight w:val="180"/>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Vyxeos</w:t>
            </w:r>
          </w:p>
        </w:tc>
        <w:tc>
          <w:tcPr>
            <w:tcW w:w="7580" w:type="dxa"/>
            <w:vAlign w:val="bottom"/>
            <w:gridSpan w:val="3"/>
            <w:shd w:val="clear" w:color="auto" w:fill="CCEEFF"/>
          </w:tcPr>
          <w:p>
            <w:pPr>
              <w:ind w:left="900"/>
              <w:spacing w:after="0" w:line="180" w:lineRule="exact"/>
              <w:rPr>
                <w:sz w:val="20"/>
                <w:szCs w:val="20"/>
                <w:color w:val="auto"/>
              </w:rPr>
            </w:pPr>
            <w:r>
              <w:rPr>
                <w:rFonts w:ascii="Times New Roman" w:cs="Times New Roman" w:eastAsia="Times New Roman" w:hAnsi="Times New Roman"/>
                <w:sz w:val="18"/>
                <w:szCs w:val="18"/>
                <w:color w:val="auto"/>
              </w:rPr>
              <w:t>High-risk MDS (European Myelodysplastic Syndromes) (cooperative group study)</w:t>
            </w: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81" w:lineRule="exact"/>
              <w:rPr>
                <w:sz w:val="20"/>
                <w:szCs w:val="20"/>
                <w:color w:val="auto"/>
              </w:rPr>
            </w:pPr>
            <w:r>
              <w:rPr>
                <w:rFonts w:ascii="Times New Roman" w:cs="Times New Roman" w:eastAsia="Times New Roman" w:hAnsi="Times New Roman"/>
                <w:sz w:val="18"/>
                <w:szCs w:val="18"/>
                <w:color w:val="auto"/>
              </w:rPr>
              <w:t>Newly diagnosed untreated patients with intermediate- and high-risk AML (cooperative</w:t>
            </w: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group study) (ongoing trial)</w:t>
            </w:r>
          </w:p>
        </w:tc>
      </w:tr>
      <w:tr>
        <w:trPr>
          <w:trHeight w:val="176"/>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Relapsed/refractory, or R/R AML or hypomethylating agent failure MDS (MD Anderson</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580" w:type="dxa"/>
            <w:vAlign w:val="bottom"/>
            <w:gridSpan w:val="3"/>
          </w:tcPr>
          <w:p>
            <w:pPr>
              <w:ind w:left="900"/>
              <w:spacing w:after="0" w:line="184" w:lineRule="exact"/>
              <w:rPr>
                <w:sz w:val="20"/>
                <w:szCs w:val="20"/>
                <w:color w:val="auto"/>
              </w:rPr>
            </w:pPr>
            <w:r>
              <w:rPr>
                <w:rFonts w:ascii="Times New Roman" w:cs="Times New Roman" w:eastAsia="Times New Roman" w:hAnsi="Times New Roman"/>
                <w:sz w:val="18"/>
                <w:szCs w:val="18"/>
                <w:color w:val="auto"/>
              </w:rPr>
              <w:t>collaboration study) (ongoing trial)</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Previously treated HER2+HR+ breast cancer in combination with palbociclib (ongoing</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Raf and Ras mutant tumors (acquired from Redx Pharma plc, or Redx) (ongoing trial)</w:t>
            </w: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antineoplastic therapies (ongoing trial)</w:t>
            </w:r>
          </w:p>
        </w:tc>
      </w:tr>
    </w:tbl>
    <w:p>
      <w:pPr>
        <w:spacing w:after="0" w:line="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 xml:space="preserve">JZP341 (long-acting </w:t>
      </w:r>
      <w:r>
        <w:rPr>
          <w:rFonts w:ascii="Times New Roman" w:cs="Times New Roman" w:eastAsia="Times New Roman" w:hAnsi="Times New Roman"/>
          <w:sz w:val="18"/>
          <w:szCs w:val="18"/>
          <w:i w:val="1"/>
          <w:iCs w:val="1"/>
          <w:color w:val="auto"/>
        </w:rPr>
        <w:t>Erwinia</w:t>
      </w:r>
      <w:r>
        <w:rPr>
          <w:rFonts w:ascii="Times New Roman" w:cs="Times New Roman" w:eastAsia="Times New Roman" w:hAnsi="Times New Roman"/>
          <w:sz w:val="18"/>
          <w:szCs w:val="18"/>
          <w:color w:val="auto"/>
        </w:rPr>
        <w:t xml:space="preserve"> asparaginase)</w:t>
      </w:r>
    </w:p>
    <w:p>
      <w:pPr>
        <w:spacing w:after="0" w:line="20" w:lineRule="exact"/>
        <w:rPr>
          <w:sz w:val="20"/>
          <w:szCs w:val="20"/>
          <w:color w:val="auto"/>
        </w:rPr>
      </w:pPr>
      <w:r>
        <w:rPr>
          <w:sz w:val="20"/>
          <w:szCs w:val="20"/>
          <w:color w:val="auto"/>
        </w:rPr>
        <w:br w:type="column"/>
      </w:r>
    </w:p>
    <w:p>
      <w:pPr>
        <w:ind w:right="460"/>
        <w:spacing w:after="0" w:line="237" w:lineRule="auto"/>
        <w:rPr>
          <w:sz w:val="20"/>
          <w:szCs w:val="20"/>
          <w:color w:val="auto"/>
        </w:rPr>
      </w:pPr>
      <w:r>
        <w:rPr>
          <w:rFonts w:ascii="Times New Roman" w:cs="Times New Roman" w:eastAsia="Times New Roman" w:hAnsi="Times New Roman"/>
          <w:sz w:val="18"/>
          <w:szCs w:val="18"/>
          <w:color w:val="auto"/>
        </w:rPr>
        <w:t>Solid tumors (licensed from Ligand Pharmaceuticals Incorporated, or Ligand)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-255905</wp:posOffset>
            </wp:positionV>
            <wp:extent cx="7071995"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1995" cy="26543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3740" w:space="720"/>
            <w:col w:w="6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JZP898</w:t>
            </w:r>
          </w:p>
        </w:tc>
        <w:tc>
          <w:tcPr>
            <w:tcW w:w="81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800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Low intensity dosing for higher risk MDS (MD Anderson collaboration study) (ongoing</w:t>
            </w:r>
          </w:p>
        </w:tc>
        <w:tc>
          <w:tcPr>
            <w:tcW w:w="100" w:type="dxa"/>
            <w:vAlign w:val="bottom"/>
          </w:tcPr>
          <w:p>
            <w:pPr>
              <w:spacing w:after="0"/>
              <w:rPr>
                <w:sz w:val="15"/>
                <w:szCs w:val="15"/>
                <w:color w:val="auto"/>
              </w:rPr>
            </w:pPr>
          </w:p>
        </w:tc>
      </w:tr>
      <w:tr>
        <w:trPr>
          <w:trHeight w:val="243"/>
        </w:trPr>
        <w:tc>
          <w:tcPr>
            <w:tcW w:w="3140" w:type="dxa"/>
            <w:vAlign w:val="bottom"/>
            <w:shd w:val="clear" w:color="auto" w:fill="CCEEFF"/>
          </w:tcPr>
          <w:p>
            <w:pPr>
              <w:spacing w:after="0"/>
              <w:rPr>
                <w:sz w:val="21"/>
                <w:szCs w:val="21"/>
                <w:color w:val="auto"/>
              </w:rPr>
            </w:pP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trial)</w:t>
            </w:r>
          </w:p>
        </w:tc>
        <w:tc>
          <w:tcPr>
            <w:tcW w:w="100" w:type="dxa"/>
            <w:vAlign w:val="bottom"/>
          </w:tcPr>
          <w:p>
            <w:pPr>
              <w:spacing w:after="0"/>
              <w:rPr>
                <w:sz w:val="21"/>
                <w:szCs w:val="2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KRAS inhibitor targets</w:t>
            </w: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G12D selective and pan-KRAS molecules (acquired from Redx)</w:t>
            </w:r>
          </w:p>
        </w:tc>
        <w:tc>
          <w:tcPr>
            <w:tcW w:w="100" w:type="dxa"/>
            <w:vAlign w:val="bottom"/>
          </w:tcPr>
          <w:p>
            <w:pPr>
              <w:spacing w:after="0"/>
              <w:rPr>
                <w:sz w:val="19"/>
                <w:szCs w:val="19"/>
                <w:color w:val="auto"/>
              </w:rPr>
            </w:pPr>
          </w:p>
        </w:tc>
      </w:tr>
      <w:tr>
        <w:trPr>
          <w:trHeight w:val="22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Undisclosed target</w:t>
            </w:r>
          </w:p>
        </w:tc>
        <w:tc>
          <w:tcPr>
            <w:tcW w:w="8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Ras/Raf/MAP kinase pathway (collaboration with Redx)</w:t>
            </w:r>
          </w:p>
        </w:tc>
        <w:tc>
          <w:tcPr>
            <w:tcW w:w="100" w:type="dxa"/>
            <w:vAlign w:val="bottom"/>
          </w:tcPr>
          <w:p>
            <w:pPr>
              <w:spacing w:after="0"/>
              <w:rPr>
                <w:sz w:val="19"/>
                <w:szCs w:val="19"/>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targets</w:t>
            </w: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Oncology</w:t>
            </w:r>
          </w:p>
        </w:tc>
        <w:tc>
          <w:tcPr>
            <w:tcW w:w="100" w:type="dxa"/>
            <w:vAlign w:val="bottom"/>
          </w:tcPr>
          <w:p>
            <w:pPr>
              <w:spacing w:after="0"/>
              <w:rPr>
                <w:sz w:val="19"/>
                <w:szCs w:val="19"/>
                <w:color w:val="auto"/>
              </w:rPr>
            </w:pPr>
          </w:p>
        </w:tc>
      </w:tr>
      <w:tr>
        <w:trPr>
          <w:trHeight w:val="230"/>
        </w:trPr>
        <w:tc>
          <w:tcPr>
            <w:tcW w:w="3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CombiPlex</w:t>
            </w:r>
            <w:r>
              <w:rPr>
                <w:rFonts w:ascii="Times New Roman" w:cs="Times New Roman" w:eastAsia="Times New Roman" w:hAnsi="Times New Roman"/>
                <w:sz w:val="23"/>
                <w:szCs w:val="23"/>
                <w:color w:val="auto"/>
                <w:vertAlign w:val="superscript"/>
              </w:rPr>
              <w:t>®</w:t>
            </w:r>
          </w:p>
        </w:tc>
        <w:tc>
          <w:tcPr>
            <w:tcW w:w="8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c>
          <w:tcPr>
            <w:tcW w:w="100" w:type="dxa"/>
            <w:vAlign w:val="bottom"/>
          </w:tcPr>
          <w:p>
            <w:pPr>
              <w:spacing w:after="0"/>
              <w:rPr>
                <w:sz w:val="19"/>
                <w:szCs w:val="19"/>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0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Epidyolex</w:t>
            </w: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LGS, TSC and DS (ongoing trial in Japan)</w:t>
            </w:r>
          </w:p>
        </w:tc>
        <w:tc>
          <w:tcPr>
            <w:tcW w:w="100" w:type="dxa"/>
            <w:vAlign w:val="bottom"/>
          </w:tcPr>
          <w:p>
            <w:pPr>
              <w:spacing w:after="0"/>
              <w:rPr>
                <w:sz w:val="19"/>
                <w:szCs w:val="19"/>
                <w:color w:val="auto"/>
              </w:rPr>
            </w:pPr>
          </w:p>
        </w:tc>
      </w:tr>
      <w:tr>
        <w:trPr>
          <w:trHeight w:val="864"/>
        </w:trPr>
        <w:tc>
          <w:tcPr>
            <w:tcW w:w="3140" w:type="dxa"/>
            <w:vAlign w:val="bottom"/>
          </w:tcPr>
          <w:p>
            <w:pPr>
              <w:spacing w:after="0"/>
              <w:rPr>
                <w:sz w:val="24"/>
                <w:szCs w:val="24"/>
                <w:color w:val="auto"/>
              </w:rPr>
            </w:pPr>
          </w:p>
        </w:tc>
        <w:tc>
          <w:tcPr>
            <w:tcW w:w="8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8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900" w:type="dxa"/>
            <w:vAlign w:val="bottom"/>
          </w:tcPr>
          <w:p>
            <w:pPr>
              <w:spacing w:after="0"/>
              <w:rPr>
                <w:sz w:val="17"/>
                <w:szCs w:val="17"/>
                <w:color w:val="auto"/>
              </w:rPr>
            </w:pPr>
          </w:p>
        </w:tc>
      </w:tr>
      <w:tr>
        <w:trPr>
          <w:trHeight w:val="93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Phase 2b</w:t>
            </w:r>
          </w:p>
        </w:tc>
        <w:tc>
          <w:tcPr>
            <w:tcW w:w="1960" w:type="dxa"/>
            <w:vAlign w:val="bottom"/>
          </w:tcPr>
          <w:p>
            <w:pPr>
              <w:spacing w:after="0"/>
              <w:rPr>
                <w:sz w:val="24"/>
                <w:szCs w:val="24"/>
                <w:color w:val="auto"/>
              </w:rPr>
            </w:pPr>
          </w:p>
        </w:tc>
        <w:tc>
          <w:tcPr>
            <w:tcW w:w="7900" w:type="dxa"/>
            <w:vAlign w:val="bottom"/>
          </w:tcPr>
          <w:p>
            <w:pPr>
              <w:spacing w:after="0"/>
              <w:rPr>
                <w:sz w:val="24"/>
                <w:szCs w:val="24"/>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ET (ongoing trial)</w:t>
            </w: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7900" w:type="dxa"/>
            <w:vAlign w:val="bottom"/>
          </w:tcPr>
          <w:p>
            <w:pPr>
              <w:spacing w:after="0"/>
              <w:rPr>
                <w:sz w:val="19"/>
                <w:szCs w:val="19"/>
                <w:color w:val="auto"/>
              </w:rPr>
            </w:pPr>
          </w:p>
        </w:tc>
      </w:tr>
      <w:tr>
        <w:trPr>
          <w:trHeight w:val="338"/>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Parkinson's disease tremor (ongoing trial)</w:t>
            </w: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7900" w:type="dxa"/>
            <w:vAlign w:val="bottom"/>
          </w:tcPr>
          <w:p>
            <w:pPr>
              <w:spacing w:after="0"/>
              <w:rPr>
                <w:sz w:val="19"/>
                <w:szCs w:val="19"/>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JZP324</w:t>
            </w:r>
          </w:p>
        </w:tc>
        <w:tc>
          <w:tcPr>
            <w:tcW w:w="7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30"/>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JZP441*</w:t>
            </w:r>
          </w:p>
        </w:tc>
        <w:tc>
          <w:tcPr>
            <w:tcW w:w="7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Potent, highly selective oral orexin-2 receptor agonist (paused)</w:t>
            </w:r>
          </w:p>
        </w:tc>
      </w:tr>
      <w:tr>
        <w:trPr>
          <w:trHeight w:val="229"/>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cannabinoids</w:t>
            </w:r>
          </w:p>
        </w:tc>
        <w:tc>
          <w:tcPr>
            <w:tcW w:w="7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Other neuroscience (ongoing trials)</w:t>
            </w: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7900" w:type="dxa"/>
            <w:vAlign w:val="bottom"/>
          </w:tcPr>
          <w:p>
            <w:pPr>
              <w:spacing w:after="0"/>
              <w:rPr>
                <w:sz w:val="19"/>
                <w:szCs w:val="19"/>
                <w:color w:val="auto"/>
              </w:rPr>
            </w:pPr>
          </w:p>
        </w:tc>
      </w:tr>
      <w:tr>
        <w:trPr>
          <w:trHeight w:val="175"/>
        </w:trPr>
        <w:tc>
          <w:tcPr>
            <w:tcW w:w="3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900" w:type="dxa"/>
            <w:vAlign w:val="bottom"/>
            <w:shd w:val="clear" w:color="auto" w:fill="CCEEFF"/>
          </w:tcPr>
          <w:p>
            <w:pPr>
              <w:ind w:left="122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12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7900" w:type="dxa"/>
            <w:vAlign w:val="bottom"/>
            <w:shd w:val="clear" w:color="auto" w:fill="CCEEFF"/>
          </w:tcPr>
          <w:p>
            <w:pPr>
              <w:ind w:left="122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1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7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41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*Also known as DSP-0187</w:t>
            </w:r>
          </w:p>
        </w:tc>
        <w:tc>
          <w:tcPr>
            <w:tcW w:w="7900" w:type="dxa"/>
            <w:vAlign w:val="bottom"/>
          </w:tcPr>
          <w:p>
            <w:pPr>
              <w:spacing w:after="0"/>
              <w:rPr>
                <w:sz w:val="24"/>
                <w:szCs w:val="24"/>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Operational Excellence</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remain focused on continuing to build excellence in areas that we believe will give us a competitive advantage, including maintaining an increasingly agile and adaptable commercialization engine and strengthening our customer-focused market expertise across patients, providers and payors. We are continuously refining our approach to engage customers by strengthening alignment and integration across functions and across regions. This includes deploying a mix of in-person and digital initiatives at scientific congresses designed to provide promotional and non-promotional interactions as well as supporting our field-based teams with digital customer interaction tools, training and content. These initiatives are representative of our enterprise operating model evolution that is directly linked to our corporate strategy and are designed to better enable our teams to work collaboratively on an aligned and shared agenda through both in-person and digital interactions. In most geographies, medical congresses and healthcare practices have resumed pre-pandemic levels of in-person activities.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Challenges, Risks and Trends Related to Our Business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Historically, our business was substantially dependent on Xyrem and our financial results were significantly influenced by sales of Xyrem. 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9" w:lineRule="exact"/>
        <w:rPr>
          <w:sz w:val="20"/>
          <w:szCs w:val="20"/>
          <w:color w:val="auto"/>
        </w:rPr>
      </w:pPr>
    </w:p>
    <w:p>
      <w:pPr>
        <w:ind w:right="340" w:firstLine="445"/>
        <w:spacing w:after="0" w:line="289" w:lineRule="auto"/>
        <w:rPr>
          <w:sz w:val="20"/>
          <w:szCs w:val="20"/>
          <w:color w:val="auto"/>
        </w:rPr>
      </w:pPr>
      <w:r>
        <w:rPr>
          <w:rFonts w:ascii="Times New Roman" w:cs="Times New Roman" w:eastAsia="Times New Roman" w:hAnsi="Times New Roman"/>
          <w:sz w:val="17"/>
          <w:szCs w:val="17"/>
          <w:color w:val="auto"/>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we are focused on providing robust patient copay and savings programs and facilitating payor coverage for Xywav.</w:t>
      </w:r>
    </w:p>
    <w:p>
      <w:pPr>
        <w:spacing w:after="0" w:line="5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New Drug Application, or NDA, for Avadel's Lumryz was unlawful. In the complaint, we allege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We cannot at this time predict the timing or ultimate outcome of this litigation or the impact of this litigation on our business.</w:t>
      </w:r>
    </w:p>
    <w:p>
      <w:pPr>
        <w:spacing w:after="0" w:line="7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addition, in January 2023, our oxybate products began to face competition from an authorized generic, or AG, version of high-sodium oxybate pursuant to a settlement agreement we entered into with an abbreviated new drug application, or ANDA, filer. In July 2023, a volume-limited ANDA filer launched an AG version of high-sodium oxybate. These AG products have negatively impacted and are expected to continue to negatively impact Xyrem and Xywav sales for patients with narcolepsy. Specifically, a wholly 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which must be open to any other company seeking to commercialize a sodium oxybate product. In our settlements with Amneal, Lupin Inc., or Lupin, and Par Pharmaceutical, Inc., or Par, we granted each party the right to sell a limited volume of an AG product in the U.S. beginning on July 1, 2023 and ending on December 31, 2025, with royalties to be paid to us. Amneal launched its AG version of 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89"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6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8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6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81" w:lineRule="exact"/>
        <w:rPr>
          <w:sz w:val="20"/>
          <w:szCs w:val="20"/>
          <w:color w:val="auto"/>
        </w:rPr>
      </w:pPr>
    </w:p>
    <w:p>
      <w:pPr>
        <w:ind w:right="40" w:firstLine="445"/>
        <w:spacing w:after="0" w:line="269"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71"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1" w:lineRule="exact"/>
        <w:rPr>
          <w:sz w:val="20"/>
          <w:szCs w:val="20"/>
          <w:color w:val="auto"/>
        </w:rPr>
      </w:pPr>
    </w:p>
    <w:p>
      <w:pPr>
        <w:ind w:firstLine="445"/>
        <w:spacing w:after="0" w:line="217" w:lineRule="exact"/>
        <w:rPr>
          <w:sz w:val="20"/>
          <w:szCs w:val="20"/>
          <w:color w:val="auto"/>
        </w:rPr>
      </w:pPr>
      <w:r>
        <w:rPr>
          <w:rFonts w:ascii="Times New Roman" w:cs="Times New Roman" w:eastAsia="Times New Roman" w:hAnsi="Times New Roman"/>
          <w:sz w:val="18"/>
          <w:szCs w:val="18"/>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68"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These risks and uncertainties are discussed in greater detail, along with other risks and uncertainties, in “Risk Factors” in Part I, Item 1A of our Annual Report on Form 10-K for the year ended December 31, 2023, as supplemented by the risks and uncertainties described in "Risk Factors" in Part II, Item 1A of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developed technologies)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thousands,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651,898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Xywav product sales increased in the three months ended March 31, 2024, compared to the same period in 2023, primarily due to increased sales volumes of 16% and, to a lesser extent, a higher selling price,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9,900 patients taking Xywav for narcolepsy and 3,050 taking Xywav for IH, an increase of approximately 9% and 53%, respectively, compared to the same period in 2023. Xyrem product sales decreased in the three months ended March 31, 2024, compared to the same period in 2023, primarily due to decreased sales volumes of 63%, due to the adoption of Xywav by existing Xyrem patients, the availability of high-sodium oxybate competition, changes to formulary coverage impacting narcolepsy patients, and higher gross to net deductions, offset by a higher selling price. Epidiolex/Epidyolex product sales increased in the three months ended March 31, 2024, compared to the same period in 2023, primarily due to increased sales volumes of 5%, due to increased demand and geographic expansion, and a higher average selling price, partially offset by higher gross to net deductions.</w:t>
      </w:r>
    </w:p>
    <w:p>
      <w:pPr>
        <w:spacing w:after="0" w:line="8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Rylaze/Enrylaze product sales increased in the three months ended March 31, 2024, compared to the same period in 2023, primarily due to increased sales volumes of 19% and, to a lesser extent, a higher selling price, offset by higher gross to net deductions. The increased volumes reflect the strong demand for Rylaze driven by robust adoption in pediatric asparaginase-based oncology protocols in the U.S, adoption of the Monday/Wednesday/Friday dosing regimen, along with use of Rylaze in the first line setting and in the treatment of adolescents and young adults. Zepzelca product sales increased in the three months ended March 31, 2024, compared to the same period in 2023, primarily due to increased sales volumes and a higher selling price. Defitelio/defibrotide product sales increased in the three months ended March 31, 2024, compared to the same period in 2023, primarily due to increased sales volumes and a higher average selling price. Vyxeos product sales decreased in the three months ended March 31, 2024, primarily due to a decrease in sales volumes and higher gross to net deductions, partially offset by a higher average selling price.</w:t>
      </w:r>
    </w:p>
    <w:p>
      <w:pPr>
        <w:spacing w:after="0" w:line="84"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We expect total product sales will increase in 2024 over 2023, primarily due to our key growth drivers; Xywav, through continued growth in the IH market, Epidiolex through growth in current markets and expansion into new markets and Rylaze through demand, offset by a decrease in sales of Xyrem due to the impact of high-sodium oxybate competition.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Royalties and contract revenues increased in the three months ended March 31, 2024, compared to the same period in 2023, primarily due to royalty revenue received from Hikma Pharmaceuticals plc on net sales of their high sodium</w:t>
      </w:r>
    </w:p>
    <w:p>
      <w:pPr>
        <w:ind w:right="40"/>
        <w:spacing w:after="0" w:line="260" w:lineRule="auto"/>
        <w:rPr>
          <w:sz w:val="20"/>
          <w:szCs w:val="20"/>
          <w:color w:val="auto"/>
        </w:rPr>
      </w:pPr>
      <w:r>
        <w:rPr>
          <w:rFonts w:ascii="Times New Roman" w:cs="Times New Roman" w:eastAsia="Times New Roman" w:hAnsi="Times New Roman"/>
          <w:sz w:val="18"/>
          <w:szCs w:val="18"/>
          <w:color w:val="auto"/>
        </w:rPr>
        <w:t>oxybate AG. We expect royalties and contract revenues to increase in 2024 compared to 2023, primarily due to increased royalty revenues arising from net sales of high-sodium oxybate AG, primarily due to higher royalty rates in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Cost of product sales decreased in the three months ended March 31, 2024, compared to the same period in 2023, primarily due to a reduction in the acquisition accounting inventory fair value step-up expense, or fair value step-up expense. Gross margin as a percentage of net product sales was 88.7% for the three months ended March 31, 2024 compared to 85.5% for the same period in 2023, due to a reduction in fair value step-up expense. We expect our cost of product sales to increase in 2024 compared to 2023, primarily driven by a change in product mix.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in the three months ended March 31, 2024, compared to the same period in 2023, primarily due to an increase in compensation-related expenses of $18.3 million primarily driven by higher headcount in support of our key growth drivers, increased marketing investment in our priority programs of $9.6 million and litigation costs of $8.2 million.</w:t>
      </w:r>
    </w:p>
    <w:p>
      <w:pPr>
        <w:spacing w:after="0" w:line="68"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We expect selling, general and administrative expenses in 2024 to increase compared to 2023, primarily due to continued investment in our key growth drivers, such as Xywav in IH, Epidiolex and Rylaze along with increased employee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189,410</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firstLine="445"/>
        <w:spacing w:after="0" w:line="281" w:lineRule="auto"/>
        <w:rPr>
          <w:sz w:val="20"/>
          <w:szCs w:val="20"/>
          <w:color w:val="auto"/>
        </w:rPr>
      </w:pPr>
      <w:r>
        <w:rPr>
          <w:rFonts w:ascii="Times New Roman" w:cs="Times New Roman" w:eastAsia="Times New Roman" w:hAnsi="Times New Roman"/>
          <w:sz w:val="17"/>
          <w:szCs w:val="17"/>
          <w:color w:val="auto"/>
        </w:rPr>
        <w:t>Research and development expenses increased by $33.4 million in the three months ended March 31, 2024, compared to the same period in 2023. Clinical studies and outside services costs increased in the three months ended March 31, 2024, compared to the same period in 2023, primarily due to higher costs related to zanidatamab programs, and, to a lesser extent, JZP385. Personnel expenses increased in the three months ended March 31, 2024, compared to the same period in 2023, primarily driven by increased compensation costs and higher headcount in support of our development programs.</w:t>
      </w:r>
    </w:p>
    <w:p>
      <w:pPr>
        <w:spacing w:after="0" w:line="56"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For 2024, we expect that our research and development expenses will continue to increase compared to 2023 as we prepare for anticipated data read-outs from clinical trials, initiate and undertake additional clinical trials and related development work primarily relating to zanidatamab.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Intangible asset amortization increased in the three months ended March 31, 2024, compared to the same period in 2023, primarily due to the impact of foreign currency translation adjustments. Intangible asset amortization for 2024 is expected to be in line with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or IPR&amp;D, expense in the three months ended March 31, 2024, related to the upfront payment of $10.0 million made in connection with our asset purchase and collaboration agreement with Redx to acquire global rights to the Kirsten rat sarcoma virus, or KRAS, Inhibitor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$8.0 million in the three months ended March 31, 2024, compared to the same period in 2023, primarily driven by higher interest income on investments. We expect interest expense, net to decrease in 2024 compared to 2023, primarily due to lower interest expense following the repricing of the seven-year $3.1 billion term loan B facility, or the Dollar Term Loan, for further information on this please refer to Liquidity and Capital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119" w:lineRule="exact"/>
        <w:rPr>
          <w:sz w:val="20"/>
          <w:szCs w:val="20"/>
          <w:color w:val="auto"/>
        </w:rPr>
      </w:pPr>
    </w:p>
    <w:p>
      <w:pPr>
        <w:ind w:right="560" w:firstLine="445"/>
        <w:spacing w:after="0" w:line="266" w:lineRule="auto"/>
        <w:rPr>
          <w:sz w:val="20"/>
          <w:szCs w:val="20"/>
          <w:color w:val="auto"/>
        </w:rPr>
      </w:pPr>
      <w:r>
        <w:rPr>
          <w:rFonts w:ascii="Times New Roman" w:cs="Times New Roman" w:eastAsia="Times New Roman" w:hAnsi="Times New Roman"/>
          <w:sz w:val="18"/>
          <w:szCs w:val="18"/>
          <w:color w:val="auto"/>
        </w:rPr>
        <w:t>The foreign exchange (gain)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right="140" w:firstLine="445"/>
        <w:spacing w:after="0" w:line="289" w:lineRule="auto"/>
        <w:rPr>
          <w:sz w:val="20"/>
          <w:szCs w:val="20"/>
          <w:color w:val="auto"/>
        </w:rPr>
      </w:pPr>
      <w:r>
        <w:rPr>
          <w:rFonts w:ascii="Times New Roman" w:cs="Times New Roman" w:eastAsia="Times New Roman" w:hAnsi="Times New Roman"/>
          <w:sz w:val="17"/>
          <w:szCs w:val="17"/>
          <w:color w:val="auto"/>
        </w:rPr>
        <w:t>Our income tax expense was $11.7 million for the three months ended March 31, 2024, resulting primarily from tax deficiencies from share-based compensation. Our income tax benefit was $15.3 million for the same period in 2023, relating to tax arising on income or losses in Ireland, the U.K., the U.S. and certain other foreign jurisdictions, offset by deductions on subsidiary equity, foreign derived intangible income, or FDII, and patent box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As of March 31, 2024, we had cash, cash equivalents and investments of $1.8 billion, borrowing availability under our five-year $500.0 million revolving credit facility, or the Revolving Credit Facility, of $500.0 million and long-term debt principal balance of $5.8 billion. Our long-term debt included $2.7 billion aggregate principal amount of the Dollar Term Loan, $1.5 billion in aggregate principal amount of 4.375% senior secured notes, due 2029, or the Secured Notes, $1.0 billion principal amount on our 2.00% exchangeable senior notes due 2026 and $575.0 million principal amount on our 1.50% exchangeable senior notes due 2024, or 2024 Notes. We generated cash flows from operations of $267.2 million during the three months ended March 31, 2024, and we expect to continue to generate positive cash flows from operations which will enable us to operate our business and de-lever our balance sheet over time.</w:t>
      </w:r>
    </w:p>
    <w:p>
      <w:pPr>
        <w:spacing w:after="0" w:line="8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Euro Term Loan €625.0 million, or $753.0 million and made voluntary and mandatory repayments of $300.0 million and $85.3 million, respectively, relating to the Dollar Term Loan.</w:t>
      </w:r>
    </w:p>
    <w:p>
      <w:pPr>
        <w:spacing w:after="0" w:line="54" w:lineRule="exact"/>
        <w:rPr>
          <w:sz w:val="20"/>
          <w:szCs w:val="20"/>
          <w:color w:val="auto"/>
        </w:rPr>
      </w:pPr>
    </w:p>
    <w:p>
      <w:pPr>
        <w:ind w:right="18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8, Debt, of the notes to the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of our Annual Report on Form 10-K for the year ended December 31, 2023,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2023, as supplemented by the risks described in “Risk Factors" under the heading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this Quarterly Report on Form 10-Q, as well as those factors set forth in “Risk Factors" under the heading and “To continue to grow our business, we will need to commit substantial resources, which could result in future losses or otherwise limit our opportunities or affect our ability to operate and grow our business”in Part I, Item 1A of our Annual Report on Form 10-K for the year ended December 31, 2023.</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August 2023, our shareholders voted to approve our proposal to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dis-apply the statutory pre-emption obligation on terms that are substantially more limited than our general pre-emption opt-out authority that had been in effect prior to August 4, 2021. This current pre-emption opt-out authority is due to expire in February 2025.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our credit agreement, or the Credit Agreement, that provides for (i) the Dollar Term Loan, (ii) the Euro Term Loan and, together with the Dollar Term Loan, collectively known as the Term Loan and (iii) the Revolving Credit Facility, and the indenture for the Secured Notes for certain financings.</w:t>
      </w:r>
    </w:p>
    <w:p>
      <w:pPr>
        <w:spacing w:after="0" w:line="8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November 2016, our board of directors authorized a share repurchase program and as of March 31, 2024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three months ended March 31, 2024, no shares were repurchased. As of March 31, 2024, the remaining amount authorized under the share repurchase program was $161.4 million, exclusive of any brokerage commissions.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thousands):</w:t>
      </w:r>
    </w:p>
    <w:p>
      <w:pPr>
        <w:spacing w:after="0" w:line="15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320,708</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286,429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by $53.5 million in the three months ended March 31, 2024, compared to the same period in 2023, primarily due to the payment of accrued facility expenses of $52.2 million in the three months ended March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$267.1 million in the three months ended March 31, 2024, compared to the same period in 2023, primarily due to the following:</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$255.0 million net increase in the acquisition of investments, driven by time deposits;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upfront payment to Redx related to our asset purchase and collaboration agreement in the three months ended March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$26.8 million in the three months ended March 31, 2024, compared to the same period in 2023, primarily due to:</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$20.7 million in proceeds from employee equity incentive and purchase plans;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$6.0 million in payment of employee withholding taxes related to share-based awards.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In January 2024, we entered into an amendment to the Credit Agreement, as described below. During the three months ended March 31, 2024, there were no other changes to our financing arrangements, as set forth in Note 12, Debt, of the Notes to Consolidated Financial Statements included in our Annual Report on Form 10-K for the year ended December 31,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7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In January 2024, Jazz Lux entered into an amendment, or Repricing Amendment, to the Credit Agreement. Upon entry into the Repricing Amendment, certain existing lenders converted outstanding Dollar Term Loans into a new tranche of U.S. dollar term loans, or the Tranche B-1 Dollar Term Loans, and Jazz Lux borrowed $201.9 million aggregate principal amount of additional Tranche B-1 Dollar Term Loans, the proceeds of which were used to repay the outstanding Dollar Term Loans that were not converted. The Tranche B-1 Dollar Term Loans are a separate class of term loans under the Credit Agreement with the same material terms (including with respect to maturity, prepayment, security, covenants and events of default) as the previously outstanding Dollar Term Loans, with the interest rate amended as described below. The principal amount of Dollar Term Loans outstanding immediately prior to the Repricing Amendment and the outstanding principal amount of Tranche B-1 Dollar Term Loans immediately following the Repricing Amendment, each totaled $2.723 billion. The Tranche B-1 Dollar Term Loans bear interest at a rate equal to either (a) U.S dollar Secured Overnight Financing Rate, or Term SOFR, or (b) the prime lending rate, in each case, plus an applicable margin. The applicable margin for the Tranche B-1 Dollar Term Loans is 3.00% (in the case of Term SOFR borrowings) and 2.00% (in the case of borrowings at the prime lending rate), a decrease of 50 basis points from the applicable margin on the Initial Dollar Term Loans. The Tranche B-1 Dollar Term Loans are subject to a Term SOFR floor of 0.50%. The applicable margin for the Revolving Credit Facility ranges from 3.25% to 2.75% (in the case of Term SOFR borrowings) and 2.25% to 1.75% (in the case of borrowings at the prime lending rate), depending on our first lien secured net leverage ratio level. The Tranche B-1 Dollar Term Loan is subject to a Term SOFR floor of 0.50% and loans under the Revolving Credit Facility are not subject to a floor. The Revolving Credit Facility has a commitment fee payable on the undrawn amount ranging from 0.50% to 0.40% per annum based upon our first lien secured net leverage ratio. As of March 31, 2024, the interest rate and effective interest rate on the Tranche B-1 Dollar Term Loans were 8.44% and 9.04%, respectively. As of March 31, 2024, we had an undrawn Revolving Credit Facility totaling $500.0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0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contractual obligations as set forth in Part II, Item 7 “Management’s Discussion and Analysis of Financial Condition and Results of Operations” in our Annual Report on Form 10-K for the year ended December 31, 2023.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43" w:lineRule="exact"/>
        <w:rPr>
          <w:sz w:val="20"/>
          <w:szCs w:val="20"/>
          <w:color w:val="auto"/>
        </w:rPr>
      </w:pPr>
    </w:p>
    <w:p>
      <w:pPr>
        <w:ind w:right="28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100" w:firstLine="445"/>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0" w:lineRule="exact"/>
        <w:rPr>
          <w:sz w:val="20"/>
          <w:szCs w:val="20"/>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sales from our oxybate franchise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risk evaluation and mitigation strategy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53"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1"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breaches could adversely affect our business.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4"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2023, as supplemented by the risks and uncertainties described in "Risk Factors" Part II, Item 1A.in this Quarterly Report on Form 10-Q.</w:t>
      </w:r>
    </w:p>
    <w:p>
      <w:pPr>
        <w:spacing w:after="0" w:line="68" w:lineRule="exact"/>
        <w:rPr>
          <w:sz w:val="20"/>
          <w:szCs w:val="20"/>
          <w:color w:val="auto"/>
        </w:rPr>
      </w:pPr>
    </w:p>
    <w:p>
      <w:pPr>
        <w:ind w:right="80"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9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market risk disclosures as set forth in Part II, Item 7A“Quantitative and Qualitative Disclosures About Market Risk” in our Annual Report on Form 10-K for the year ended December 31, 2023.</w:t>
      </w:r>
    </w:p>
    <w:p>
      <w:pPr>
        <w:spacing w:after="0" w:line="2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300" w:firstLine="445"/>
        <w:spacing w:after="0" w:line="221"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Based on their evaluation, our principal executive officer and principal financial officer concluded that our disclosure controls and procedures were effective as of March 31, 2024.</w:t>
      </w:r>
    </w:p>
    <w:p>
      <w:pPr>
        <w:spacing w:after="0" w:line="89"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74"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March 31, 2024, there were no changes to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78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3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51" w:lineRule="exact"/>
        <w:rPr>
          <w:sz w:val="20"/>
          <w:szCs w:val="20"/>
          <w:color w:val="auto"/>
        </w:rPr>
      </w:pPr>
    </w:p>
    <w:p>
      <w:pPr>
        <w:ind w:right="60" w:firstLine="445"/>
        <w:spacing w:after="0" w:line="252"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8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8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We are responsible for the manufacture and supply of Epidiolex/Epidyolex and other cannabinoid product candidates for commercial use and for use in clinical trials. The manufacturing of Epidiolex/Epidyolex and our product candidates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necessitates compliance with Good Manufacturing Practice, or GMP, and other regulatory requirements in jurisdictions internationally. Our ability to successfully manufacture Epidiolex/Epidyolex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and a second site at which we can crystallize the purified CBD from the liquid plant extract. A number of our product candidates (excluding Epidiolex/Epidyolex) consist of a complex mixture manufactured from plant materials, and because the release specifications may not be identical in all countries, certain batches may fail release testing and not be able to be commercialized. If we are unable to manufacture Epidiolex/Epidyolex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8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Vyxeos is manufactured by Simtra Biopharma Solutions,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75"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Rylaze drug substance is manufactured by AGC Biologics A/S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 We currently rely on WuXi Biologics Co., Ltd., or WuXi, a company based in the People's Republic of China, or PRC, as the sole supplier of our product candidate, zanidatamab. Accordingly, there is a risk that supplies of our product candidate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relationship between the PRC and the U.S., including but not limited to potential sanctions imposed by the U.S. government on WuXi. Although to date there has been no impact on our ability to obtain supply of zanidatamab, there can be no assurance that operations would not be impacted in the future with a negative impact on supply of our product candidate.</w:t>
      </w:r>
    </w:p>
    <w:p>
      <w:pPr>
        <w:spacing w:after="0" w:line="8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Moreover, to obtain approval from FDA or a similar international or national regulatory body of any product candidate, including zanidatamab,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of the contracts, instructions or written plans for the purchase or sale of the Company’s securities adopted or terminated by our officers (as defined in Rule 16a-1(f) under the Securities Exchange Act of 1934, as amended) and directors during the quarter ended March 31, 2024:</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Ordinary Shares</w:t>
            </w: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33"/>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Iannone</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10,681</w:t>
            </w:r>
          </w:p>
        </w:tc>
        <w:tc>
          <w:tcPr>
            <w:tcW w:w="0" w:type="dxa"/>
            <w:vAlign w:val="bottom"/>
          </w:tcPr>
          <w:p>
            <w:pPr>
              <w:spacing w:after="0"/>
              <w:rPr>
                <w:sz w:val="1"/>
                <w:szCs w:val="1"/>
                <w:color w:val="auto"/>
              </w:rPr>
            </w:pPr>
          </w:p>
        </w:tc>
      </w:tr>
    </w:tbl>
    <w:p>
      <w:pPr>
        <w:ind w:left="60"/>
        <w:spacing w:after="0" w:line="228" w:lineRule="auto"/>
        <w:rPr>
          <w:sz w:val="20"/>
          <w:szCs w:val="20"/>
          <w:color w:val="auto"/>
        </w:rPr>
      </w:pPr>
      <w:r>
        <w:rPr>
          <w:rFonts w:ascii="Times New Roman" w:cs="Times New Roman" w:eastAsia="Times New Roman" w:hAnsi="Times New Roman"/>
          <w:sz w:val="16"/>
          <w:szCs w:val="16"/>
          <w:color w:val="auto"/>
        </w:rPr>
        <w:t>Executive Vice President, Global Head of</w:t>
      </w:r>
    </w:p>
    <w:p>
      <w:pPr>
        <w:ind w:left="6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200" w:lineRule="exact"/>
        <w:rPr>
          <w:sz w:val="20"/>
          <w:szCs w:val="20"/>
          <w:color w:val="auto"/>
        </w:rPr>
      </w:pPr>
    </w:p>
    <w:p>
      <w:pPr>
        <w:spacing w:after="0" w:line="242" w:lineRule="exact"/>
        <w:rPr>
          <w:sz w:val="20"/>
          <w:szCs w:val="20"/>
          <w:color w:val="auto"/>
        </w:rPr>
      </w:pPr>
    </w:p>
    <w:p>
      <w:pPr>
        <w:ind w:right="120" w:firstLine="8"/>
        <w:spacing w:after="0" w:line="282"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2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203"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Public Limited Company and GW Pharmaceuticals PLC (incorporated herein by reference to Exhibit 2.1 in Jazz Pharmaceuticals plc’s</w:t>
              </w:r>
            </w:hyperlink>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Current Report on Form 8-K (File No. 001-33500), as filed with the SEC on February 4, 2021).</w:t>
              </w:r>
            </w:hyperlink>
          </w:p>
        </w:tc>
        <w:tc>
          <w:tcPr>
            <w:tcW w:w="1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980" w:type="dxa"/>
            <w:vAlign w:val="bottom"/>
            <w:gridSpan w:val="10"/>
          </w:tcPr>
          <w:p>
            <w:pPr>
              <w:spacing w:after="0" w:line="156" w:lineRule="exact"/>
              <w:rPr>
                <w:rFonts w:ascii="Times New Roman" w:cs="Times New Roman" w:eastAsia="Times New Roman" w:hAnsi="Times New Roman"/>
                <w:sz w:val="18"/>
                <w:szCs w:val="18"/>
                <w:color w:val="0000FF"/>
                <w:w w:val="93"/>
              </w:rPr>
            </w:pPr>
            <w:hyperlink r:id="rId73">
              <w:r>
                <w:rPr>
                  <w:rFonts w:ascii="Times New Roman" w:cs="Times New Roman" w:eastAsia="Times New Roman" w:hAnsi="Times New Roman"/>
                  <w:sz w:val="18"/>
                  <w:szCs w:val="18"/>
                  <w:color w:val="0000FF"/>
                  <w:w w:val="93"/>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period ended June 30, 2016, as filed with the SEC on August 9,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Reference is made to Exhibit 3.1.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Indenture, dated as of April 29, 2021, among Jazz Securities Designated Activity Company, the guarantors party thereto, U.S. Bank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National Association, as trustee and acknowledged by U.S. Bank National Association, as collateral trustee. (incorporated herein by</w:t>
              </w:r>
            </w:hyperlink>
          </w:p>
        </w:tc>
        <w:tc>
          <w:tcPr>
            <w:tcW w:w="20" w:type="dxa"/>
            <w:vAlign w:val="bottom"/>
            <w:tcBorders>
              <w:bottom w:val="single" w:sz="8" w:color="0000FF"/>
            </w:tcBorders>
          </w:tcPr>
          <w:p>
            <w:pPr>
              <w:spacing w:after="0"/>
              <w:rPr>
                <w:sz w:val="13"/>
                <w:szCs w:val="13"/>
                <w:color w:val="auto"/>
              </w:rPr>
            </w:pPr>
          </w:p>
        </w:tc>
        <w:tc>
          <w:tcPr>
            <w:tcW w:w="580" w:type="dxa"/>
            <w:vAlign w:val="bottom"/>
            <w:gridSpan w:val="8"/>
            <w:vMerge w:val="restart"/>
          </w:tcPr>
          <w:p>
            <w:pPr>
              <w:ind w:left="2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April</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500" w:type="dxa"/>
            <w:vAlign w:val="bottom"/>
            <w:gridSpan w:val="12"/>
          </w:tcPr>
          <w:p>
            <w:pPr>
              <w:spacing w:after="0" w:line="169"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reference to Exhibit 4.1 in Jazz Pharmaceuticals plc’s Current Report on Form 8-K (File No. 001-033500), as filed with the SEC on</w:t>
              </w:r>
            </w:hyperlink>
          </w:p>
        </w:tc>
        <w:tc>
          <w:tcPr>
            <w:tcW w:w="5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29, 2021).</w:t>
              </w:r>
            </w:hyperlink>
          </w:p>
        </w:tc>
        <w:tc>
          <w:tcPr>
            <w:tcW w:w="2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Offer Letter from Jazz Pharmaceuticals, Inc. to Philip Johnson dated as of January 30, 2024.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Amended and Restated Non-Employee Director Compensation Policy (approved April 25, 2024).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180" w:type="dxa"/>
            <w:vAlign w:val="bottom"/>
            <w:tcBorders>
              <w:top w:val="single" w:sz="8" w:color="CCEEFF"/>
            </w:tcBorders>
            <w:gridSpan w:val="3"/>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4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9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5"/>
                <w:szCs w:val="15"/>
                <w:color w:val="auto"/>
              </w:rPr>
            </w:pPr>
          </w:p>
        </w:tc>
        <w:tc>
          <w:tcPr>
            <w:tcW w:w="100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shd w:val="clear" w:color="auto" w:fill="CCEEFF"/>
          </w:tcPr>
          <w:p>
            <w:pPr>
              <w:spacing w:after="0"/>
              <w:rPr>
                <w:sz w:val="19"/>
                <w:szCs w:val="19"/>
                <w:color w:val="auto"/>
              </w:rPr>
            </w:pPr>
          </w:p>
        </w:tc>
        <w:tc>
          <w:tcPr>
            <w:tcW w:w="10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shd w:val="clear" w:color="auto" w:fill="CCEEFF"/>
          </w:tcPr>
          <w:p>
            <w:pPr>
              <w:spacing w:after="0"/>
              <w:rPr>
                <w:sz w:val="19"/>
                <w:szCs w:val="19"/>
                <w:color w:val="auto"/>
              </w:rPr>
            </w:pPr>
          </w:p>
        </w:tc>
        <w:tc>
          <w:tcPr>
            <w:tcW w:w="10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w:t>
      </w:r>
    </w:p>
    <w:p>
      <w:pPr>
        <w:spacing w:after="0" w:line="25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601(b)(2) of Regulation S-K.</w:t>
      </w:r>
    </w:p>
    <w:p>
      <w:pPr>
        <w:spacing w:after="0" w:line="27" w:lineRule="exact"/>
        <w:rPr>
          <w:sz w:val="20"/>
          <w:szCs w:val="20"/>
          <w:color w:val="auto"/>
        </w:rPr>
      </w:pPr>
    </w:p>
    <w:p>
      <w:pPr>
        <w:ind w:left="500" w:right="40" w:hanging="492"/>
        <w:spacing w:after="0" w:line="234" w:lineRule="exact"/>
        <w:tabs>
          <w:tab w:leader="none" w:pos="2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Bruce C. Cozadd</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Chairman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0"/>
          </w:cols>
          <w:pgMar w:left="320" w:top="121" w:right="859" w:bottom="1440" w:gutter="0" w:footer="0" w:header="0"/>
        </w:sectPr>
      </w:pPr>
    </w:p>
    <w:bookmarkStart w:id="53" w:name="page54"/>
    <w:bookmarkEnd w:id="53"/>
    <w:p>
      <w:pPr>
        <w:jc w:val="right"/>
        <w:spacing w:after="0"/>
        <w:rPr>
          <w:sz w:val="20"/>
          <w:szCs w:val="20"/>
          <w:color w:val="auto"/>
        </w:rPr>
      </w:pPr>
      <w:r>
        <w:rPr>
          <w:rFonts w:ascii="Calibri" w:cs="Calibri" w:eastAsia="Calibri" w:hAnsi="Calibri"/>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[Jazz Pharmaceuticals Letterhead]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Philip Johnson</w:t>
      </w:r>
    </w:p>
    <w:p>
      <w:pPr>
        <w:spacing w:after="0"/>
        <w:rPr>
          <w:sz w:val="20"/>
          <w:szCs w:val="20"/>
          <w:color w:val="auto"/>
        </w:rPr>
      </w:pPr>
      <w:r>
        <w:rPr>
          <w:rFonts w:ascii="Times New Roman" w:cs="Times New Roman" w:eastAsia="Times New Roman" w:hAnsi="Times New Roman"/>
          <w:sz w:val="22"/>
          <w:szCs w:val="22"/>
          <w:color w:val="auto"/>
        </w:rPr>
        <w:t>[address on file]</w:t>
      </w:r>
    </w:p>
    <w:p>
      <w:pPr>
        <w:spacing w:after="0" w:line="1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Offer of employment with Jazz Pharmaceuticals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Philip,</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As discussed, I am very pleased to invite you to join the Jazz Pharmaceuticals group. This letter sets out the terms of your employment with Jazz Pharmaceuticals, Inc. (“</w:t>
      </w:r>
      <w:r>
        <w:rPr>
          <w:rFonts w:ascii="Times New Roman" w:cs="Times New Roman" w:eastAsia="Times New Roman" w:hAnsi="Times New Roman"/>
          <w:sz w:val="22"/>
          <w:szCs w:val="22"/>
          <w:b w:val="1"/>
          <w:bCs w:val="1"/>
          <w:color w:val="auto"/>
        </w:rPr>
        <w:t>Jazz Pharmaceuticals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56"/>
        <w:spacing w:after="0" w:line="216" w:lineRule="auto"/>
        <w:tabs>
          <w:tab w:leader="none" w:pos="904"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Location and Responsibilities. </w:t>
      </w:r>
      <w:r>
        <w:rPr>
          <w:rFonts w:ascii="Times New Roman" w:cs="Times New Roman" w:eastAsia="Times New Roman" w:hAnsi="Times New Roman"/>
          <w:sz w:val="22"/>
          <w:szCs w:val="22"/>
          <w:color w:val="auto"/>
        </w:rPr>
        <w:t>Your initial assignment will be as Executive Vice President and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Officer, reporting to me. This offer is for a full time position, and is a home-based role located in the United States. In this position, you will perform all duties and responsibilities of your position, and you will be a member of the Executive Committee. This position will require periodic domestic and international business travel as necessary to fulfill your responsibilities. As part of your employment relationship, you agree to comply with Jazz Pharmaceuticals’ policies and procedures in effect during your employment.</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877"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Sign-On Bonus and Annual Bonus. </w:t>
      </w:r>
      <w:r>
        <w:rPr>
          <w:rFonts w:ascii="Times New Roman" w:cs="Times New Roman" w:eastAsia="Times New Roman" w:hAnsi="Times New Roman"/>
          <w:sz w:val="22"/>
          <w:szCs w:val="22"/>
          <w:color w:val="auto"/>
        </w:rPr>
        <w:t>Your initial annual base salary rate will be $700,000.00, less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deductions and withholdings and payable in accordance with Jazz Pharmaceuticals’ customary payroll practices. As an exempt employee, you will be paid on a salaried basis and you will be expected to work the number of hours required to do your job well and you are not eligible for overtime compensation. Salary is subject to periodic review and adjustment by Jazz Pharmaceuticals, in accordance with its normal practices; we have a Company-wide performance review process that takes place early in each calendar year.</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You will be eligible to receive a cash sign-on bonus in the amount of USD $150,000.00 subject to applicable tax withholdings and paid within 30 days of your date of hire. Receipt of your sign-on bonus will be contingent upon you signing a Sign-On Bonus Repayment Agreement under which you will be required to repay the full sign-on bonus if your employment terminates prior to your 24-month anniversary of your start date under the terms and conditions set forth in the Sign-On Bonus Repayment Agreement. The Sign-On Bonus Repayment Agreement will be reviewed and signed in the Onboarding Portal.</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You will be eligible for consideration of an annual bonus, and in this position, your annual target bonus will be sixty percent (60%) of your annual base salary rate, pursuant to the Jazz Pharmaceuticals Global Cash Bonus Plan. The amount of your bonus will be based on the Company’s level of achievement of its annual objectives, and on your level of achievement of your objectives. Bonuses are not guaranteed, and whether there will be a bonus in any year, and the amount of any bonus, is within the discretion of the Board of Directors of Jazz Pharmaceuticals plc. The Global Cash Bonus Plan year runs January through December, and annual bonus awards are typically paid in the first quarter of the following year. Your bonus for 2024 will be prorated due to your partial year of employment and in accordance with your start date.</w:t>
      </w:r>
    </w:p>
    <w:p>
      <w:pPr>
        <w:sectPr>
          <w:pgSz w:w="11900" w:h="16838" w:orient="portrait"/>
          <w:cols w:equalWidth="0" w:num="1">
            <w:col w:w="11240"/>
          </w:cols>
          <w:pgMar w:left="320" w:top="87"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656"/>
        <w:spacing w:after="0" w:line="218" w:lineRule="auto"/>
        <w:tabs>
          <w:tab w:leader="none" w:pos="864"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You generally will be eligible to participate in all employee benefits which are extended to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similarly-situated employees at Jazz Pharmaceuticals, including medical and dental benefits, life insurance and other benefits offered to regular employees, subject to the terms and conditions of the benefit plans. You will be eligible for paid time off and holidays in accordance with Jazz Pharmaceuticals’ policies, and you will be deemed a participant in the Jazz Pharmaceuticals Amended and Restated Executive Change in Control and Severance Benefit Plan.</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3" w:lineRule="auto"/>
        <w:tabs>
          <w:tab w:leader="none" w:pos="864"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New Hire Equity Awards. </w:t>
      </w:r>
      <w:r>
        <w:rPr>
          <w:rFonts w:ascii="Times New Roman" w:cs="Times New Roman" w:eastAsia="Times New Roman" w:hAnsi="Times New Roman"/>
          <w:sz w:val="21"/>
          <w:szCs w:val="21"/>
          <w:color w:val="auto"/>
        </w:rPr>
        <w:t>Your offer includes eligibility to receive a new hire equity award with a grant date value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$4,000,000.00, of which $2,000,000.00 will be in the form of Restricted Stock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and $2,000,000.00 will be in the form of Performance Stock Units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giving you a right to receive Jazz Pharmaceuticals plc ordinary shares at a future date, subject to approval by the Compensation and Management Development Committee (“</w:t>
      </w:r>
      <w:r>
        <w:rPr>
          <w:rFonts w:ascii="Times New Roman" w:cs="Times New Roman" w:eastAsia="Times New Roman" w:hAnsi="Times New Roman"/>
          <w:sz w:val="21"/>
          <w:szCs w:val="21"/>
          <w:b w:val="1"/>
          <w:bCs w:val="1"/>
          <w:color w:val="auto"/>
        </w:rPr>
        <w:t>CMDC</w:t>
      </w:r>
      <w:r>
        <w:rPr>
          <w:rFonts w:ascii="Times New Roman" w:cs="Times New Roman" w:eastAsia="Times New Roman" w:hAnsi="Times New Roman"/>
          <w:sz w:val="21"/>
          <w:szCs w:val="21"/>
          <w:color w:val="auto"/>
        </w:rPr>
        <w:t>”), the terms and conditions of the Jazz Pharmaceuticals plc 2011 Equity Incentive Plan, and the terms and conditions of the applicable award agreements. Your new hire RSUs will vest in four equal annual installments, subject to your continued employment through each vesting date. Your new hire PSUs will vest based on the achievement of certain pre-established financial and/or strategic performance goals as determined at the end of the applicable performance period (typically, three years) by the Jazz Board of Directors.</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RSUs and PSUs will be granted on the second trading day following the filing date of the Company’s next quarterly or annual report filed with the U.S. Securities and Exchange Commission following your start date in accordance with the Company’s Equity Incentive Grant Policy. Each of your new hire RSUs and PSUs will be converted from the dollar value shown above to a number of units based on the average closing price of Jazz plc common shares for the 30-day period ending the day prior to the grant date.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addition, as part of the annual compensation review, you may receive annual equity awards subject to approval by the CMDC.</w:t>
      </w:r>
    </w:p>
    <w:p>
      <w:pPr>
        <w:spacing w:after="0" w:line="146" w:lineRule="exact"/>
        <w:rPr>
          <w:sz w:val="20"/>
          <w:szCs w:val="20"/>
          <w:color w:val="auto"/>
        </w:rPr>
      </w:pPr>
    </w:p>
    <w:p>
      <w:pPr>
        <w:jc w:val="both"/>
        <w:ind w:firstLine="656"/>
        <w:spacing w:after="0" w:line="210" w:lineRule="auto"/>
        <w:tabs>
          <w:tab w:leader="none" w:pos="891"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and Inventions Agreement, Outside Employment. </w:t>
      </w:r>
      <w:r>
        <w:rPr>
          <w:rFonts w:ascii="Times New Roman" w:cs="Times New Roman" w:eastAsia="Times New Roman" w:hAnsi="Times New Roman"/>
          <w:sz w:val="22"/>
          <w:szCs w:val="22"/>
          <w:color w:val="auto"/>
        </w:rPr>
        <w:t>To enable Jazz Pharmaceuticals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safeguard its proprietary and confidential information, it is a condition of employment that you sign and comply with Jazz Pharmaceuticals’ standard form of “Employee Confidential Information and Inventions Agreement.” We understand that you are likely to have signed similar agreements with prior employers, and wish to impress upon you that Jazz Pharmaceuticals does not want to receive the confidential or proprietary information of others, and does not want you to use such information in the course of your employment with us, and Jazz Pharmaceuticals will support you in respecting your lawful obligations to prior employers. By accepting this offer, you are representing to Jazz Pharmaceuticals that your employment with Jazz Pharmaceuticals and the performance of your duties will not violate any agreements you may have with, or trade secrets of, any third parties. You agree that, during your employment with Jazz Pharmaceuticals and in accordance with our Outside Employment policy, you will not engage in any business activity that competes with Jazz Pharmaceuticals, and you will notify me (for review and approval) if you are considering accepting or continuing outside work, including self-employment, consulting arrangements, or any roles on any Boards of Directors.</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656"/>
        <w:spacing w:after="0" w:line="216" w:lineRule="auto"/>
        <w:tabs>
          <w:tab w:leader="none" w:pos="864"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Code of Conduct. </w:t>
      </w:r>
      <w:r>
        <w:rPr>
          <w:rFonts w:ascii="Times New Roman" w:cs="Times New Roman" w:eastAsia="Times New Roman" w:hAnsi="Times New Roman"/>
          <w:sz w:val="22"/>
          <w:szCs w:val="22"/>
          <w:color w:val="auto"/>
        </w:rPr>
        <w:t>Jazz Pharmaceuticals is committed to integrity and the pursuit of excellence in all we do. We fulfill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 If you have questions about the Code of Conduct, please let Human Resources know and we will ensure that you receive answers to your inquiries as quickly as possible.</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904"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Status. </w:t>
      </w:r>
      <w:r>
        <w:rPr>
          <w:rFonts w:ascii="Times New Roman" w:cs="Times New Roman" w:eastAsia="Times New Roman" w:hAnsi="Times New Roman"/>
          <w:sz w:val="22"/>
          <w:szCs w:val="22"/>
          <w:color w:val="auto"/>
        </w:rPr>
        <w:t>Should you decide to accept our offer, you will be an “at-will” employee of Jazz</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Pharmaceuticals. This means that either you or Jazz Pharmaceuticals may terminate the employment relationship at any time, with or without cause, and with or without advance notice. Due to your at-will employment status, Jazz Pharmaceuticals also retains the discretion to modify the terms and conditions of your employment (with exception of your at-will status), including but not limited to your salary, incentive compensation and benefits, as well as your job title, location, duties, responsibilities, assignments and reporting relationships. Participation in any benefit, compensation or bonus program does not change the nature of the employment relationship, which remains “at-will”.</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877"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Authorization To Work. </w:t>
      </w:r>
      <w:r>
        <w:rPr>
          <w:rFonts w:ascii="Times New Roman" w:cs="Times New Roman" w:eastAsia="Times New Roman" w:hAnsi="Times New Roman"/>
          <w:sz w:val="22"/>
          <w:szCs w:val="22"/>
          <w:color w:val="auto"/>
        </w:rPr>
        <w:t>Federal government regulations require that all employees present documentation verifying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identity and demonstrating that they are authorized to work in the United States. Your employment is contingent on your ability to prove your identity and authorization to work in the United States, and your compliance with the government’s employment verification requirements.</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877"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Offer Contingencies. </w:t>
      </w:r>
      <w:r>
        <w:rPr>
          <w:rFonts w:ascii="Times New Roman" w:cs="Times New Roman" w:eastAsia="Times New Roman" w:hAnsi="Times New Roman"/>
          <w:sz w:val="22"/>
          <w:szCs w:val="22"/>
          <w:color w:val="auto"/>
        </w:rPr>
        <w:t>This offer is contingent upon satisfactory completion (as determined by the Company)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background and reference checks, including but not limited to verification of previous employment record, academic achievement and criminal background.</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01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Complete Offer and Agreement. </w:t>
      </w:r>
      <w:r>
        <w:rPr>
          <w:rFonts w:ascii="Times New Roman" w:cs="Times New Roman" w:eastAsia="Times New Roman" w:hAnsi="Times New Roman"/>
          <w:sz w:val="22"/>
          <w:szCs w:val="22"/>
          <w:color w:val="auto"/>
        </w:rPr>
        <w:t>This letter, including the Employee Confidential Information and 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referenced herein, contains our complete understanding and agreement regarding the terms of your employment with Jazz Pharmaceuticals, and it is entered into without reliance on any promise or representation, written or oral, other than those expressly contained herein, and it supersedes any other such promises, warranties or representations. There are no other, different or prior agreements or understandings on this or related subjects.</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9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Start Date, Acceptance of Offer. </w:t>
      </w:r>
      <w:r>
        <w:rPr>
          <w:rFonts w:ascii="Times New Roman" w:cs="Times New Roman" w:eastAsia="Times New Roman" w:hAnsi="Times New Roman"/>
          <w:sz w:val="22"/>
          <w:szCs w:val="22"/>
          <w:color w:val="auto"/>
        </w:rPr>
        <w:t>Let’s continue to discuss your start date with the aim to finalize your start date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 of this week. To accept our offer of employment, please sign the enclosed copy of this letter in the space provided below by the close of business on Friday February 2, 2024.</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Philip, we are impressed by your accomplishments and potential, and we are enthusiastic at the prospect of you joining us. I look forward to your early acceptance of this offer, and to your contributions to the growth and success of Jazz Pharmaceuticals.</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have any questions about this letter, please let me know or feel free to contact Heidi Manna, our Chief People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79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Bruce Cozadd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ACCEPTANCE OF EMPLOYMENT OFFER: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accept the offer of employment by Jazz Pharmaceuticals on the terms set forth in this letter.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12649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8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06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1125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JAZZ PHARMACEUTICALS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Jazz Pharmaceuticals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Non-Employee Director Compensation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may be eligible to receive such cash compensation or equity grants, unless such Non-Employee Director declines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receipt of such cash compensation or equity grants by written notice to the Company. This Policy shall remain in effect until it is revised or rescinded by further action of the Board.</w:t>
      </w:r>
    </w:p>
    <w:p>
      <w:pPr>
        <w:spacing w:after="0" w:line="150"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540" w:firstLine="656"/>
        <w:spacing w:after="0" w:line="269" w:lineRule="auto"/>
        <w:tabs>
          <w:tab w:leader="none" w:pos="91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1(b) and Section 3 below, each Non-Employee Director shall be eligible to receive cash compensation of $75,000 for service on the Board. In addition, a Non-Employee Director serving as:</w:t>
      </w:r>
    </w:p>
    <w:p>
      <w:pPr>
        <w:spacing w:after="0" w:line="132" w:lineRule="exact"/>
        <w:rPr>
          <w:rFonts w:ascii="Times New Roman" w:cs="Times New Roman" w:eastAsia="Times New Roman" w:hAnsi="Times New Roman"/>
          <w:sz w:val="20"/>
          <w:szCs w:val="20"/>
          <w:color w:val="auto"/>
        </w:rPr>
      </w:pPr>
    </w:p>
    <w:p>
      <w:pPr>
        <w:ind w:left="1960" w:right="260" w:hanging="656"/>
        <w:spacing w:after="0" w:line="283" w:lineRule="auto"/>
        <w:tabs>
          <w:tab w:leader="none" w:pos="1548"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independent director of the Board shall be eligible to receive additional cash compensation of $50,000 per year for such service;</w:t>
      </w:r>
    </w:p>
    <w:p>
      <w:pPr>
        <w:spacing w:after="0" w:line="119" w:lineRule="exact"/>
        <w:rPr>
          <w:rFonts w:ascii="Times New Roman" w:cs="Times New Roman" w:eastAsia="Times New Roman" w:hAnsi="Times New Roman"/>
          <w:sz w:val="20"/>
          <w:szCs w:val="20"/>
          <w:color w:val="auto"/>
        </w:rPr>
      </w:pPr>
    </w:p>
    <w:p>
      <w:pPr>
        <w:ind w:left="1960" w:right="400" w:hanging="656"/>
        <w:spacing w:after="0" w:line="269" w:lineRule="auto"/>
        <w:tabs>
          <w:tab w:leader="none" w:pos="1603"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Audit Committee shall be eligible to receive additional cash compensation of $25,000 per year for such service;</w:t>
      </w:r>
    </w:p>
    <w:p>
      <w:pPr>
        <w:spacing w:after="0" w:line="132" w:lineRule="exact"/>
        <w:rPr>
          <w:rFonts w:ascii="Times New Roman" w:cs="Times New Roman" w:eastAsia="Times New Roman" w:hAnsi="Times New Roman"/>
          <w:sz w:val="20"/>
          <w:szCs w:val="20"/>
          <w:color w:val="auto"/>
        </w:rPr>
      </w:pPr>
    </w:p>
    <w:p>
      <w:pPr>
        <w:ind w:left="1960" w:right="180" w:hanging="656"/>
        <w:spacing w:after="0" w:line="283" w:lineRule="auto"/>
        <w:tabs>
          <w:tab w:leader="none" w:pos="1658"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(other than the chairperson) of the Audit Committee shall be eligible to receive additional cash compensation of $15,000 per year for such service;</w:t>
      </w:r>
    </w:p>
    <w:p>
      <w:pPr>
        <w:spacing w:after="0" w:line="115" w:lineRule="exact"/>
        <w:rPr>
          <w:rFonts w:ascii="Times New Roman" w:cs="Times New Roman" w:eastAsia="Times New Roman" w:hAnsi="Times New Roman"/>
          <w:sz w:val="20"/>
          <w:szCs w:val="20"/>
          <w:color w:val="auto"/>
        </w:rPr>
      </w:pPr>
    </w:p>
    <w:p>
      <w:pPr>
        <w:ind w:left="1960" w:right="240" w:hanging="656"/>
        <w:spacing w:after="0" w:line="273" w:lineRule="auto"/>
        <w:tabs>
          <w:tab w:leader="none" w:pos="1647"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Compensation &amp; Management Development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shall be eligible to receive additional cash compensation of $25,000 per year for such service;</w:t>
      </w:r>
    </w:p>
    <w:p>
      <w:pPr>
        <w:spacing w:after="0" w:line="128" w:lineRule="exact"/>
        <w:rPr>
          <w:rFonts w:ascii="Times New Roman" w:cs="Times New Roman" w:eastAsia="Times New Roman" w:hAnsi="Times New Roman"/>
          <w:sz w:val="20"/>
          <w:szCs w:val="20"/>
          <w:color w:val="auto"/>
        </w:rPr>
      </w:pPr>
    </w:p>
    <w:p>
      <w:pPr>
        <w:ind w:left="1960" w:right="700" w:hanging="656"/>
        <w:spacing w:after="0" w:line="283" w:lineRule="auto"/>
        <w:tabs>
          <w:tab w:leader="none" w:pos="1592"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(other than the chairperson) of the Compensation Committee shall be eligible to receive additional cash compensation of $12,500 per year for such service;</w:t>
      </w:r>
    </w:p>
    <w:p>
      <w:pPr>
        <w:spacing w:after="0" w:line="119" w:lineRule="exact"/>
        <w:rPr>
          <w:rFonts w:ascii="Times New Roman" w:cs="Times New Roman" w:eastAsia="Times New Roman" w:hAnsi="Times New Roman"/>
          <w:sz w:val="20"/>
          <w:szCs w:val="20"/>
          <w:color w:val="auto"/>
        </w:rPr>
      </w:pPr>
    </w:p>
    <w:p>
      <w:pPr>
        <w:ind w:left="1960" w:right="700" w:hanging="656"/>
        <w:spacing w:after="0" w:line="269" w:lineRule="auto"/>
        <w:tabs>
          <w:tab w:leader="none" w:pos="1647"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Nominating and Corporate Governance Committee shall be eligible to receive additional cash compensation of $20,000 per year for such service;</w:t>
      </w:r>
    </w:p>
    <w:p>
      <w:pPr>
        <w:spacing w:after="0" w:line="132" w:lineRule="exact"/>
        <w:rPr>
          <w:rFonts w:ascii="Times New Roman" w:cs="Times New Roman" w:eastAsia="Times New Roman" w:hAnsi="Times New Roman"/>
          <w:sz w:val="20"/>
          <w:szCs w:val="20"/>
          <w:color w:val="auto"/>
        </w:rPr>
      </w:pPr>
    </w:p>
    <w:p>
      <w:pPr>
        <w:ind w:left="1960" w:right="460" w:hanging="656"/>
        <w:spacing w:after="0" w:line="283" w:lineRule="auto"/>
        <w:tabs>
          <w:tab w:leader="none" w:pos="1702"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(other than the chairperson) of the Nominating and Corporate Governance Committee shall be eligible to receive additional cash compensation of $10,000 per year for such service;</w:t>
      </w:r>
    </w:p>
    <w:p>
      <w:pPr>
        <w:spacing w:after="0" w:line="119" w:lineRule="exact"/>
        <w:rPr>
          <w:rFonts w:ascii="Times New Roman" w:cs="Times New Roman" w:eastAsia="Times New Roman" w:hAnsi="Times New Roman"/>
          <w:sz w:val="20"/>
          <w:szCs w:val="20"/>
          <w:color w:val="auto"/>
        </w:rPr>
      </w:pPr>
    </w:p>
    <w:p>
      <w:pPr>
        <w:ind w:left="1960" w:right="40" w:hanging="656"/>
        <w:spacing w:after="0" w:line="269" w:lineRule="auto"/>
        <w:tabs>
          <w:tab w:leader="none" w:pos="1757"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Science &amp; Medicine Committee shall be eligible to receive additional cash compensation of $25,000 per year for such service;</w:t>
      </w:r>
    </w:p>
    <w:p>
      <w:pPr>
        <w:spacing w:after="0" w:line="132" w:lineRule="exact"/>
        <w:rPr>
          <w:rFonts w:ascii="Times New Roman" w:cs="Times New Roman" w:eastAsia="Times New Roman" w:hAnsi="Times New Roman"/>
          <w:sz w:val="20"/>
          <w:szCs w:val="20"/>
          <w:color w:val="auto"/>
        </w:rPr>
      </w:pPr>
    </w:p>
    <w:p>
      <w:pPr>
        <w:ind w:left="1960" w:right="160" w:hanging="656"/>
        <w:spacing w:after="0" w:line="283" w:lineRule="auto"/>
        <w:tabs>
          <w:tab w:leader="none" w:pos="1647"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(other than the chairperson of the Science &amp; Medicine Committee) shall be eligible to receive additional cash compensation of $12,500 per year for such service;</w:t>
      </w:r>
    </w:p>
    <w:p>
      <w:pPr>
        <w:sectPr>
          <w:pgSz w:w="11900" w:h="16838" w:orient="portrait"/>
          <w:cols w:equalWidth="0" w:num="1">
            <w:col w:w="11240"/>
          </w:cols>
          <w:pgMar w:left="320" w:top="338" w:right="339" w:bottom="1440" w:gutter="0" w:footer="0" w:header="0"/>
        </w:sectPr>
      </w:pPr>
    </w:p>
    <w:bookmarkStart w:id="58" w:name="page59"/>
    <w:bookmarkEnd w:id="58"/>
    <w:p>
      <w:pPr>
        <w:ind w:left="1960" w:hanging="656"/>
        <w:spacing w:after="0" w:line="283" w:lineRule="auto"/>
        <w:tabs>
          <w:tab w:leader="none" w:pos="15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Transaction Committee shall be eligible to receive additional cash compensation of $5,000 per meeting up to $20,000 per year for such service; and</w:t>
      </w:r>
    </w:p>
    <w:p>
      <w:pPr>
        <w:spacing w:after="0" w:line="119" w:lineRule="exact"/>
        <w:rPr>
          <w:rFonts w:ascii="Times New Roman" w:cs="Times New Roman" w:eastAsia="Times New Roman" w:hAnsi="Times New Roman"/>
          <w:sz w:val="20"/>
          <w:szCs w:val="20"/>
          <w:color w:val="auto"/>
        </w:rPr>
      </w:pPr>
    </w:p>
    <w:p>
      <w:pPr>
        <w:ind w:left="1960" w:right="860" w:hanging="656"/>
        <w:spacing w:after="0" w:line="269" w:lineRule="auto"/>
        <w:tabs>
          <w:tab w:leader="none" w:pos="164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(other than the chairperson) of the Transaction Committee shall be eligible to receive additional cash compensation of $2,500 per meeting up to $10,000 per year for such service.</w:t>
      </w:r>
    </w:p>
    <w:p>
      <w:pPr>
        <w:spacing w:after="0" w:line="13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additional cash compensation for the Non-Employee Director’s service on the Committees other than the Transaction Committee shall be paid in four equal quarterly installments, earned upon the completion of service in each calendar quarter. The additional cash compensation for the Non-Employee Director’s service on the Transaction Committee shall be paid in four quarterly installments, earned upon the completion of services in each calendar quarter.</w:t>
      </w:r>
    </w:p>
    <w:p>
      <w:pPr>
        <w:spacing w:after="0" w:line="145" w:lineRule="exact"/>
        <w:rPr>
          <w:sz w:val="20"/>
          <w:szCs w:val="20"/>
          <w:color w:val="auto"/>
        </w:rPr>
      </w:pPr>
    </w:p>
    <w:p>
      <w:pPr>
        <w:ind w:firstLine="656"/>
        <w:spacing w:after="0" w:line="270" w:lineRule="auto"/>
        <w:tabs>
          <w:tab w:leader="none" w:pos="928"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spacing w:after="0" w:line="134" w:lineRule="exact"/>
        <w:rPr>
          <w:rFonts w:ascii="Times New Roman" w:cs="Times New Roman" w:eastAsia="Times New Roman" w:hAnsi="Times New Roman"/>
          <w:sz w:val="19"/>
          <w:szCs w:val="19"/>
          <w:color w:val="auto"/>
        </w:rPr>
      </w:pPr>
    </w:p>
    <w:p>
      <w:pPr>
        <w:ind w:right="220" w:firstLine="656"/>
        <w:spacing w:after="0" w:line="253" w:lineRule="auto"/>
        <w:tabs>
          <w:tab w:leader="none" w:pos="91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each Non-Employee Director will be entitled to a payment, up to an amount (“</w:t>
      </w:r>
      <w:r>
        <w:rPr>
          <w:rFonts w:ascii="Times New Roman" w:cs="Times New Roman" w:eastAsia="Times New Roman" w:hAnsi="Times New Roman"/>
          <w:sz w:val="20"/>
          <w:szCs w:val="20"/>
          <w:b w:val="1"/>
          <w:bCs w:val="1"/>
          <w:i w:val="1"/>
          <w:iCs w:val="1"/>
          <w:color w:val="auto"/>
        </w:rPr>
        <w:t>Tax Reimbursement Payment</w:t>
      </w:r>
      <w:r>
        <w:rPr>
          <w:rFonts w:ascii="Times New Roman" w:cs="Times New Roman" w:eastAsia="Times New Roman" w:hAnsi="Times New Roman"/>
          <w:sz w:val="20"/>
          <w:szCs w:val="20"/>
          <w:color w:val="auto"/>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spacing w:after="0" w:line="148" w:lineRule="exact"/>
        <w:rPr>
          <w:rFonts w:ascii="Times New Roman" w:cs="Times New Roman" w:eastAsia="Times New Roman" w:hAnsi="Times New Roman"/>
          <w:sz w:val="20"/>
          <w:szCs w:val="20"/>
          <w:color w:val="auto"/>
        </w:rPr>
      </w:pPr>
    </w:p>
    <w:p>
      <w:pPr>
        <w:ind w:right="220" w:firstLine="8"/>
        <w:spacing w:after="0" w:line="273" w:lineRule="auto"/>
        <w:tabs>
          <w:tab w:leader="none" w:pos="19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The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awards described below shall be granted under and shall be subject to the terms and provisions of the Company’s Amended and Restated 2007 Non-Employee Directors Stock Award Plan (the “</w:t>
      </w:r>
      <w:r>
        <w:rPr>
          <w:rFonts w:ascii="Times New Roman" w:cs="Times New Roman" w:eastAsia="Times New Roman" w:hAnsi="Times New Roman"/>
          <w:sz w:val="20"/>
          <w:szCs w:val="20"/>
          <w:b w:val="1"/>
          <w:bCs w:val="1"/>
          <w:i w:val="1"/>
          <w:iCs w:val="1"/>
          <w:color w:val="auto"/>
        </w:rPr>
        <w:t>NEDSAP</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ind w:right="220" w:firstLine="656"/>
        <w:spacing w:after="0" w:line="254" w:lineRule="auto"/>
        <w:tabs>
          <w:tab w:leader="none" w:pos="91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Subject to Section 3 below, beginning with the annual general meeting of the Company’s shareholders (an “</w:t>
      </w:r>
      <w:r>
        <w:rPr>
          <w:rFonts w:ascii="Times New Roman" w:cs="Times New Roman" w:eastAsia="Times New Roman" w:hAnsi="Times New Roman"/>
          <w:sz w:val="20"/>
          <w:szCs w:val="20"/>
          <w:b w:val="1"/>
          <w:bCs w:val="1"/>
          <w:i w:val="1"/>
          <w:iCs w:val="1"/>
          <w:color w:val="auto"/>
        </w:rPr>
        <w:t>AGM</w:t>
      </w:r>
      <w:r>
        <w:rPr>
          <w:rFonts w:ascii="Times New Roman" w:cs="Times New Roman" w:eastAsia="Times New Roman" w:hAnsi="Times New Roman"/>
          <w:sz w:val="20"/>
          <w:szCs w:val="20"/>
          <w:color w:val="auto"/>
        </w:rPr>
        <w:t>”) held in 2021, each person who is a Non-Employee Director at an AGM and who continues as a Non-Employee Director following such meeting automatically shall be granted an RSU award (an “</w:t>
      </w:r>
      <w:r>
        <w:rPr>
          <w:rFonts w:ascii="Times New Roman" w:cs="Times New Roman" w:eastAsia="Times New Roman" w:hAnsi="Times New Roman"/>
          <w:sz w:val="20"/>
          <w:szCs w:val="20"/>
          <w:b w:val="1"/>
          <w:bCs w:val="1"/>
          <w:i w:val="1"/>
          <w:iCs w:val="1"/>
          <w:color w:val="auto"/>
        </w:rPr>
        <w:t>Annual Grant</w:t>
      </w:r>
      <w:r>
        <w:rPr>
          <w:rFonts w:ascii="Times New Roman" w:cs="Times New Roman" w:eastAsia="Times New Roman" w:hAnsi="Times New Roman"/>
          <w:sz w:val="20"/>
          <w:szCs w:val="20"/>
          <w:color w:val="auto"/>
        </w:rPr>
        <w:t>”) on the grant date set forth in Section 2(b) below. In addition, subject to Section 3 below, each person who is elected or appointed to be a Non-Employee Director for the first time other than at an AGM and after the AGM held in 2021, automatically shall be granted a prorated RSU award (a “</w:t>
      </w:r>
      <w:r>
        <w:rPr>
          <w:rFonts w:ascii="Times New Roman" w:cs="Times New Roman" w:eastAsia="Times New Roman" w:hAnsi="Times New Roman"/>
          <w:sz w:val="20"/>
          <w:szCs w:val="20"/>
          <w:b w:val="1"/>
          <w:bCs w:val="1"/>
          <w:i w:val="1"/>
          <w:iCs w:val="1"/>
          <w:color w:val="auto"/>
        </w:rPr>
        <w:t>Prorated Annual Grant</w:t>
      </w:r>
      <w:r>
        <w:rPr>
          <w:rFonts w:ascii="Times New Roman" w:cs="Times New Roman" w:eastAsia="Times New Roman" w:hAnsi="Times New Roman"/>
          <w:sz w:val="20"/>
          <w:szCs w:val="20"/>
          <w:color w:val="auto"/>
        </w:rPr>
        <w:t>”) on the grant date set forth in Section 2(b) below, provided that such person is a Non-Employee Director on such grant date.</w:t>
      </w:r>
    </w:p>
    <w:p>
      <w:pPr>
        <w:spacing w:after="0" w:line="150" w:lineRule="exact"/>
        <w:rPr>
          <w:rFonts w:ascii="Times New Roman" w:cs="Times New Roman" w:eastAsia="Times New Roman" w:hAnsi="Times New Roman"/>
          <w:sz w:val="20"/>
          <w:szCs w:val="20"/>
          <w:color w:val="auto"/>
        </w:rPr>
      </w:pPr>
    </w:p>
    <w:p>
      <w:pPr>
        <w:ind w:right="400" w:firstLine="656"/>
        <w:spacing w:after="0" w:line="281" w:lineRule="auto"/>
        <w:tabs>
          <w:tab w:leader="none" w:pos="928"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The grant date of each Annual Grant shall be the day of the applicable AGM,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spacing w:after="0" w:line="123" w:lineRule="exact"/>
        <w:rPr>
          <w:rFonts w:ascii="Times New Roman" w:cs="Times New Roman" w:eastAsia="Times New Roman" w:hAnsi="Times New Roman"/>
          <w:sz w:val="19"/>
          <w:szCs w:val="19"/>
          <w:color w:val="auto"/>
        </w:rPr>
      </w:pPr>
    </w:p>
    <w:p>
      <w:pPr>
        <w:ind w:right="200" w:firstLine="656"/>
        <w:spacing w:after="0" w:line="283" w:lineRule="auto"/>
        <w:tabs>
          <w:tab w:leader="none" w:pos="91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Date Value</w:t>
      </w:r>
      <w:r>
        <w:rPr>
          <w:rFonts w:ascii="Times New Roman" w:cs="Times New Roman" w:eastAsia="Times New Roman" w:hAnsi="Times New Roman"/>
          <w:sz w:val="20"/>
          <w:szCs w:val="20"/>
          <w:color w:val="auto"/>
        </w:rPr>
        <w:t>. The grant date value of each Annual Grant shall be equal to approximately $400,000. The grant date value of each Prorated Annual Grant shall be prorated to reflect the shortened</w:t>
      </w:r>
    </w:p>
    <w:p>
      <w:pPr>
        <w:sectPr>
          <w:pgSz w:w="11900" w:h="16838" w:orient="portrait"/>
          <w:cols w:equalWidth="0" w:num="1">
            <w:col w:w="11240"/>
          </w:cols>
          <w:pgMar w:left="320" w:top="1413" w:right="339" w:bottom="1440" w:gutter="0" w:footer="0" w:header="0"/>
        </w:sectPr>
      </w:pPr>
    </w:p>
    <w:bookmarkStart w:id="59" w:name="page60"/>
    <w:bookmarkEnd w:id="59"/>
    <w:p>
      <w:pPr>
        <w:ind w:right="220"/>
        <w:spacing w:after="0" w:line="261" w:lineRule="auto"/>
        <w:rPr>
          <w:sz w:val="20"/>
          <w:szCs w:val="20"/>
          <w:color w:val="auto"/>
        </w:rPr>
      </w:pPr>
      <w:r>
        <w:rPr>
          <w:rFonts w:ascii="Times New Roman" w:cs="Times New Roman" w:eastAsia="Times New Roman" w:hAnsi="Times New Roman"/>
          <w:sz w:val="20"/>
          <w:szCs w:val="20"/>
          <w:color w:val="auto"/>
        </w:rPr>
        <w:t>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spacing w:after="0" w:line="137" w:lineRule="exact"/>
        <w:rPr>
          <w:sz w:val="20"/>
          <w:szCs w:val="20"/>
          <w:color w:val="auto"/>
        </w:rPr>
      </w:pPr>
    </w:p>
    <w:p>
      <w:pPr>
        <w:ind w:right="40" w:firstLine="656"/>
        <w:spacing w:after="0" w:line="260" w:lineRule="auto"/>
        <w:tabs>
          <w:tab w:leader="none" w:pos="9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Ordinary Shares</w:t>
      </w:r>
      <w:r>
        <w:rPr>
          <w:rFonts w:ascii="Times New Roman" w:cs="Times New Roman" w:eastAsia="Times New Roman" w:hAnsi="Times New Roman"/>
          <w:sz w:val="20"/>
          <w:szCs w:val="20"/>
          <w:color w:val="auto"/>
        </w:rPr>
        <w:t>. The number of ordinary shares of the Company (“</w:t>
      </w:r>
      <w:r>
        <w:rPr>
          <w:rFonts w:ascii="Times New Roman" w:cs="Times New Roman" w:eastAsia="Times New Roman" w:hAnsi="Times New Roman"/>
          <w:sz w:val="20"/>
          <w:szCs w:val="20"/>
          <w:b w:val="1"/>
          <w:bCs w:val="1"/>
          <w:i w:val="1"/>
          <w:iCs w:val="1"/>
          <w:color w:val="auto"/>
        </w:rPr>
        <w:t>Ordinary Shares</w:t>
      </w:r>
      <w:r>
        <w:rPr>
          <w:rFonts w:ascii="Times New Roman" w:cs="Times New Roman" w:eastAsia="Times New Roman" w:hAnsi="Times New Roman"/>
          <w:sz w:val="20"/>
          <w:szCs w:val="20"/>
          <w:color w:val="auto"/>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and including the grant date, rounded to the nearest share by application of regular rounding.</w:t>
      </w:r>
    </w:p>
    <w:p>
      <w:pPr>
        <w:spacing w:after="0" w:line="141" w:lineRule="exact"/>
        <w:rPr>
          <w:rFonts w:ascii="Times New Roman" w:cs="Times New Roman" w:eastAsia="Times New Roman" w:hAnsi="Times New Roman"/>
          <w:sz w:val="20"/>
          <w:szCs w:val="20"/>
          <w:color w:val="auto"/>
        </w:rPr>
      </w:pPr>
    </w:p>
    <w:p>
      <w:pPr>
        <w:jc w:val="both"/>
        <w:ind w:firstLine="656"/>
        <w:spacing w:after="0" w:line="271" w:lineRule="auto"/>
        <w:tabs>
          <w:tab w:leader="none" w:pos="91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 initial election or appointment, in each case subject to the Non-Employee Director’s Continuous Service (as</w:t>
      </w:r>
    </w:p>
    <w:p>
      <w:pPr>
        <w:spacing w:after="0" w:line="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defined in the NEDSAP) through such vesting date. Notwithstanding the foregoing, if a Non-Employee Director does not stand for reelection at an AGM in the year in which his or her term expires or otherwise resigns effective at an AGM and, in either case, the Non-Employee</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Director’s Continuous Service terminates at such AGM, then effective as of the date of such AGM, the unvested portion, if any, of such Non-Employee Director’s Annual Grant or Prorated Annual Grant shall become vested in full.</w:t>
      </w:r>
    </w:p>
    <w:p>
      <w:pPr>
        <w:spacing w:after="0" w:line="132" w:lineRule="exact"/>
        <w:rPr>
          <w:sz w:val="20"/>
          <w:szCs w:val="20"/>
          <w:color w:val="auto"/>
        </w:rPr>
      </w:pPr>
    </w:p>
    <w:p>
      <w:pPr>
        <w:ind w:right="180" w:firstLine="656"/>
        <w:spacing w:after="0" w:line="261" w:lineRule="auto"/>
        <w:tabs>
          <w:tab w:leader="none" w:pos="895" w:val="left"/>
        </w:tabs>
        <w:numPr>
          <w:ilvl w:val="1"/>
          <w:numId w:val="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Terms and Conditions</w:t>
      </w:r>
      <w:r>
        <w:rPr>
          <w:rFonts w:ascii="Times New Roman" w:cs="Times New Roman" w:eastAsia="Times New Roman" w:hAnsi="Times New Roman"/>
          <w:sz w:val="20"/>
          <w:szCs w:val="20"/>
          <w:color w:val="auto"/>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spacing w:after="0" w:line="140" w:lineRule="exact"/>
        <w:rPr>
          <w:rFonts w:ascii="Times New Roman" w:cs="Times New Roman" w:eastAsia="Times New Roman" w:hAnsi="Times New Roman"/>
          <w:sz w:val="20"/>
          <w:szCs w:val="20"/>
          <w:u w:val="single" w:color="auto"/>
          <w:color w:val="auto"/>
        </w:rPr>
      </w:pPr>
    </w:p>
    <w:p>
      <w:pPr>
        <w:ind w:right="120" w:firstLine="8"/>
        <w:spacing w:after="0" w:line="269" w:lineRule="auto"/>
        <w:tabs>
          <w:tab w:leader="none" w:pos="19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Non-Employee Director Compensation Limit</w:t>
      </w:r>
      <w:r>
        <w:rPr>
          <w:rFonts w:ascii="Times New Roman" w:cs="Times New Roman" w:eastAsia="Times New Roman" w:hAnsi="Times New Roman"/>
          <w:sz w:val="19"/>
          <w:szCs w:val="19"/>
          <w:color w:val="auto"/>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Times New Roman" w:cs="Times New Roman" w:eastAsia="Times New Roman" w:hAnsi="Times New Roman"/>
          <w:sz w:val="19"/>
          <w:szCs w:val="19"/>
          <w:b w:val="1"/>
          <w:bCs w:val="1"/>
          <w:i w:val="1"/>
          <w:iCs w:val="1"/>
          <w:color w:val="auto"/>
        </w:rPr>
        <w:t>Annual Period</w:t>
      </w:r>
      <w:r>
        <w:rPr>
          <w:rFonts w:ascii="Times New Roman" w:cs="Times New Roman" w:eastAsia="Times New Roman" w:hAnsi="Times New Roman"/>
          <w:sz w:val="19"/>
          <w:szCs w:val="19"/>
          <w:color w:val="auto"/>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i w:val="1"/>
          <w:i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Adopted by the Board of Directors of Jazz Pharmaceuticals plc on 2 May 2013.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1 August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1 May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30 October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30 April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4 May 2016.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3 May 2018.</w:t>
      </w:r>
    </w:p>
    <w:p>
      <w:pPr>
        <w:sectPr>
          <w:pgSz w:w="11900" w:h="16838" w:orient="portrait"/>
          <w:cols w:equalWidth="0" w:num="1">
            <w:col w:w="11220"/>
          </w:cols>
          <w:pgMar w:left="320" w:top="141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by the Board of Directors of Jazz Pharmaceuticals plc on 21 July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by the Board of Directors of Jazz Pharmaceuticals plc on 28 April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by the Board of Directors of Jazz Pharmaceuticals plc on 29 July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by the Board of Directors of Jazz Pharmaceuticals plc on 28 April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by the Board of Directors of Jazz Pharmaceuticals plc on 4 May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Amended and restated by the Board of Directors of Jazz Pharmaceuticals plc on 25 April 2024.</w:t>
      </w:r>
    </w:p>
    <w:p>
      <w:pPr>
        <w:sectPr>
          <w:pgSz w:w="11900" w:h="16838" w:orient="portrait"/>
          <w:cols w:equalWidth="0" w:num="1">
            <w:col w:w="10139"/>
          </w:cols>
          <w:pgMar w:left="320" w:top="1409"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w:t>
      </w:r>
    </w:p>
    <w:p>
      <w:pPr>
        <w:sectPr>
          <w:pgSz w:w="11900" w:h="16838" w:orient="portrait"/>
          <w:cols w:equalWidth="0" w:num="1">
            <w:col w:w="11240"/>
          </w:cols>
          <w:pgMar w:left="320" w:top="100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ectPr>
          <w:pgSz w:w="11900" w:h="16838" w:orient="portrait"/>
          <w:cols w:equalWidth="0" w:num="1">
            <w:col w:w="11240"/>
          </w:cols>
          <w:pgMar w:left="320" w:top="100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66" w:lineRule="exact"/>
        <w:rPr>
          <w:sz w:val="20"/>
          <w:szCs w:val="20"/>
          <w:color w:val="auto"/>
        </w:rPr>
      </w:pPr>
    </w:p>
    <w:p>
      <w:pPr>
        <w:ind w:left="740" w:right="80" w:hanging="327"/>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 (Principal Executive</w:t>
      </w:r>
    </w:p>
    <w:p>
      <w:pPr>
        <w:ind w:left="22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0"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80" w:hanging="331"/>
        <w:spacing w:after="0" w:line="252" w:lineRule="auto"/>
        <w:tabs>
          <w:tab w:leader="none" w:pos="4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2"/>
      <w:numFmt w:val="decimal"/>
      <w:start w:val="104"/>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4353D0CD"/>
    <w:multiLevelType w:val="hybridMultilevel"/>
    <w:lvl w:ilvl="0">
      <w:lvlJc w:val="left"/>
      <w:lvlText w:val="(%1)"/>
      <w:numFmt w:val="lowerRoman"/>
      <w:start w:val="10"/>
    </w:lvl>
  </w:abstractNum>
  <w:abstractNum w:abstractNumId="21">
    <w:nsid w:val="B03E0C6"/>
    <w:multiLevelType w:val="hybridMultilevel"/>
    <w:lvl w:ilvl="0">
      <w:lvlJc w:val="left"/>
      <w:lvlText w:val="%1"/>
      <w:numFmt w:val="decimal"/>
      <w:start w:val="1"/>
    </w:lvl>
    <w:lvl w:ilvl="1">
      <w:lvlJc w:val="left"/>
      <w:lvlText w:val="(%2)"/>
      <w:numFmt w:val="lowerLetter"/>
      <w:start w:val="2"/>
    </w:lvl>
  </w:abstractNum>
  <w:abstractNum w:abstractNumId="22">
    <w:nsid w:val="189A769B"/>
    <w:multiLevelType w:val="hybridMultilevel"/>
    <w:lvl w:ilvl="0">
      <w:lvlJc w:val="left"/>
      <w:lvlText w:val="%1."/>
      <w:numFmt w:val="decimal"/>
      <w:start w:val="2"/>
    </w:lvl>
    <w:lvl w:ilvl="1">
      <w:lvlJc w:val="left"/>
      <w:lvlText w:val="(%2)"/>
      <w:numFmt w:val="lowerLetter"/>
      <w:start w:val="1"/>
    </w:lvl>
  </w:abstractNum>
  <w:abstractNum w:abstractNumId="23">
    <w:nsid w:val="54E49EB4"/>
    <w:multiLevelType w:val="hybridMultilevel"/>
    <w:lvl w:ilvl="0">
      <w:lvlJc w:val="left"/>
      <w:lvlText w:val="(%1)"/>
      <w:numFmt w:val="lowerLetter"/>
      <w:start w:val="4"/>
    </w:lvl>
  </w:abstractNum>
  <w:abstractNum w:abstractNumId="24">
    <w:nsid w:val="71F32454"/>
    <w:multiLevelType w:val="hybridMultilevel"/>
    <w:lvl w:ilvl="0">
      <w:lvlJc w:val="left"/>
      <w:lvlText w:val="%1"/>
      <w:numFmt w:val="decimal"/>
      <w:start w:val="1"/>
    </w:lvl>
    <w:lvl w:ilvl="1">
      <w:lvlJc w:val="left"/>
      <w:lvlText w:val="(%2)"/>
      <w:numFmt w:val="lowerLetter"/>
      <w:start w:val="6"/>
    </w:lvl>
  </w:abstractNum>
  <w:abstractNum w:abstractNumId="25">
    <w:nsid w:val="2CA88611"/>
    <w:multiLevelType w:val="hybridMultilevel"/>
    <w:lvl w:ilvl="0">
      <w:lvlJc w:val="left"/>
      <w:lvlText w:val="%1."/>
      <w:numFmt w:val="decimal"/>
      <w:start w:val="3"/>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2" Type="http://schemas.openxmlformats.org/officeDocument/2006/relationships/hyperlink" Target="https://www.sec.gov/Archives/edgar/data/1232524/000119312521027577/d117870dex21.htm" TargetMode="External"/><Relationship Id="rId73" Type="http://schemas.openxmlformats.org/officeDocument/2006/relationships/hyperlink" Target="https://www.sec.gov/Archives/edgar/data/1232524/000123252416000303/jazzq22016ex31.htm" TargetMode="External"/><Relationship Id="rId74" Type="http://schemas.openxmlformats.org/officeDocument/2006/relationships/hyperlink" Target="https://www.sec.gov/Archives/edgar/data/0001232524/000119312521140517/d1913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2024-05-02T06:47:38Z</dcterms:created>
  <dcterms:modified xsi:type="dcterms:W3CDTF">2024-05-02T06:47:38Z</dcterms:modified>
</cp:coreProperties>
</file>