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66"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22"/>
        <w:jc w:val="center"/>
        <w:rPr>
          <w:color w:val="000000"/>
        </w:rPr>
      </w:pPr>
      <w:r>
        <w:rPr>
          <w:color w:val="000000"/>
        </w:rPr>
        <w:t> </w:t>
      </w:r>
    </w:p>
    <w:p>
      <w:pPr>
        <w:pStyle w:val="TextBody"/>
        <w:bidi w:val="0"/>
        <w:spacing w:lineRule="auto" w:line="288" w:before="198"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22"/>
        <w:jc w:val="center"/>
        <w:rPr>
          <w:color w:val="000000"/>
        </w:rPr>
      </w:pPr>
      <w:r>
        <w:rPr>
          <w:color w:val="000000"/>
        </w:rPr>
        <w:t> </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98" w:after="283"/>
        <w:jc w:val="center"/>
        <w:rPr>
          <w:rFonts w:ascii="Times New Roman;serif" w:hAnsi="Times New Roman;serif"/>
          <w:b w:val="false"/>
          <w:color w:val="000000"/>
          <w:sz w:val="20"/>
        </w:rPr>
      </w:pPr>
      <w:r>
        <w:rPr>
          <w:rFonts w:ascii="Times New Roman;serif" w:hAnsi="Times New Roman;serif"/>
          <w:b w:val="false"/>
          <w:color w:val="000000"/>
          <w:sz w:val="20"/>
        </w:rPr>
        <w:t>October 6,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left"/>
        <w:rPr>
          <w:color w:val="000000"/>
        </w:rPr>
      </w:pPr>
      <w:r>
        <w:rPr>
          <w:color w:val="000000"/>
        </w:rPr>
        <w:t> </w:t>
      </w:r>
    </w:p>
    <w:p>
      <w:pPr>
        <w:pStyle w:val="TextBody"/>
        <w:bidi w:val="0"/>
        <w:spacing w:lineRule="auto" w:line="288" w:before="0" w:after="22"/>
        <w:jc w:val="center"/>
        <w:rPr>
          <w:color w:val="000000"/>
        </w:rPr>
      </w:pPr>
      <w:r>
        <w:rPr>
          <w:color w:val="000000"/>
        </w:rPr>
        <w:t> </w:t>
      </w:r>
    </w:p>
    <w:p>
      <w:pPr>
        <w:pStyle w:val="TextBody"/>
        <w:bidi w:val="0"/>
        <w:spacing w:lineRule="auto" w:line="288" w:before="198" w:after="283"/>
        <w:jc w:val="center"/>
        <w:rPr>
          <w:rFonts w:ascii="Times New Roman;serif" w:hAnsi="Times New Roman;serif"/>
          <w:b/>
          <w:color w:val="000000"/>
          <w:sz w:val="34"/>
        </w:rPr>
      </w:pPr>
      <w:r>
        <w:rPr>
          <w:rFonts w:ascii="Times New Roman;serif" w:hAnsi="Times New Roman;serif"/>
          <w:b/>
          <w:color w:val="000000"/>
          <w:sz w:val="34"/>
        </w:rPr>
        <w:t xml:space="preserve">JAZZ PHARMACEUTICALS PUBLIC LIMITED COMPANY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left"/>
        <w:rPr>
          <w:color w:val="000000"/>
        </w:rPr>
      </w:pPr>
      <w:r>
        <w:rPr>
          <w:color w:val="000000"/>
        </w:rPr>
        <w:t> </w:t>
      </w:r>
    </w:p>
    <w:tbl>
      <w:tblPr>
        <w:tblW w:w="5994" w:type="dxa"/>
        <w:jc w:val="center"/>
        <w:tblInd w:w="0" w:type="dxa"/>
        <w:tblLayout w:type="fixed"/>
        <w:tblCellMar>
          <w:top w:w="28" w:type="dxa"/>
          <w:left w:w="28" w:type="dxa"/>
          <w:bottom w:w="28" w:type="dxa"/>
          <w:right w:w="28" w:type="dxa"/>
        </w:tblCellMar>
      </w:tblPr>
      <w:tblGrid>
        <w:gridCol w:w="885"/>
        <w:gridCol w:w="777"/>
        <w:gridCol w:w="783"/>
        <w:gridCol w:w="109"/>
        <w:gridCol w:w="109"/>
        <w:gridCol w:w="109"/>
        <w:gridCol w:w="404"/>
        <w:gridCol w:w="404"/>
        <w:gridCol w:w="408"/>
        <w:gridCol w:w="109"/>
        <w:gridCol w:w="109"/>
        <w:gridCol w:w="109"/>
        <w:gridCol w:w="490"/>
        <w:gridCol w:w="490"/>
        <w:gridCol w:w="699"/>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98-1032470</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Fifth Floor, Waterloo Exchange,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Waterloo Road, Dublin 4, Ireland D04 E5W7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011-353-1-634-7800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449" w:type="dxa"/>
        <w:jc w:val="center"/>
        <w:tblInd w:w="0" w:type="dxa"/>
        <w:tblLayout w:type="fixed"/>
        <w:tblCellMar>
          <w:top w:w="28" w:type="dxa"/>
          <w:left w:w="28" w:type="dxa"/>
          <w:bottom w:w="28" w:type="dxa"/>
          <w:right w:w="28" w:type="dxa"/>
        </w:tblCellMar>
      </w:tblPr>
      <w:tblGrid>
        <w:gridCol w:w="1494"/>
        <w:gridCol w:w="1308"/>
        <w:gridCol w:w="1323"/>
        <w:gridCol w:w="539"/>
        <w:gridCol w:w="539"/>
        <w:gridCol w:w="541"/>
        <w:gridCol w:w="1085"/>
        <w:gridCol w:w="1085"/>
        <w:gridCol w:w="1535"/>
      </w:tblGrid>
      <w:tr>
        <w:trPr/>
        <w:tc>
          <w:tcPr>
            <w:tcW w:w="149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JAZZ</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color w:val="000000"/>
          <w:sz w:val="20"/>
        </w:rPr>
        <w:t xml:space="preserve">Item 5.02. </w:t>
      </w:r>
      <w:r>
        <w:rPr>
          <w:rFonts w:ascii="Times New Roman;serif" w:hAnsi="Times New Roman;serif"/>
          <w:b/>
          <w:color w:val="282B2F"/>
          <w:sz w:val="20"/>
        </w:rPr>
        <w:t>Departure of Directors or Certain Officers; Election of Directors; Appointment of Certain Officers; Compensatory</w:t>
      </w:r>
      <w:r>
        <w:rPr>
          <w:color w:val="000000"/>
        </w:rPr>
        <w:t xml:space="preserve"> </w:t>
      </w:r>
      <w:r>
        <w:rPr>
          <w:rFonts w:ascii="Times New Roman;serif" w:hAnsi="Times New Roman;serif"/>
          <w:b/>
          <w:color w:val="282B2F"/>
          <w:sz w:val="20"/>
        </w:rPr>
        <w:t>Arrangements of Certain Officers.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282B2F"/>
          <w:sz w:val="20"/>
        </w:rPr>
        <w:t>On</w:t>
      </w:r>
      <w:r>
        <w:rPr>
          <w:color w:val="282B2F"/>
        </w:rPr>
        <w:t xml:space="preserve"> </w:t>
      </w:r>
      <w:r>
        <w:rPr>
          <w:rFonts w:ascii="Times New Roman;serif" w:hAnsi="Times New Roman;serif"/>
          <w:b w:val="false"/>
          <w:color w:val="282B2F"/>
          <w:sz w:val="20"/>
        </w:rPr>
        <w:t xml:space="preserve">October 6, 2026, Samantha Pearce, Executive Vice President, Chief Commercial Officer of Jazz Pharmaceuticals plc (the </w:t>
      </w:r>
      <w:r>
        <w:rPr>
          <w:color w:val="000000"/>
        </w:rPr>
        <w:t>“</w:t>
      </w:r>
      <w:r>
        <w:rPr>
          <w:rFonts w:ascii="Times New Roman;serif" w:hAnsi="Times New Roman;serif"/>
          <w:b w:val="false"/>
          <w:color w:val="000000"/>
          <w:sz w:val="20"/>
        </w:rPr>
        <w:t>Company”</w:t>
      </w:r>
      <w:r>
        <w:rPr>
          <w:rFonts w:ascii="Times New Roman;serif" w:hAnsi="Times New Roman;serif"/>
          <w:b w:val="false"/>
          <w:color w:val="3B3F42"/>
          <w:sz w:val="20"/>
        </w:rPr>
        <w:t xml:space="preserve">), </w:t>
      </w:r>
      <w:r>
        <w:rPr>
          <w:rFonts w:ascii="Times New Roman;serif" w:hAnsi="Times New Roman;serif"/>
          <w:b w:val="false"/>
          <w:color w:val="282B2F"/>
          <w:sz w:val="20"/>
        </w:rPr>
        <w:t xml:space="preserve">notified the Company of her intent to retire from her role as Chief Commercial Officer upon the earlier of the </w:t>
      </w:r>
      <w:r>
        <w:rPr>
          <w:rFonts w:ascii="Times New Roman;serif" w:hAnsi="Times New Roman;serif"/>
          <w:b w:val="false"/>
          <w:color w:val="3B3F42"/>
          <w:sz w:val="20"/>
        </w:rPr>
        <w:t xml:space="preserve">selection </w:t>
      </w:r>
      <w:r>
        <w:rPr>
          <w:rFonts w:ascii="Times New Roman;serif" w:hAnsi="Times New Roman;serif"/>
          <w:b w:val="false"/>
          <w:color w:val="282B2F"/>
          <w:sz w:val="20"/>
        </w:rPr>
        <w:t>and appointment of her successor or by June 30, 2027. The Company plans to commence a formal search process to identify Ms. Pearce’s successor, which will consider both internal and external candidates.</w:t>
      </w:r>
      <w:r>
        <w:rPr>
          <w:color w:val="000000"/>
        </w:rPr>
        <w:t xml:space="preserve"> </w:t>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98"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947" w:type="dxa"/>
        <w:jc w:val="left"/>
        <w:tblInd w:w="0" w:type="dxa"/>
        <w:tblLayout w:type="fixed"/>
        <w:tblCellMar>
          <w:top w:w="28" w:type="dxa"/>
          <w:left w:w="28" w:type="dxa"/>
          <w:bottom w:w="28" w:type="dxa"/>
          <w:right w:w="28" w:type="dxa"/>
        </w:tblCellMar>
      </w:tblPr>
      <w:tblGrid>
        <w:gridCol w:w="124"/>
        <w:gridCol w:w="109"/>
        <w:gridCol w:w="109"/>
        <w:gridCol w:w="797"/>
        <w:gridCol w:w="797"/>
        <w:gridCol w:w="797"/>
        <w:gridCol w:w="1233"/>
        <w:gridCol w:w="1233"/>
        <w:gridCol w:w="1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PHARMACEUTICALS PUBLIC LIMITED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Neena Patil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Neena Patil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Executive Vice President and Chief Legal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9,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443</Words>
  <Characters>2496</Characters>
  <CharactersWithSpaces>2907</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