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720" w:hanging="685"/>
        <w:spacing w:after="0" w:line="226" w:lineRule="auto"/>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720" w:hanging="685"/>
        <w:spacing w:after="0" w:line="226"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4" w:lineRule="exact"/>
        <w:rPr>
          <w:sz w:val="24"/>
          <w:szCs w:val="24"/>
          <w:color w:val="auto"/>
        </w:rPr>
      </w:pPr>
    </w:p>
    <w:p>
      <w:pPr>
        <w:ind w:left="2460"/>
        <w:spacing w:after="0"/>
        <w:tabs>
          <w:tab w:leader="none" w:pos="834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98-1032470</w:t>
      </w:r>
    </w:p>
    <w:p>
      <w:pPr>
        <w:spacing w:after="0" w:line="59" w:lineRule="exact"/>
        <w:rPr>
          <w:sz w:val="24"/>
          <w:szCs w:val="24"/>
          <w:color w:val="auto"/>
        </w:rPr>
      </w:pPr>
    </w:p>
    <w:p>
      <w:pPr>
        <w:ind w:left="900"/>
        <w:spacing w:after="0"/>
        <w:tabs>
          <w:tab w:leader="none" w:pos="76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p>
      <w:pPr>
        <w:ind w:left="1760"/>
        <w:spacing w:after="0"/>
        <w:tabs>
          <w:tab w:leader="none" w:pos="492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380"/>
        <w:spacing w:after="0"/>
        <w:tabs>
          <w:tab w:leader="none" w:pos="5280" w:val="left"/>
          <w:tab w:leader="none" w:pos="7680" w:val="left"/>
        </w:tabs>
        <w:rPr>
          <w:sz w:val="20"/>
          <w:szCs w:val="20"/>
          <w:color w:val="auto"/>
        </w:rPr>
      </w:pPr>
      <w:r>
        <w:rPr>
          <w:rFonts w:ascii="Arial" w:cs="Arial" w:eastAsia="Arial" w:hAnsi="Arial"/>
          <w:sz w:val="18"/>
          <w:szCs w:val="18"/>
          <w:b w:val="1"/>
          <w:bCs w:val="1"/>
          <w:color w:val="auto"/>
        </w:rPr>
        <w:t>Ordinary shares, nominal value $0.0001 per share</w:t>
      </w:r>
      <w:r>
        <w:rPr>
          <w:sz w:val="20"/>
          <w:szCs w:val="20"/>
          <w:color w:val="auto"/>
        </w:rPr>
        <w:tab/>
      </w:r>
      <w:r>
        <w:rPr>
          <w:rFonts w:ascii="Arial" w:cs="Arial" w:eastAsia="Arial" w:hAnsi="Arial"/>
          <w:sz w:val="18"/>
          <w:szCs w:val="18"/>
          <w:b w:val="1"/>
          <w:bCs w:val="1"/>
          <w:color w:val="auto"/>
        </w:rPr>
        <w:t>JAZZ</w:t>
      </w:r>
      <w:r>
        <w:rPr>
          <w:sz w:val="20"/>
          <w:szCs w:val="20"/>
          <w:color w:val="auto"/>
        </w:rPr>
        <w:tab/>
      </w:r>
      <w:r>
        <w:rPr>
          <w:rFonts w:ascii="Arial" w:cs="Arial" w:eastAsia="Arial" w:hAnsi="Arial"/>
          <w:sz w:val="16"/>
          <w:szCs w:val="16"/>
          <w:b w:val="1"/>
          <w:bCs w:val="1"/>
          <w:color w:val="auto"/>
        </w:rPr>
        <w:t>The Nasdaq Stock Market LLC</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32" w:lineRule="exact"/>
        <w:rPr>
          <w:sz w:val="24"/>
          <w:szCs w:val="24"/>
          <w:color w:val="auto"/>
        </w:rPr>
      </w:pPr>
    </w:p>
    <w:p>
      <w:pPr>
        <w:ind w:left="340" w:right="3040"/>
        <w:spacing w:after="0" w:line="29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4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4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4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p>
      <w:pPr>
        <w:ind w:left="40"/>
        <w:spacing w:after="0" w:line="185" w:lineRule="exact"/>
        <w:tabs>
          <w:tab w:leader="none" w:pos="2140" w:val="left"/>
          <w:tab w:leader="none" w:pos="4200" w:val="left"/>
          <w:tab w:leader="none" w:pos="6240" w:val="left"/>
          <w:tab w:leader="none" w:pos="8620" w:val="left"/>
          <w:tab w:leader="none" w:pos="11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79" w:lineRule="exact"/>
        <w:rPr>
          <w:sz w:val="24"/>
          <w:szCs w:val="24"/>
          <w:color w:val="auto"/>
        </w:rPr>
      </w:pPr>
    </w:p>
    <w:p>
      <w:pPr>
        <w:ind w:right="400" w:firstLine="324"/>
        <w:spacing w:after="0" w:line="22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340"/>
        <w:spacing w:after="0" w:line="207" w:lineRule="exact"/>
        <w:tabs>
          <w:tab w:leader="none" w:pos="6380" w:val="left"/>
          <w:tab w:leader="none" w:pos="69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28, 2019, the last business day of the registrant’s most recently completed second fiscal quarter, was approximately $7,869,781,340 based upon the last sale price reported for the registrant’s ordinary shares on such date on The Nasdaq Global Select Market. The calculation of the aggregate market value of voting and non-voting common equity excludes 1,418,007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18, 2020, a total of 56,133,306 ordinary shares, nominal value $0.0001 per share, of the registrant were outstanding.</w:t>
      </w:r>
    </w:p>
    <w:p>
      <w:pPr>
        <w:spacing w:after="0" w:line="7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20" w:firstLine="324"/>
        <w:spacing w:after="0" w:line="169" w:lineRule="exact"/>
        <w:rPr>
          <w:sz w:val="20"/>
          <w:szCs w:val="20"/>
          <w:color w:val="auto"/>
        </w:rPr>
      </w:pPr>
      <w:r>
        <w:rPr>
          <w:rFonts w:ascii="Arial" w:cs="Arial" w:eastAsia="Arial" w:hAnsi="Arial"/>
          <w:sz w:val="13"/>
          <w:szCs w:val="13"/>
          <w:color w:val="auto"/>
        </w:rPr>
        <w:t>Certain information required by Part III, Items 10-14 of this Form 10</w:t>
      </w:r>
      <w:r>
        <w:rPr>
          <w:rFonts w:ascii="MS PGothic" w:cs="MS PGothic" w:eastAsia="MS PGothic" w:hAnsi="MS PGothic"/>
          <w:sz w:val="13"/>
          <w:szCs w:val="13"/>
          <w:color w:val="auto"/>
        </w:rPr>
        <w:t>‑</w:t>
      </w:r>
      <w:r>
        <w:rPr>
          <w:rFonts w:ascii="Arial" w:cs="Arial" w:eastAsia="Arial" w:hAnsi="Arial"/>
          <w:sz w:val="13"/>
          <w:szCs w:val="13"/>
          <w:color w:val="auto"/>
        </w:rPr>
        <w:t>K is incorporated by reference to the registrant’s definitive Proxy Statement for the 2020 Annual General Meeting of Shareholders to be filed with the Securities and Exchange Commission pursuant to Regulation 14A not later than 120 days after the end of the fiscal year covered by this Form 10</w:t>
      </w:r>
      <w:r>
        <w:rPr>
          <w:rFonts w:ascii="MS PGothic" w:cs="MS PGothic" w:eastAsia="MS PGothic" w:hAnsi="MS PGothic"/>
          <w:sz w:val="13"/>
          <w:szCs w:val="13"/>
          <w:color w:val="auto"/>
        </w:rPr>
        <w:t>‑</w:t>
      </w:r>
      <w:r>
        <w:rPr>
          <w:rFonts w:ascii="Arial" w:cs="Arial" w:eastAsia="Arial" w:hAnsi="Arial"/>
          <w:sz w:val="13"/>
          <w:szCs w:val="13"/>
          <w:color w:val="auto"/>
        </w:rPr>
        <w:t>K, provided that if such Proxy Statement is not filed within such period, such information will be included in an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K to be filed within such 120-day period.</w:t>
      </w:r>
    </w:p>
    <w:p>
      <w:pPr>
        <w:sectPr>
          <w:pgSz w:w="11900" w:h="16838" w:orient="portrait"/>
          <w:cols w:equalWidth="0" w:num="1">
            <w:col w:w="11400"/>
          </w:cols>
          <w:pgMar w:left="240" w:top="233" w:right="259" w:bottom="948" w:gutter="0" w:footer="0" w:header="0"/>
        </w:sect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33" w:right="259" w:bottom="948"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2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JAZZ PHARMACEUTICALS PLC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0"/>
          </w:tcPr>
          <w:p>
            <w:pPr>
              <w:jc w:val="center"/>
              <w:ind w:right="2100"/>
              <w:spacing w:after="0"/>
              <w:rPr>
                <w:sz w:val="20"/>
                <w:szCs w:val="20"/>
                <w:color w:val="auto"/>
              </w:rPr>
            </w:pPr>
            <w:r>
              <w:rPr>
                <w:rFonts w:ascii="Arial" w:cs="Arial" w:eastAsia="Arial" w:hAnsi="Arial"/>
                <w:sz w:val="18"/>
                <w:szCs w:val="18"/>
                <w:b w:val="1"/>
                <w:bCs w:val="1"/>
                <w:color w:val="auto"/>
                <w:w w:val="98"/>
              </w:rPr>
              <w:t>2019 ANNUAL REPORT ON FORM 10-K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36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80"/>
              <w:spacing w:after="0"/>
              <w:rPr>
                <w:sz w:val="20"/>
                <w:szCs w:val="20"/>
                <w:color w:val="auto"/>
              </w:rPr>
            </w:pPr>
            <w:r>
              <w:rPr>
                <w:rFonts w:ascii="Arial" w:cs="Arial" w:eastAsia="Arial" w:hAnsi="Arial"/>
                <w:sz w:val="18"/>
                <w:szCs w:val="18"/>
                <w:b w:val="1"/>
                <w:bCs w:val="1"/>
                <w:color w:val="auto"/>
              </w:rPr>
              <w:t>PART I</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40" w:type="dxa"/>
            <w:vAlign w:val="bottom"/>
            <w:gridSpan w:val="18"/>
          </w:tcPr>
          <w:p>
            <w:pPr>
              <w:spacing w:after="0"/>
              <w:rPr>
                <w:sz w:val="24"/>
                <w:szCs w:val="24"/>
                <w:color w:val="auto"/>
              </w:rPr>
            </w:pPr>
          </w:p>
        </w:tc>
        <w:tc>
          <w:tcPr>
            <w:tcW w:w="11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798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Unresolved Staff Comments</w:t>
              </w:r>
            </w:hyperlink>
          </w:p>
        </w:tc>
        <w:tc>
          <w:tcPr>
            <w:tcW w:w="6840" w:type="dxa"/>
            <w:vAlign w:val="bottom"/>
            <w:gridSpan w:val="1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6840" w:type="dxa"/>
            <w:vAlign w:val="bottom"/>
            <w:gridSpan w:val="1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40"/>
              <w:spacing w:after="0"/>
              <w:rPr>
                <w:sz w:val="20"/>
                <w:szCs w:val="20"/>
                <w:color w:val="auto"/>
              </w:rPr>
            </w:pPr>
            <w:r>
              <w:rPr>
                <w:rFonts w:ascii="Arial" w:cs="Arial" w:eastAsia="Arial" w:hAnsi="Arial"/>
                <w:sz w:val="18"/>
                <w:szCs w:val="18"/>
                <w:b w:val="1"/>
                <w:bCs w:val="1"/>
                <w:color w:val="auto"/>
              </w:rPr>
              <w:t>PART II</w:t>
            </w: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9"/>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Market for Registrant’s Common Equity, Related Stockholder Matters and Issuer Purchases of Equity Securities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Selected Financial Data</w:t>
              </w:r>
            </w:hyperlink>
          </w:p>
        </w:tc>
        <w:tc>
          <w:tcPr>
            <w:tcW w:w="8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42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4520" w:type="dxa"/>
            <w:vAlign w:val="bottom"/>
            <w:gridSpan w:val="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242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120" w:type="dxa"/>
            <w:vAlign w:val="bottom"/>
            <w:gridSpan w:val="1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III</w:t>
            </w: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8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480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8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3440" w:type="dxa"/>
            <w:vAlign w:val="bottom"/>
            <w:gridSpan w:val="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615"/>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7"/>
          </w:tcPr>
          <w:p>
            <w:pPr>
              <w:ind w:left="120"/>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and Financial Statement Schedules</w:t>
              </w:r>
            </w:hyperlink>
          </w:p>
        </w:tc>
        <w:tc>
          <w:tcPr>
            <w:tcW w:w="572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Form 10-K Summary</w:t>
              </w:r>
            </w:hyperlink>
          </w:p>
        </w:tc>
        <w:tc>
          <w:tcPr>
            <w:tcW w:w="572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89">
              <w:r>
                <w:rPr>
                  <w:rFonts w:ascii="Arial" w:cs="Arial" w:eastAsia="Arial" w:hAnsi="Arial"/>
                  <w:sz w:val="18"/>
                  <w:szCs w:val="18"/>
                  <w:color w:val="0000EE"/>
                  <w:w w:val="85"/>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432"/>
        <w:spacing w:after="0" w:line="229"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6"/>
          <w:szCs w:val="16"/>
          <w:color w:val="auto"/>
        </w:rPr>
        <w:t>, Xyrem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2"/>
          <w:szCs w:val="22"/>
          <w:color w:val="auto"/>
          <w:vertAlign w:val="superscript"/>
        </w:rPr>
        <w:t>®</w:t>
      </w:r>
      <w:r>
        <w:rPr>
          <w:rFonts w:ascii="Arial" w:cs="Arial" w:eastAsia="Arial" w:hAnsi="Arial"/>
          <w:sz w:val="16"/>
          <w:szCs w:val="16"/>
          <w:color w:val="auto"/>
        </w:rPr>
        <w:t>, CombiPlex</w:t>
      </w:r>
      <w:r>
        <w:rPr>
          <w:rFonts w:ascii="Arial" w:cs="Arial" w:eastAsia="Arial" w:hAnsi="Arial"/>
          <w:sz w:val="22"/>
          <w:szCs w:val="22"/>
          <w:color w:val="auto"/>
          <w:vertAlign w:val="superscript"/>
        </w:rPr>
        <w:t>®</w:t>
      </w:r>
      <w:r>
        <w:rPr>
          <w:rFonts w:ascii="Arial" w:cs="Arial" w:eastAsia="Arial" w:hAnsi="Arial"/>
          <w:sz w:val="16"/>
          <w:szCs w:val="16"/>
          <w:color w:val="auto"/>
        </w:rPr>
        <w:t>, 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(daunorubicin and cytarabine) liposome for injection and</w:t>
      </w:r>
    </w:p>
    <w:p>
      <w:pPr>
        <w:ind w:right="240"/>
        <w:spacing w:after="0" w:line="218" w:lineRule="exact"/>
        <w:rPr>
          <w:sz w:val="20"/>
          <w:szCs w:val="20"/>
          <w:color w:val="auto"/>
        </w:rPr>
      </w:pPr>
      <w:r>
        <w:rPr>
          <w:rFonts w:ascii="Arial" w:cs="Arial" w:eastAsia="Arial" w:hAnsi="Arial"/>
          <w:sz w:val="16"/>
          <w:szCs w:val="16"/>
          <w:color w:val="auto"/>
        </w:rPr>
        <w:t>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liposomal 44 mg/100 mg powder for concentrate for solution for infusion. This report also includes trademarks, service marks and trade names of other companies. Trademarks, service marks and trade names appearing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the property of their respective owners.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17" w:lineRule="exact"/>
        <w:rPr>
          <w:sz w:val="20"/>
          <w:szCs w:val="20"/>
          <w:color w:val="auto"/>
        </w:rPr>
      </w:pPr>
      <w:r>
        <w:rPr>
          <w:rFonts w:ascii="Arial" w:cs="Arial" w:eastAsia="Arial" w:hAnsi="Arial"/>
          <w:sz w:val="17"/>
          <w:szCs w:val="17"/>
          <w:i w:val="1"/>
          <w:iCs w:val="1"/>
          <w:color w:val="auto"/>
        </w:rPr>
        <w:t>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in greater detail under the heading “Risk Factors.” Given these risks, uncertainties and other factors, you should not place undue reliance on these forward-looking statements. Also, these forward-looking statements represent our estimates and assumptions only as of the date of this filing. You should read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“the registrant,” “we,” “us,” and “our” refer to Jazz Pharmaceuticals plc and its consolidated subsidiaries.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and solid tumors.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60" w:hanging="320"/>
        <w:spacing w:after="0" w:line="229" w:lineRule="auto"/>
        <w:tabs>
          <w:tab w:leader="none" w:pos="7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Xyrem</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the only product approved by the U.S. Food and Drug Administration, or FDA, and marketed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treatment of both cataplexy and excessive daytime sleepiness, or EDS, in both adult and pediatric patients with narcolepsy;</w:t>
      </w:r>
    </w:p>
    <w:p>
      <w:pPr>
        <w:spacing w:after="0" w:line="90" w:lineRule="exact"/>
        <w:rPr>
          <w:rFonts w:ascii="Arial" w:cs="Arial" w:eastAsia="Arial" w:hAnsi="Arial"/>
          <w:sz w:val="17"/>
          <w:szCs w:val="17"/>
          <w:b w:val="1"/>
          <w:bCs w:val="1"/>
          <w:color w:val="auto"/>
        </w:rPr>
      </w:pPr>
    </w:p>
    <w:p>
      <w:pPr>
        <w:ind w:left="720" w:right="300" w:hanging="320"/>
        <w:spacing w:after="0" w:line="257"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Sunosi</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(solriamfetol)</w:t>
      </w:r>
      <w:r>
        <w:rPr>
          <w:rFonts w:ascii="Arial" w:cs="Arial" w:eastAsia="Arial" w:hAnsi="Arial"/>
          <w:sz w:val="16"/>
          <w:szCs w:val="16"/>
          <w:color w:val="auto"/>
        </w:rPr>
        <w:t>, a product approved by the FDA and marketed in the U.S. to improve wakefulness in adult patients with EDS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narcolepsy or obstructive sleep apnea, or OSA, and also approved in Europe in January 2020 by the European Commission, or EC;</w:t>
      </w:r>
    </w:p>
    <w:p>
      <w:pPr>
        <w:spacing w:after="0" w:line="72" w:lineRule="exact"/>
        <w:rPr>
          <w:rFonts w:ascii="Arial" w:cs="Arial" w:eastAsia="Arial" w:hAnsi="Arial"/>
          <w:sz w:val="16"/>
          <w:szCs w:val="16"/>
          <w:b w:val="1"/>
          <w:bCs w:val="1"/>
          <w:color w:val="auto"/>
        </w:rPr>
      </w:pPr>
    </w:p>
    <w:p>
      <w:pPr>
        <w:ind w:left="720" w:right="160" w:hanging="320"/>
        <w:spacing w:after="0" w:line="21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or SOS,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20" w:right="420" w:hanging="320"/>
        <w:spacing w:after="0" w:line="260"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480" w:hanging="320"/>
        <w:spacing w:after="0" w:line="201"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t-AML, or AML with myelodysplasia-related changes, or AML-MRC.</w:t>
      </w:r>
    </w:p>
    <w:p>
      <w:pPr>
        <w:spacing w:after="0" w:line="9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Over the last five years, we achieved multiple significant regulatory approvals, including most recently the European approval of Sunosi, and executed on five product launches. Over the next two years, we look forward to three additional potential regulatory approvals and related product launches (lurbinectedin, JZP-258 and JZP-458), as well as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commencement of the rolling launch of Sunosi in Europe by mid-2020. In February 2020, the FDA accepted for filing with priority review the new drug application, or NDA, for lurbinectedin for the treatment of relapsed small cell lung cancer, or SCLC, a product candidate for which we recently acquired exclusive U.S. development and commercialization rights. In January 2020, we submitted an NDA to the FDA seeking marketing approval for JZP-258, an oxybate product candidate that contains 92%, or approximately 1,000 to 1,500 milligrams per day, less sodium than Xyrem, for the treatment of cataplexy and EDS in narcolepsy patients seven years of age and older. We also have in development JZP-458, a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product candidate, for the treatment of pediatric and adult patients with ALL or lymphoblastic lymphoma, or LBL,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products, and expect to submit a biologics license application, or BLA, to the FDA for JZP-458 as early as the fourth quarter of 2020.</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00" w:hanging="327"/>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00" w:hanging="327"/>
        <w:spacing w:after="0" w:line="308"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Maximizing the value of our products and product candidates by continuing to implement our comprehensive global development plans, including through generating additional clinical data and seeking regulatory approval for new indications and new geographies.</w:t>
      </w:r>
    </w:p>
    <w:p>
      <w:pPr>
        <w:spacing w:after="0" w:line="38" w:lineRule="exact"/>
        <w:rPr>
          <w:sz w:val="20"/>
          <w:szCs w:val="20"/>
          <w:color w:val="auto"/>
        </w:rPr>
      </w:pPr>
    </w:p>
    <w:p>
      <w:pPr>
        <w:ind w:right="440" w:firstLine="432"/>
        <w:spacing w:after="0" w:line="286" w:lineRule="auto"/>
        <w:rPr>
          <w:sz w:val="20"/>
          <w:szCs w:val="20"/>
          <w:color w:val="auto"/>
        </w:rPr>
      </w:pPr>
      <w:r>
        <w:rPr>
          <w:rFonts w:ascii="Arial" w:cs="Arial" w:eastAsia="Arial" w:hAnsi="Arial"/>
          <w:sz w:val="17"/>
          <w:szCs w:val="17"/>
          <w:color w:val="auto"/>
        </w:rPr>
        <w:t>In 2019, consistent with our strategy, we continued to expand and advance our research and development pipeline in our sleep/neuroscience and hematology/oncology therapeutic areas, both by conducting activities internally and by leveraging partnerships with third parties. For a summary of our ongoing research and development activities, see “Business—Research and Development” in this Part I, Item 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Commercialized Products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Sleep Medicine and Neuroscience</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Xyrem. </w:t>
      </w:r>
      <w:r>
        <w:rPr>
          <w:rFonts w:ascii="Arial" w:cs="Arial" w:eastAsia="Arial" w:hAnsi="Arial"/>
          <w:sz w:val="18"/>
          <w:szCs w:val="18"/>
          <w:color w:val="auto"/>
        </w:rPr>
        <w:t>Xyrem is the only product approved by the FDA and marketed in the U.S. for the treatment of both cataplexy and EDS in both adult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pediatric patients with narcolepsy. Sodium oxybate, the active pharmaceutical ingredient, or API, in Xyrem, is a formulation of the sodium salt of gamma-hydroxybutyrate, an endogenous neurotransmitter and metabolite of gamma-aminobutyric acid.</w:t>
      </w:r>
    </w:p>
    <w:p>
      <w:pPr>
        <w:spacing w:after="0" w:line="7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Narcolepsy is a chronic, debilitating neurological disorder characterized by EDS and the inability to regulate sleep-wake cycles normally. It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is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including cardiac disorders, depression, suicide risk, anxiety, diseases of the digestive system and respiratory diseases.</w:t>
      </w:r>
    </w:p>
    <w:p>
      <w:pPr>
        <w:spacing w:after="0" w:line="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6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Xyrem was approved in the U.S. for the treatment of cataplexy in adult patients with narcolepsy in 2002 and was approved for EDS in adult patients with narcolepsy in 2005. In October 2018, Xyrem was also approved in the U.S. for the treatment of cataplexy or EDS in pediatric narcolepsy patients ages seven and older. The American Academy of Sleep Medicine recommends Xyrem as a standard of care for the treatment of both cataplexy and EDS associated with narcolepsy.</w:t>
      </w:r>
    </w:p>
    <w:p>
      <w:pPr>
        <w:spacing w:after="0" w:line="79"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the fourth quarter of 2019, the average number of active Xyrem patients in the U.S. was approximately 14,950, and we believe that there are significantly more patients with narcolepsy who might benefit from treatment with Xyrem. In an effort to reach more patients who might benefit from our medicine, we continue to implement initiatives such as outreach to prescribers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who treat narcolepsy, physician/healthcare provider education, enhanced patient and physician support services and unbranded disease awareness programs for the public.</w:t>
      </w:r>
    </w:p>
    <w:p>
      <w:pPr>
        <w:spacing w:after="0" w:line="6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marketing, sales and distribution of Xyrem in the U.S. are subject to a risk evaluation and mitigation strategy, or REMS, which is required by the FDA to mitigate the risks of serious adverse outcomes resulting from inappropriate prescribing, abuse, misuse and diversion of Xyrem. Under the Xyrem REMS, all of the Xyrem sold in the U.S. must be dispensed and shipped directly to patients or caregivers through a central pharmacy. Xyrem may not be stocked in retail pharmacies. Physicians and patients must complete an enrollment process prior to fulfillment of Xyrem prescriptions, and each physician and patient must receive materials concerning the serious risks associated with Xyrem before the physician can prescribe, or a patient can receive, the product. The central certified pharmacy must monitor and report instances of patient or prescriber behavior giving rise to a reasonable suspicion of abuse, misuse or diversion of Xyrem, and maintains enrollment and prescription monitoring information in a central database. The central pharmacy ships the product directly to the patient (or caregiver) by a courier service.</w:t>
      </w:r>
    </w:p>
    <w:p>
      <w:pPr>
        <w:spacing w:after="0" w:line="7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have had exclusive agreements with Express Scripts Specialty Distribution Services, Inc., or ESSDS, the central pharmacy for Xyrem, to distribute Xyrem in the U.S. and provide patient support services related to Xyrem since 2002. Our current agreement with ESSDS, which expires on July 1, 2020, may be terminated by either party at any time without cause on 180 days’ prior written notice to the other party. We are actively engaged in a selection process to identify the best provider of central pharmacy services, at the conclusion of which we expect to enter into a new agreement with ESSDS or another comparable service provider that we have selected. We own certain intellectual property rights relating to the Xyrem REMS and patient support programs, such as standard operating procedures and business rules. Should we decide to select a different service provider, the agreement provides for ESSDS to assist in the orderly transfer of the services that ESSDS provides to us and the related intellectual property, including intellectual property related to the patient database, to any new pharmacy that we may engage. Any new agreement will include standard terms and conditions, including terms around use of intellectual property.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net product sales of Xyrem were $1.6 billion, which represented 77% of our total net product sales.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Sunosi. </w:t>
      </w:r>
      <w:r>
        <w:rPr>
          <w:rFonts w:ascii="Arial" w:cs="Arial" w:eastAsia="Arial" w:hAnsi="Arial"/>
          <w:sz w:val="18"/>
          <w:szCs w:val="18"/>
          <w:color w:val="auto"/>
        </w:rPr>
        <w:t>Sunosi received FDA approval in March 2019 and was launched in the U.S. in July 2019 to improve wakefulness in adult patients with 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narcolepsy or OSA. Sunosi was also approved in January 2020 by the EC to improve wakefulness and reduce EDS in adults with narcolepsy (with or without cataplexy) or OSA, and we expect to commence a rolling launch of Sunosi in Europe by mid-2020 as we make pricing and reimbursement submissions in European countries.</w:t>
      </w:r>
    </w:p>
    <w:p>
      <w:pPr>
        <w:spacing w:after="0" w:line="79"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OSA, commonly referred to as sleep apnea, is a highly prevalent disease, and EDS, a major symptom of OSA, is characterized by the inability to stay awake and alert during the day resulting in unplanned lapses into sleep or drowsiness. Although positive airway pressure therapy, with its most common form being continuous positive airway pressure, or CPAP, has been shown to be an effective therapy for sleep apnea that frequently results in improvement</w:t>
      </w:r>
    </w:p>
    <w:p>
      <w:pPr>
        <w:ind w:right="340"/>
        <w:spacing w:after="0" w:line="261" w:lineRule="auto"/>
        <w:rPr>
          <w:sz w:val="20"/>
          <w:szCs w:val="20"/>
          <w:color w:val="auto"/>
        </w:rPr>
      </w:pPr>
      <w:r>
        <w:rPr>
          <w:rFonts w:ascii="Arial" w:cs="Arial" w:eastAsia="Arial" w:hAnsi="Arial"/>
          <w:sz w:val="18"/>
          <w:szCs w:val="18"/>
          <w:color w:val="auto"/>
        </w:rPr>
        <w:t>in EDS in many patients, not all patients tolerate CPAP therapy and among those who tolerate CPAP, usage is highly variable. EDS may persist in people with OSA despite using CPAP.</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net product sales of Sunosi were $3.7 million.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Hematology and Oncology</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Defitelio. </w:t>
      </w:r>
      <w:r>
        <w:rPr>
          <w:rFonts w:ascii="Arial" w:cs="Arial" w:eastAsia="Arial" w:hAnsi="Arial"/>
          <w:sz w:val="18"/>
          <w:szCs w:val="18"/>
          <w:color w:val="auto"/>
        </w:rPr>
        <w:t>Defibrotide, the API in Defitelio, has been approved for the treatment of VOD, a potentially life-threatening complication of HSCT, and is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for other complications following HSCT, including prevention of VOD, prevention of acute Graft versus Host Disease, or aGvHD, as well as complications following anti-cancer treatment, including prevention of chimeric antigen receptor T-cell, or CAR T-cell, therapy-associated neurotoxicity. Defibrotide is the sodium salt of a complex mixture of single-stranded oligodeoxyribonucleotides derived from porcine DNA. Defibrotide mediates its effects via interaction with endothelial cells. Non-clinical data suggest that defibrotide stabilizes endothelial cells by reducing endothelial cell activation and by protecting them from further damage.</w:t>
      </w:r>
    </w:p>
    <w:p>
      <w:pPr>
        <w:spacing w:after="0" w:line="8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Stem cell transplantation is a frequently used treatment modality for hematologic cancers and other conditions in both adults and children. Certain conditioning regimens used as part of HSCT can damage the cells that line the hepatic vessels, which is thought to lead to the development of VOD, also referred to as SOS, a blockage of the small vessels in the liver, that can lead to liver failure and potentially result in significant dysfunction in other organs such as the kidneys and lungs.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w:t>
      </w:r>
    </w:p>
    <w:p>
      <w:pPr>
        <w:spacing w:after="0" w:line="85"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The EC granted marketing authorization under exceptional circumstances for Defitelio for the treatment of severe VOD in adults and children undergoing HSCT in 2013. We commenced a rolling launch of Defitelio in European countries in 2014. In countries where we currently commercialize Defitelio, we are working to maintain current levels of market access.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In 2016, the FDA approved our NDA for Defitelio for the treatment of adult and pediatric patients with VOD with renal or pulmonary dysfunction following HSCT. We launched Defitelio in the U.S. shortly after FDA approval. We also launched defibrotide in Canada in 2017. In June 2019, Nippon Shinyaku Co., Ltd., the partner to whom we have granted exclusive rights to develop and commercialize defibrotide in Japan, received marketing authorization from Japan’s Ministry of Health, Labour and Welfare and launched defibrotide in Japan in September 2019.</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Defitelio/defibrotide product sales were $172.9 million, which represented 8% of our total net product sales.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Erwinaze. </w:t>
      </w:r>
      <w:r>
        <w:rPr>
          <w:rFonts w:ascii="Arial" w:cs="Arial" w:eastAsia="Arial" w:hAnsi="Arial"/>
          <w:sz w:val="18"/>
          <w:szCs w:val="18"/>
          <w:color w:val="auto"/>
        </w:rPr>
        <w:t>Erwinaze (called Erwinase in markets outside the U.S.) is a biologic product used in conjunction with chemotherapy to treat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ALL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Originally developed by Public Health England, a national executive agency of the United Kingdom, or UK, Erwinaze is an asparaginase, a type of enzyme that can deprive leukemic cells of an amino acid essential for their growth. It is derived from a rare bacterium (</w:t>
      </w:r>
      <w:r>
        <w:rPr>
          <w:rFonts w:ascii="Arial" w:cs="Arial" w:eastAsia="Arial" w:hAnsi="Arial"/>
          <w:sz w:val="18"/>
          <w:szCs w:val="18"/>
          <w:i w:val="1"/>
          <w:iCs w:val="1"/>
          <w:color w:val="auto"/>
        </w:rPr>
        <w:t>Erwinia chrysanthemi</w:t>
      </w:r>
      <w:r>
        <w:rPr>
          <w:rFonts w:ascii="Arial" w:cs="Arial" w:eastAsia="Arial" w:hAnsi="Arial"/>
          <w:sz w:val="18"/>
          <w:szCs w:val="18"/>
          <w:color w:val="auto"/>
        </w:rPr>
        <w:t xml:space="preserve">) and is immunologically distinct from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and suitable for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treatments.</w:t>
      </w:r>
    </w:p>
    <w:p>
      <w:pPr>
        <w:spacing w:after="0" w:line="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For ALL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Erwinaze can be a crucial component of their therapeutic regimen. Current treatment guidelines and protocols recommend switching a patient receiving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to treatment with Erwinaze if the patient’s hypersensitivity reaction to the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is clinically meaningful, indicating that the hypersensitivity reaction has resulted in an intervention or interruption in infusion occurring in the patient’s treatment regimen. While treatment protocols for pediatric, adolescent and young adult (up to age 39) patients commonly include asparaginase, adult protocols do not.</w:t>
      </w:r>
    </w:p>
    <w:p>
      <w:pPr>
        <w:spacing w:after="0" w:line="8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First approved by the FDA under a BLA for administration via intramuscular injection in conjunction with chemotherapy, Erwinaze was launched in the U.S. in 2011. In 2014, the FDA approved a supplemental BLA for administration of Erwinaze via intravenous infusion in conjunction with chemotherapy.</w:t>
      </w:r>
    </w:p>
    <w:p>
      <w:pPr>
        <w:spacing w:after="0" w:line="16"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Erwinaze is exclusively licensed to us for worldwide marketing, sales and distribution by Porton Biopharma Limited, or PBL, a company that is wholly owned by the UK Department of Health and Social Care. PBL also manufactures the product for us and is our sole supplier for Erwinaze. We are obligated to make tiered royalty payments to PBL based on worldwide net sales of Erwinaze. Our license and supply agreement with PBL, which includes our license to Erwinaze trademarks and manufacturing know-how, expires on December 31, 2020. Unless we and PBL enter into a new agreement, we will lose our rights to exclusively market Erwinaze effective December 31, 2020, other than our right to sell certain Erwinaze inventory for a post-termination sales period of 12 months and certain other post-termination rights, including but not limited to intellectual property and data ownership. Either party also has the right to terminate the agreement prior to December 31, 2020 in the event of the other party’s uncured material breach or insolvency.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net product sales of Erwinaze were $177.5 million, which represented 8% of our total net product sales.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b w:val="1"/>
          <w:bCs w:val="1"/>
          <w:i w:val="1"/>
          <w:iCs w:val="1"/>
          <w:color w:val="auto"/>
        </w:rPr>
        <w:t xml:space="preserve">Vyxeos. </w:t>
      </w:r>
      <w:r>
        <w:rPr>
          <w:rFonts w:ascii="Arial" w:cs="Arial" w:eastAsia="Arial" w:hAnsi="Arial"/>
          <w:sz w:val="16"/>
          <w:szCs w:val="16"/>
          <w:color w:val="auto"/>
        </w:rPr>
        <w:t>Vyxeos is a liposomal formulation of a fixed ratio combination of daunorubicin and cytarabine for intravenous infusion that is indicated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of adults with newly-diagnosed t-AML or AML-MRC and has been shown to have synergistic effects at killing leukemia cells in vitro and in animal models. Vyxeos is the first drug delivery combination product based on our CombiPlex technology platform to be approved by the FDA and the EC.</w:t>
      </w:r>
    </w:p>
    <w:p>
      <w:pPr>
        <w:spacing w:after="0" w:line="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AML is a rapidly progressing and life-threatening blood cancer that begins in the bone marrow, which produces most of the body's new blood cells. AML cells crowd out healthy cells and move aggressively into the bloodstream to spread cancer to other parts of the body. AML is a relatively rare disease representing about 1% of all new cancer cases and has the lowest survival rate of any form of leukemia. Patients with newly diagnosed t-AML or AML-MRC may have a particularly poor prognosis.</w:t>
      </w:r>
    </w:p>
    <w:p>
      <w:pPr>
        <w:spacing w:after="0" w:line="7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2017, we launched Vyxeos in the U.S. after the FDA approved our NDA for the treatment of adults with newly-diagnosed t-AML or AML-MRC. In August 2018, the EC granted marketing authorization for Vyxeos, and, as part of our rolling launch of Vyxeos in Europe, we are continuing to make pricing and reimbursement submissions in European countries.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Vyxeos product sales were $121.4 million, which represented 6% of our total net product sales.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A key aspect of our growth strategy is our continued investment in our evolving and expanding research and development activities. We actively explore new options for patients including novel compounds, small molecule advancements, biologics and innovative delivery technologies. While we are focused on opportunities within our sleep/neuroscience and hematology/oncology therapeutic areas, such as our recent expansion into movement disorders and solid tumors, we are also exploring and investing in adjacent therapeutic areas that could further diversify our portfolio.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conduct most of these activities by leveraging our growing internal research and development function, but we have also entered into collaborations with third parties for the research and development of innovative early-stage product candidates and have supported third parties seeking to perform clinical studies that will generate additional data related to our products. We also seek out investment opportunities in support of development of early-stage technologies in our therapeutic areas and adjacencies.</w:t>
      </w:r>
    </w:p>
    <w:p>
      <w:pPr>
        <w:spacing w:after="0" w:line="5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current and planned development activities in our sleep and neuroscience therapeutic area are focused on JZP-258, JZP-324 and JZP-385, as well as exploring additional indications for Sunosi, including major depressive disorder.</w:t>
      </w:r>
    </w:p>
    <w:p>
      <w:pPr>
        <w:spacing w:after="0" w:line="62"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i w:val="1"/>
          <w:iCs w:val="1"/>
          <w:color w:val="auto"/>
        </w:rPr>
        <w:t>JZP-258</w:t>
      </w:r>
      <w:r>
        <w:rPr>
          <w:rFonts w:ascii="Arial" w:cs="Arial" w:eastAsia="Arial" w:hAnsi="Arial"/>
          <w:sz w:val="18"/>
          <w:szCs w:val="18"/>
          <w:color w:val="auto"/>
        </w:rPr>
        <w:t>. JZP-258 is an oxybate product candidate with a unique composition of cations resulting in 92%, or approximately 1,000 to 1,500 milligrams</w:t>
      </w:r>
      <w:r>
        <w:rPr>
          <w:rFonts w:ascii="Arial" w:cs="Arial" w:eastAsia="Arial" w:hAnsi="Arial"/>
          <w:sz w:val="18"/>
          <w:szCs w:val="18"/>
          <w:i w:val="1"/>
          <w:iCs w:val="1"/>
          <w:color w:val="auto"/>
        </w:rPr>
        <w:t xml:space="preserve"> </w:t>
      </w:r>
      <w:r>
        <w:rPr>
          <w:rFonts w:ascii="Arial" w:cs="Arial" w:eastAsia="Arial" w:hAnsi="Arial"/>
          <w:sz w:val="18"/>
          <w:szCs w:val="18"/>
          <w:color w:val="auto"/>
        </w:rPr>
        <w:t>per day, less sodium than Xyrem. In January 2020, we submitted an NDA for JZP-258 for the treatment of both cataplexy and EDS in patients with narcolepsy and in connection with this submission, redeemed the priority review voucher, or PRV, we acquired in May 2018. Given the well-accepted relationship between dietary sodium and blood pressure as well as published hypertension guidelines underscoring that excessive consumption of sodium is independently associated with an increased risk of stroke, cardiovascular disease and other adverse outcomes, we believe that the lower sodium content of JZP-258 has the potential to offer a clinically meaningful benefit to patients compared to Xyrem. We are also conducting a Phase 3 clinical trial of JZP-258 for the treatment of idiopathic hypersomnia, a chronic neurological disorder that is primarily characterized by EDS and which currently has no approved therapies in the U.S.</w:t>
      </w:r>
    </w:p>
    <w:p>
      <w:pPr>
        <w:spacing w:after="0" w:line="8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JZP-324. </w:t>
      </w:r>
      <w:r>
        <w:rPr>
          <w:rFonts w:ascii="Arial" w:cs="Arial" w:eastAsia="Arial" w:hAnsi="Arial"/>
          <w:sz w:val="18"/>
          <w:szCs w:val="18"/>
          <w:color w:val="auto"/>
        </w:rPr>
        <w:t>We are also pursuing early-stage activities related to the development of JZP-324, a low sodium, oxybate formulation with the potential for</w:t>
      </w:r>
      <w:r>
        <w:rPr>
          <w:rFonts w:ascii="Arial" w:cs="Arial" w:eastAsia="Arial" w:hAnsi="Arial"/>
          <w:sz w:val="18"/>
          <w:szCs w:val="18"/>
          <w:i w:val="1"/>
          <w:iCs w:val="1"/>
          <w:color w:val="auto"/>
        </w:rPr>
        <w:t xml:space="preserve"> </w:t>
      </w:r>
      <w:r>
        <w:rPr>
          <w:rFonts w:ascii="Arial" w:cs="Arial" w:eastAsia="Arial" w:hAnsi="Arial"/>
          <w:sz w:val="18"/>
          <w:szCs w:val="18"/>
          <w:color w:val="auto"/>
        </w:rPr>
        <w:t>once-nightly dosing that we believe could provide a clinically meaningful option for some narcolepsy patients.</w:t>
      </w:r>
    </w:p>
    <w:p>
      <w:pPr>
        <w:spacing w:after="0" w:line="6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i w:val="1"/>
          <w:iCs w:val="1"/>
          <w:color w:val="auto"/>
        </w:rPr>
        <w:t>JZP-385</w:t>
      </w:r>
      <w:r>
        <w:rPr>
          <w:rFonts w:ascii="Arial" w:cs="Arial" w:eastAsia="Arial" w:hAnsi="Arial"/>
          <w:sz w:val="18"/>
          <w:szCs w:val="18"/>
          <w:color w:val="auto"/>
        </w:rPr>
        <w:t>. JZP-385 is a T-type calcium channel modulator that is a small molecule currently in development for the treatment of essential tremor.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JZP-385 in our acquisition of Cavion, Inc., or Cavion, a clinical-stage biotechnology company, in August 2019. We expect to initiate a Phase 2b study of JZP-385 in the fourth quarter of 2020.</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current and planned development activities in our hematology and oncology therapeutic area are focused on JZP-458, lurbinectedin and exploring additional indications for Defitelio and Vyxeos, generating additional clinical data for Vyxeos, including in combination with other therapeutic agents, and the research and development of new product candidates.</w:t>
      </w:r>
    </w:p>
    <w:p>
      <w:pPr>
        <w:spacing w:after="0" w:line="7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JZP-458</w:t>
      </w:r>
      <w:r>
        <w:rPr>
          <w:rFonts w:ascii="Arial" w:cs="Arial" w:eastAsia="Arial" w:hAnsi="Arial"/>
          <w:sz w:val="17"/>
          <w:szCs w:val="17"/>
          <w:color w:val="auto"/>
        </w:rPr>
        <w:t>. JZP-458 is a recombinant</w:t>
      </w:r>
      <w:r>
        <w:rPr>
          <w:rFonts w:ascii="Arial" w:cs="Arial" w:eastAsia="Arial" w:hAnsi="Arial"/>
          <w:sz w:val="17"/>
          <w:szCs w:val="17"/>
          <w:i w:val="1"/>
          <w:iCs w:val="1"/>
          <w:color w:val="auto"/>
        </w:rPr>
        <w:t xml:space="preserve"> Erwinia </w:t>
      </w:r>
      <w:r>
        <w:rPr>
          <w:rFonts w:ascii="Arial" w:cs="Arial" w:eastAsia="Arial" w:hAnsi="Arial"/>
          <w:sz w:val="17"/>
          <w:szCs w:val="17"/>
          <w:color w:val="auto"/>
        </w:rPr>
        <w:t>asparaginase that uses a novel</w:t>
      </w:r>
      <w:r>
        <w:rPr>
          <w:rFonts w:ascii="Arial" w:cs="Arial" w:eastAsia="Arial" w:hAnsi="Arial"/>
          <w:sz w:val="17"/>
          <w:szCs w:val="17"/>
          <w:i w:val="1"/>
          <w:iCs w:val="1"/>
          <w:color w:val="auto"/>
        </w:rPr>
        <w:t xml:space="preserve"> Pseudomonas fluorescens </w:t>
      </w:r>
      <w:r>
        <w:rPr>
          <w:rFonts w:ascii="Arial" w:cs="Arial" w:eastAsia="Arial" w:hAnsi="Arial"/>
          <w:sz w:val="17"/>
          <w:szCs w:val="17"/>
          <w:color w:val="auto"/>
        </w:rPr>
        <w:t>expression platform, which is being developed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use as a component of a multi-agent chemotherapeutic regimen in the treatment of pediatric and adult patients with ALL or LBL, who are hypersensitive to </w:t>
      </w:r>
      <w:r>
        <w:rPr>
          <w:rFonts w:ascii="Arial" w:cs="Arial" w:eastAsia="Arial" w:hAnsi="Arial"/>
          <w:sz w:val="17"/>
          <w:szCs w:val="17"/>
          <w:i w:val="1"/>
          <w:iCs w:val="1"/>
          <w:color w:val="auto"/>
        </w:rPr>
        <w:t>E.</w:t>
      </w:r>
      <w:r>
        <w:rPr>
          <w:rFonts w:ascii="Arial" w:cs="Arial" w:eastAsia="Arial" w:hAnsi="Arial"/>
          <w:sz w:val="17"/>
          <w:szCs w:val="17"/>
          <w:color w:val="auto"/>
        </w:rPr>
        <w:t xml:space="preserve"> </w:t>
      </w:r>
      <w:r>
        <w:rPr>
          <w:rFonts w:ascii="Arial" w:cs="Arial" w:eastAsia="Arial" w:hAnsi="Arial"/>
          <w:sz w:val="17"/>
          <w:szCs w:val="17"/>
          <w:i w:val="1"/>
          <w:iCs w:val="1"/>
          <w:color w:val="auto"/>
        </w:rPr>
        <w:t>coli</w:t>
      </w:r>
      <w:r>
        <w:rPr>
          <w:rFonts w:ascii="Arial" w:cs="Arial" w:eastAsia="Arial" w:hAnsi="Arial"/>
          <w:sz w:val="17"/>
          <w:szCs w:val="17"/>
          <w:color w:val="auto"/>
        </w:rPr>
        <w:t>-derived asparaginase products. JZP-458 was granted Fast Track designation by the FDA in October 2019 for the treatment of this patient population,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in December 2019, the first patient was enrolled in the pivotal Phase 2/3 clinical study for JZP-458 conducted in collaboration with the Children’s Oncology Group. We expect to submit a BLA to the FDA for JZP-458 as early as the fourth quarter of 2020.</w:t>
      </w:r>
    </w:p>
    <w:p>
      <w:pPr>
        <w:spacing w:after="0" w:line="64" w:lineRule="exact"/>
        <w:rPr>
          <w:sz w:val="20"/>
          <w:szCs w:val="20"/>
          <w:color w:val="auto"/>
        </w:rPr>
      </w:pPr>
    </w:p>
    <w:p>
      <w:pPr>
        <w:ind w:right="320" w:firstLine="432"/>
        <w:spacing w:after="0" w:line="284" w:lineRule="auto"/>
        <w:rPr>
          <w:sz w:val="20"/>
          <w:szCs w:val="20"/>
          <w:color w:val="auto"/>
        </w:rPr>
      </w:pPr>
      <w:r>
        <w:rPr>
          <w:rFonts w:ascii="Arial" w:cs="Arial" w:eastAsia="Arial" w:hAnsi="Arial"/>
          <w:sz w:val="16"/>
          <w:szCs w:val="16"/>
          <w:i w:val="1"/>
          <w:iCs w:val="1"/>
          <w:color w:val="auto"/>
        </w:rPr>
        <w:t xml:space="preserve">Lurbinectedin. </w:t>
      </w:r>
      <w:r>
        <w:rPr>
          <w:rFonts w:ascii="Arial" w:cs="Arial" w:eastAsia="Arial" w:hAnsi="Arial"/>
          <w:sz w:val="16"/>
          <w:szCs w:val="16"/>
          <w:color w:val="auto"/>
        </w:rPr>
        <w:t>In furtherance of our interest in and efforts to expand our oncology therapeutic area, in December 2019, we entered into an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 with Pharma Mar, S.A., or PharmaMar, pursuant to which we obtained exclusive U.S. development and commercialization rights to lurbinectedin, a product candidate under clinical investigation for the treatment of patients with relapsed SCLC. Lurbinectedin was granted orphan drug designation for SCLC by the FDA in August 2018, and PharmaMar submitted an NDA to the FDA in December 2019 for accelerated approval of lurbinectedin for relapsed SCLC based on data from a Phase 2 trial. In February 2020, the FDA accepted the NDA for filing with priority review with a Prescription Drug User Fee Act, or PDUFA, date of August 16, 2020. The term of our license agreement with PharmaMar extends until the latest of:</w:t>
      </w:r>
    </w:p>
    <w:p>
      <w:pPr>
        <w:spacing w:after="0" w:line="5" w:lineRule="exact"/>
        <w:rPr>
          <w:sz w:val="20"/>
          <w:szCs w:val="20"/>
          <w:color w:val="auto"/>
        </w:rPr>
      </w:pPr>
    </w:p>
    <w:p>
      <w:pPr>
        <w:ind w:right="60"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the last PharmaMar patent covering lurbinectedin in the U.S. (subject to certain exclusions), (ii) expiration of regulatory exclusivity for lurbinectedin in the U.S. and (iii) 12 years after the first commercial sale of lurbinectedin in the U.S. We also have the right to terminate the agreement at will upon a specified notice period, provided that the effective date of such termination is not within one year of the signing of the agreement. Either party can terminate the agreement for the other party’s uncured material breach or bankruptcy.</w:t>
      </w:r>
    </w:p>
    <w:p>
      <w:pPr>
        <w:spacing w:after="0" w:line="8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Our Defitelio clinical development strategy generally focuses on the prevention and treatment of serious diseases associated with stem cell</w:t>
      </w:r>
      <w:r>
        <w:rPr>
          <w:rFonts w:ascii="Arial" w:cs="Arial" w:eastAsia="Arial" w:hAnsi="Arial"/>
          <w:sz w:val="18"/>
          <w:szCs w:val="18"/>
          <w:i w:val="1"/>
          <w:iCs w:val="1"/>
          <w:color w:val="auto"/>
        </w:rPr>
        <w:t xml:space="preserve"> </w:t>
      </w:r>
      <w:r>
        <w:rPr>
          <w:rFonts w:ascii="Arial" w:cs="Arial" w:eastAsia="Arial" w:hAnsi="Arial"/>
          <w:sz w:val="18"/>
          <w:szCs w:val="18"/>
          <w:color w:val="auto"/>
        </w:rPr>
        <w:t>transplantation and endothelial cell damage. In addition to clinical trials we are sponsoring, there are more than 20 investigator-sponsored trials ongoing in the U.S. and EU evaluating defibrotide in multiple conditions.</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Our Vyxeos clinical development strategy is designed to target potential new patient segments across the AML landscape and to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data on Vyxeos when used in combination with other therapeutic agents. As reflected in the table below, we are pursuing this strategy by sponsoring clinical trials, working with cooperative groups who are conducting clinical trials, and partnering with The University of Texas MD Anderson Cancer Center, or MD Anderson. In August 2018, we announced a five-year collaboration with MD Anderson to evaluate potential treatment options for hematologic malignancies,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a near-term focus on Vyxeos, and shortly thereafter, commenced development activities under this collaboration. In addition, there are multiple ongoing investigator-sponsored trials studying Vyxeos.</w:t>
      </w:r>
    </w:p>
    <w:p>
      <w:pPr>
        <w:spacing w:after="0" w:line="6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CombiPlex Platform. </w:t>
      </w:r>
      <w:r>
        <w:rPr>
          <w:rFonts w:ascii="Arial" w:cs="Arial" w:eastAsia="Arial" w:hAnsi="Arial"/>
          <w:sz w:val="17"/>
          <w:szCs w:val="17"/>
          <w:color w:val="auto"/>
        </w:rPr>
        <w:t>We are also evaluating the use of our CombiPlex delivery technology platform in a number of therapeutic combinations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as part of our internal oncology research and development activities. CombiPlex enables the design and rapid evaluation of various combinations of therapies to deliver enhanced anti-cancer activity by identifying an optimal synergistic ratio of drugs in vitro and fixing this ratio in a nanoscale delivery complex that maintains and then coordinates the release of the synergistic combination after administration. CombiPlex utilizes two proprietary nanoscale delivery platforms: liposomes to control the release and distribution of water-soluble drugs and drugs that are both water- and fat-soluble (amphipathic), and nanoparticles to control the release and distribution of non-water-soluble (hydrophobic) drugs.</w:t>
      </w:r>
    </w:p>
    <w:p>
      <w:pPr>
        <w:spacing w:after="0" w:line="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Through third parties, we are also pursuing preclinical and clinical research and development activities in hematology and in precision oncology under a number of licensing and collaboration agreements, including with:</w:t>
      </w:r>
    </w:p>
    <w:p>
      <w:pPr>
        <w:spacing w:after="0" w:line="62" w:lineRule="exact"/>
        <w:rPr>
          <w:sz w:val="20"/>
          <w:szCs w:val="20"/>
          <w:color w:val="auto"/>
        </w:rPr>
      </w:pPr>
    </w:p>
    <w:p>
      <w:pPr>
        <w:ind w:left="740" w:right="4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ImmunoGen, Inc., or ImmunoGen, for opt-in rights to license a hematology-related antibody-drug conjugate product candidate granted orphan drug designation by the FDA;</w:t>
      </w:r>
    </w:p>
    <w:p>
      <w:pPr>
        <w:spacing w:after="0" w:line="62" w:lineRule="exact"/>
        <w:rPr>
          <w:rFonts w:ascii="Arial" w:cs="Arial" w:eastAsia="Arial" w:hAnsi="Arial"/>
          <w:sz w:val="18"/>
          <w:szCs w:val="18"/>
          <w:color w:val="auto"/>
        </w:rPr>
      </w:pPr>
    </w:p>
    <w:p>
      <w:pPr>
        <w:jc w:val="both"/>
        <w:ind w:left="740" w:right="300" w:hanging="327"/>
        <w:spacing w:after="0" w:line="34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Codiak BioSciences, Inc., or Codiak, for an exclusive, worldwide, royalty-bearing license to develop, manufacture and commercialize potential therapeutic candidates directed at five targets to be developed using Codiak's engEx™ precision engineering platform for exosome therapeutics;</w:t>
      </w:r>
    </w:p>
    <w:p>
      <w:pPr>
        <w:spacing w:after="0" w:line="15" w:lineRule="exact"/>
        <w:rPr>
          <w:rFonts w:ascii="Arial" w:cs="Arial" w:eastAsia="Arial" w:hAnsi="Arial"/>
          <w:sz w:val="16"/>
          <w:szCs w:val="16"/>
          <w:color w:val="auto"/>
        </w:rPr>
      </w:pPr>
    </w:p>
    <w:p>
      <w:pPr>
        <w:ind w:left="740" w:right="68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Pfenex, Inc., or Pfenex, for rights to an early-stage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and an option to negotiate a license for a recombinant pegaspargase product candidate;</w:t>
      </w:r>
    </w:p>
    <w:p>
      <w:pPr>
        <w:spacing w:after="0" w:line="62" w:lineRule="exact"/>
        <w:rPr>
          <w:rFonts w:ascii="Arial" w:cs="Arial" w:eastAsia="Arial" w:hAnsi="Arial"/>
          <w:sz w:val="18"/>
          <w:szCs w:val="18"/>
          <w:color w:val="auto"/>
        </w:rPr>
      </w:pPr>
    </w:p>
    <w:p>
      <w:pPr>
        <w:ind w:left="740" w:right="680" w:hanging="327"/>
        <w:spacing w:after="0" w:line="21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XL-protein GmbH, or XLp, for rights to use XLp’s PASylation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extend the plasma half-life of selected asparaginase product candidates; and</w:t>
      </w:r>
    </w:p>
    <w:p>
      <w:pPr>
        <w:spacing w:after="0" w:line="95" w:lineRule="exact"/>
        <w:rPr>
          <w:rFonts w:ascii="Arial" w:cs="Arial" w:eastAsia="Arial" w:hAnsi="Arial"/>
          <w:sz w:val="18"/>
          <w:szCs w:val="18"/>
          <w:color w:val="auto"/>
        </w:rPr>
      </w:pPr>
    </w:p>
    <w:p>
      <w:pPr>
        <w:ind w:left="740" w:right="48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Redx Pharma, or Redx, for pre-clinical collaboration activities related to the pan-RAF inhibitor program that we purchased from Redx for the potential treatment of RAF and RAS mutant tumors.</w:t>
      </w:r>
    </w:p>
    <w:p>
      <w:pPr>
        <w:spacing w:after="0" w:line="6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Sleep and Neuroscience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60" w:type="dxa"/>
            <w:vAlign w:val="bottom"/>
          </w:tcPr>
          <w:p>
            <w:pPr>
              <w:spacing w:after="0"/>
              <w:rPr>
                <w:sz w:val="4"/>
                <w:szCs w:val="4"/>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Submitted for Regulatory Approval</w:t>
            </w:r>
          </w:p>
        </w:tc>
        <w:tc>
          <w:tcPr>
            <w:tcW w:w="88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6740" w:type="dxa"/>
            <w:vAlign w:val="bottom"/>
            <w:gridSpan w:val="2"/>
          </w:tcPr>
          <w:p>
            <w:pPr>
              <w:spacing w:after="0"/>
              <w:rPr>
                <w:sz w:val="20"/>
                <w:szCs w:val="20"/>
                <w:color w:val="auto"/>
              </w:rPr>
            </w:pPr>
            <w:r>
              <w:rPr>
                <w:rFonts w:ascii="Arial" w:cs="Arial" w:eastAsia="Arial" w:hAnsi="Arial"/>
                <w:sz w:val="18"/>
                <w:szCs w:val="18"/>
                <w:color w:val="auto"/>
              </w:rPr>
              <w:t>Cataplexy and EDS in narcolepsy</w:t>
            </w: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88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6740" w:type="dxa"/>
            <w:vAlign w:val="bottom"/>
            <w:gridSpan w:val="2"/>
          </w:tcPr>
          <w:p>
            <w:pPr>
              <w:spacing w:after="0"/>
              <w:rPr>
                <w:sz w:val="20"/>
                <w:szCs w:val="20"/>
                <w:color w:val="auto"/>
              </w:rPr>
            </w:pPr>
            <w:r>
              <w:rPr>
                <w:rFonts w:ascii="Arial" w:cs="Arial" w:eastAsia="Arial" w:hAnsi="Arial"/>
                <w:sz w:val="18"/>
                <w:szCs w:val="18"/>
                <w:color w:val="auto"/>
              </w:rPr>
              <w:t>Idiopathic hypersomnia</w:t>
            </w: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Sunosi</w:t>
            </w: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EDS in major depressive disorder (planned study)</w:t>
            </w:r>
          </w:p>
        </w:tc>
      </w:tr>
      <w:tr>
        <w:trPr>
          <w:trHeight w:val="243"/>
        </w:trPr>
        <w:tc>
          <w:tcPr>
            <w:tcW w:w="8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Phase 2b</w:t>
            </w:r>
          </w:p>
        </w:tc>
        <w:tc>
          <w:tcPr>
            <w:tcW w:w="880" w:type="dxa"/>
            <w:vAlign w:val="bottom"/>
          </w:tcPr>
          <w:p>
            <w:pPr>
              <w:spacing w:after="0"/>
              <w:rPr>
                <w:sz w:val="21"/>
                <w:szCs w:val="21"/>
                <w:color w:val="auto"/>
              </w:rPr>
            </w:pPr>
          </w:p>
        </w:tc>
        <w:tc>
          <w:tcPr>
            <w:tcW w:w="58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JZP-385</w:t>
            </w: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Essential tremor (planned study)</w:t>
            </w:r>
          </w:p>
        </w:tc>
      </w:tr>
      <w:tr>
        <w:trPr>
          <w:trHeight w:val="243"/>
        </w:trPr>
        <w:tc>
          <w:tcPr>
            <w:tcW w:w="8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880" w:type="dxa"/>
            <w:vAlign w:val="bottom"/>
          </w:tcPr>
          <w:p>
            <w:pPr>
              <w:spacing w:after="0"/>
              <w:rPr>
                <w:sz w:val="21"/>
                <w:szCs w:val="21"/>
                <w:color w:val="auto"/>
              </w:rPr>
            </w:pPr>
          </w:p>
        </w:tc>
        <w:tc>
          <w:tcPr>
            <w:tcW w:w="58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JZP-324</w:t>
            </w: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Oxybate once-nightly formulation</w:t>
            </w:r>
          </w:p>
        </w:tc>
      </w:tr>
      <w:tr>
        <w:trPr>
          <w:trHeight w:val="342"/>
        </w:trPr>
        <w:tc>
          <w:tcPr>
            <w:tcW w:w="462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Hematology and Oncology</w:t>
            </w:r>
          </w:p>
        </w:tc>
        <w:tc>
          <w:tcPr>
            <w:tcW w:w="880" w:type="dxa"/>
            <w:vAlign w:val="bottom"/>
          </w:tcPr>
          <w:p>
            <w:pPr>
              <w:spacing w:after="0"/>
              <w:rPr>
                <w:sz w:val="24"/>
                <w:szCs w:val="24"/>
                <w:color w:val="auto"/>
              </w:rPr>
            </w:pPr>
          </w:p>
        </w:tc>
        <w:tc>
          <w:tcPr>
            <w:tcW w:w="5860" w:type="dxa"/>
            <w:vAlign w:val="bottom"/>
          </w:tcPr>
          <w:p>
            <w:pPr>
              <w:spacing w:after="0"/>
              <w:rPr>
                <w:sz w:val="24"/>
                <w:szCs w:val="24"/>
                <w:color w:val="auto"/>
              </w:rPr>
            </w:pP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Submitted for Regulatory Approval</w:t>
            </w: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Lurbinectedin</w:t>
            </w:r>
          </w:p>
        </w:tc>
        <w:tc>
          <w:tcPr>
            <w:tcW w:w="6760" w:type="dxa"/>
            <w:vAlign w:val="bottom"/>
            <w:gridSpan w:val="2"/>
          </w:tcPr>
          <w:p>
            <w:pPr>
              <w:spacing w:after="0"/>
              <w:rPr>
                <w:sz w:val="20"/>
                <w:szCs w:val="20"/>
                <w:color w:val="auto"/>
              </w:rPr>
            </w:pPr>
            <w:r>
              <w:rPr>
                <w:rFonts w:ascii="Arial" w:cs="Arial" w:eastAsia="Arial" w:hAnsi="Arial"/>
                <w:sz w:val="18"/>
                <w:szCs w:val="18"/>
                <w:color w:val="auto"/>
              </w:rPr>
              <w:t>Relapsed SCLC (exclusive U.S. license)</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760" w:type="dxa"/>
            <w:vAlign w:val="bottom"/>
            <w:gridSpan w:val="2"/>
          </w:tcPr>
          <w:p>
            <w:pPr>
              <w:spacing w:after="0"/>
              <w:rPr>
                <w:sz w:val="20"/>
                <w:szCs w:val="20"/>
                <w:color w:val="auto"/>
              </w:rPr>
            </w:pPr>
            <w:r>
              <w:rPr>
                <w:rFonts w:ascii="Arial" w:cs="Arial" w:eastAsia="Arial" w:hAnsi="Arial"/>
                <w:sz w:val="18"/>
                <w:szCs w:val="18"/>
                <w:color w:val="auto"/>
              </w:rPr>
              <w:t>Prevention of VOD in high- and very high-risk patients following HSCT</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AML or high-risk Myelodysplastic Syndrome, or MDS (AML19 and AML 18) (cooperative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group studies)</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760" w:type="dxa"/>
            <w:vAlign w:val="bottom"/>
            <w:gridSpan w:val="2"/>
          </w:tcPr>
          <w:p>
            <w:pPr>
              <w:spacing w:after="0"/>
              <w:rPr>
                <w:sz w:val="20"/>
                <w:szCs w:val="20"/>
                <w:color w:val="auto"/>
              </w:rPr>
            </w:pPr>
            <w:r>
              <w:rPr>
                <w:rFonts w:ascii="Arial" w:cs="Arial" w:eastAsia="Arial" w:hAnsi="Arial"/>
                <w:sz w:val="18"/>
                <w:szCs w:val="18"/>
                <w:color w:val="auto"/>
                <w:w w:val="94"/>
              </w:rPr>
              <w:t>Newly diagnosed adults with standard- and high-risk AML (AML Study Group cooperative</w:t>
            </w:r>
          </w:p>
        </w:tc>
      </w:tr>
      <w:tr>
        <w:trPr>
          <w:trHeight w:val="230"/>
        </w:trPr>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group study)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Newly diagnosed pediatric patients with AML (planned Children’s Oncology Group</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cooperative group study)</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Lurbinectedin</w:t>
            </w:r>
          </w:p>
        </w:tc>
        <w:tc>
          <w:tcPr>
            <w:tcW w:w="6760" w:type="dxa"/>
            <w:vAlign w:val="bottom"/>
            <w:gridSpan w:val="2"/>
          </w:tcPr>
          <w:p>
            <w:pPr>
              <w:spacing w:after="0"/>
              <w:rPr>
                <w:sz w:val="20"/>
                <w:szCs w:val="20"/>
                <w:color w:val="auto"/>
              </w:rPr>
            </w:pPr>
            <w:r>
              <w:rPr>
                <w:rFonts w:ascii="Arial" w:cs="Arial" w:eastAsia="Arial" w:hAnsi="Arial"/>
                <w:sz w:val="18"/>
                <w:szCs w:val="18"/>
                <w:color w:val="auto"/>
              </w:rPr>
              <w:t>Relapsed SCLC (ATLANTIS) (exclusive U.S. license)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20"/>
        </w:trPr>
        <w:tc>
          <w:tcPr>
            <w:tcW w:w="8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790"/>
        </w:trPr>
        <w:tc>
          <w:tcPr>
            <w:tcW w:w="8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Phase 2/3</w:t>
            </w: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 xml:space="preserve">JZP-458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760" w:type="dxa"/>
            <w:vAlign w:val="bottom"/>
            <w:gridSpan w:val="2"/>
          </w:tcPr>
          <w:p>
            <w:pPr>
              <w:spacing w:after="0"/>
              <w:rPr>
                <w:sz w:val="20"/>
                <w:szCs w:val="20"/>
                <w:color w:val="auto"/>
              </w:rPr>
            </w:pPr>
            <w:r>
              <w:rPr>
                <w:rFonts w:ascii="Arial" w:cs="Arial" w:eastAsia="Arial" w:hAnsi="Arial"/>
                <w:sz w:val="18"/>
                <w:szCs w:val="18"/>
                <w:color w:val="auto"/>
              </w:rPr>
              <w:t>ALL/LBL</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Defitelio</w:t>
            </w:r>
          </w:p>
        </w:tc>
        <w:tc>
          <w:tcPr>
            <w:tcW w:w="6760" w:type="dxa"/>
            <w:vAlign w:val="bottom"/>
            <w:gridSpan w:val="2"/>
          </w:tcPr>
          <w:p>
            <w:pPr>
              <w:spacing w:after="0"/>
              <w:rPr>
                <w:sz w:val="20"/>
                <w:szCs w:val="20"/>
                <w:color w:val="auto"/>
              </w:rPr>
            </w:pPr>
            <w:r>
              <w:rPr>
                <w:rFonts w:ascii="Arial" w:cs="Arial" w:eastAsia="Arial" w:hAnsi="Arial"/>
                <w:sz w:val="18"/>
                <w:szCs w:val="18"/>
                <w:color w:val="auto"/>
              </w:rPr>
              <w:t>Prevention of aGvHD following allogeneic HSCT</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Defitelio</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Prevention of CAR T-cell therapy-associated neurotoxicity</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Vyxeos + venetoclax</w:t>
            </w:r>
          </w:p>
        </w:tc>
        <w:tc>
          <w:tcPr>
            <w:tcW w:w="6760" w:type="dxa"/>
            <w:vAlign w:val="bottom"/>
            <w:gridSpan w:val="2"/>
          </w:tcPr>
          <w:p>
            <w:pPr>
              <w:spacing w:after="0"/>
              <w:rPr>
                <w:sz w:val="20"/>
                <w:szCs w:val="20"/>
                <w:color w:val="auto"/>
              </w:rPr>
            </w:pPr>
            <w:r>
              <w:rPr>
                <w:rFonts w:ascii="Arial" w:cs="Arial" w:eastAsia="Arial" w:hAnsi="Arial"/>
                <w:sz w:val="18"/>
                <w:szCs w:val="18"/>
                <w:color w:val="auto"/>
              </w:rPr>
              <w:t>De novo or relapsed/refractory, or R/R, AML (MD Anderson collaboration study)</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4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High-risk MDS (European Myelodysplastic Syndromes Cooperative Group cooperative</w:t>
            </w:r>
          </w:p>
        </w:tc>
      </w:tr>
      <w:tr>
        <w:trPr>
          <w:trHeight w:val="237"/>
        </w:trPr>
        <w:tc>
          <w:tcPr>
            <w:tcW w:w="80" w:type="dxa"/>
            <w:vAlign w:val="bottom"/>
            <w:tcBorders>
              <w:right w:val="single" w:sz="8" w:color="CCEEFF"/>
            </w:tcBorders>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group study)</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80"/>
              <w:spacing w:after="0"/>
              <w:rPr>
                <w:sz w:val="20"/>
                <w:szCs w:val="20"/>
                <w:color w:val="auto"/>
              </w:rPr>
            </w:pPr>
            <w:r>
              <w:rPr>
                <w:rFonts w:ascii="Arial" w:cs="Arial" w:eastAsia="Arial" w:hAnsi="Arial"/>
                <w:sz w:val="18"/>
                <w:szCs w:val="18"/>
                <w:color w:val="auto"/>
              </w:rPr>
              <w:t>Vyxeos</w:t>
            </w:r>
          </w:p>
        </w:tc>
        <w:tc>
          <w:tcPr>
            <w:tcW w:w="6760" w:type="dxa"/>
            <w:vAlign w:val="bottom"/>
            <w:gridSpan w:val="2"/>
          </w:tcPr>
          <w:p>
            <w:pPr>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Vyxeos + venetoclax</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High-risk AML (planned cooperative group study)</w:t>
            </w:r>
          </w:p>
        </w:tc>
      </w:tr>
      <w:tr>
        <w:trPr>
          <w:trHeight w:val="243"/>
        </w:trPr>
        <w:tc>
          <w:tcPr>
            <w:tcW w:w="8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88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Vyxeos + gemtuzumab</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Vyxeos + venetoclax</w:t>
            </w:r>
          </w:p>
        </w:tc>
        <w:tc>
          <w:tcPr>
            <w:tcW w:w="6760" w:type="dxa"/>
            <w:vAlign w:val="bottom"/>
            <w:gridSpan w:val="2"/>
          </w:tcPr>
          <w:p>
            <w:pPr>
              <w:spacing w:after="0"/>
              <w:rPr>
                <w:sz w:val="20"/>
                <w:szCs w:val="20"/>
                <w:color w:val="auto"/>
              </w:rPr>
            </w:pPr>
            <w:r>
              <w:rPr>
                <w:rFonts w:ascii="Arial" w:cs="Arial" w:eastAsia="Arial" w:hAnsi="Arial"/>
                <w:sz w:val="18"/>
                <w:szCs w:val="18"/>
                <w:color w:val="auto"/>
              </w:rPr>
              <w:t>Low intensity Vyxeos therapy for first-line, unfit AML (Phase 1b study)</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Vyxeos + other approved therapies</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First-line, fit AML (Phase 1b study)</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Vyxeos</w:t>
            </w:r>
          </w:p>
        </w:tc>
        <w:tc>
          <w:tcPr>
            <w:tcW w:w="6760" w:type="dxa"/>
            <w:vAlign w:val="bottom"/>
            <w:gridSpan w:val="2"/>
          </w:tcPr>
          <w:p>
            <w:pPr>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IMGN632</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CD123+ hematological malignancies (Jazz opt-in opportunity with ImmunoGen)</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IMGN632 +/- venetoclax/azacitidine</w:t>
            </w:r>
          </w:p>
        </w:tc>
        <w:tc>
          <w:tcPr>
            <w:tcW w:w="6760" w:type="dxa"/>
            <w:vAlign w:val="bottom"/>
            <w:gridSpan w:val="2"/>
          </w:tcPr>
          <w:p>
            <w:pPr>
              <w:spacing w:after="0"/>
              <w:rPr>
                <w:sz w:val="20"/>
                <w:szCs w:val="20"/>
                <w:color w:val="auto"/>
              </w:rPr>
            </w:pPr>
            <w:r>
              <w:rPr>
                <w:rFonts w:ascii="Arial" w:cs="Arial" w:eastAsia="Arial" w:hAnsi="Arial"/>
                <w:sz w:val="18"/>
                <w:szCs w:val="18"/>
                <w:color w:val="auto"/>
              </w:rPr>
              <w:t>CD123+ AML (Jazz opt-in opportunity with ImmunoGen; Phase 1b/2 study)</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CombiPlex</w:t>
            </w:r>
          </w:p>
        </w:tc>
        <w:tc>
          <w:tcPr>
            <w:tcW w:w="6760" w:type="dxa"/>
            <w:vAlign w:val="bottom"/>
            <w:gridSpan w:val="2"/>
          </w:tcPr>
          <w:p>
            <w:pPr>
              <w:spacing w:after="0"/>
              <w:rPr>
                <w:sz w:val="20"/>
                <w:szCs w:val="20"/>
                <w:color w:val="auto"/>
              </w:rPr>
            </w:pPr>
            <w:r>
              <w:rPr>
                <w:rFonts w:ascii="Arial" w:cs="Arial" w:eastAsia="Arial" w:hAnsi="Arial"/>
                <w:sz w:val="18"/>
                <w:szCs w:val="18"/>
                <w:color w:val="auto"/>
              </w:rPr>
              <w:t>Solid tumors candidate</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CombiPlex</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Hematology/oncology exploratory activities</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760" w:type="dxa"/>
            <w:vAlign w:val="bottom"/>
            <w:gridSpan w:val="2"/>
          </w:tcPr>
          <w:p>
            <w:pPr>
              <w:spacing w:after="0"/>
              <w:rPr>
                <w:sz w:val="20"/>
                <w:szCs w:val="20"/>
                <w:color w:val="auto"/>
              </w:rPr>
            </w:pPr>
            <w:r>
              <w:rPr>
                <w:rFonts w:ascii="Arial" w:cs="Arial" w:eastAsia="Arial" w:hAnsi="Arial"/>
                <w:sz w:val="18"/>
                <w:szCs w:val="18"/>
                <w:color w:val="auto"/>
              </w:rPr>
              <w:t>ALL and other hematological malignancies (collaboration with Pfenex)</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Recombinant pegaspargase</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Defitelio</w:t>
            </w:r>
          </w:p>
        </w:tc>
        <w:tc>
          <w:tcPr>
            <w:tcW w:w="6760" w:type="dxa"/>
            <w:vAlign w:val="bottom"/>
            <w:gridSpan w:val="2"/>
          </w:tcPr>
          <w:p>
            <w:pPr>
              <w:spacing w:after="0"/>
              <w:rPr>
                <w:sz w:val="20"/>
                <w:szCs w:val="20"/>
                <w:color w:val="auto"/>
              </w:rPr>
            </w:pPr>
            <w:r>
              <w:rPr>
                <w:rFonts w:ascii="Arial" w:cs="Arial" w:eastAsia="Arial" w:hAnsi="Arial"/>
                <w:sz w:val="18"/>
                <w:szCs w:val="18"/>
                <w:color w:val="auto"/>
              </w:rPr>
              <w:t>Exploratory activities</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Exosome NRAS candidate</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(collaboration with Codiak)</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Exosome STAT3 candidate</w:t>
            </w:r>
          </w:p>
        </w:tc>
        <w:tc>
          <w:tcPr>
            <w:tcW w:w="6760" w:type="dxa"/>
            <w:vAlign w:val="bottom"/>
            <w:gridSpan w:val="2"/>
          </w:tcPr>
          <w:p>
            <w:pPr>
              <w:spacing w:after="0"/>
              <w:rPr>
                <w:sz w:val="20"/>
                <w:szCs w:val="20"/>
                <w:color w:val="auto"/>
              </w:rPr>
            </w:pPr>
            <w:r>
              <w:rPr>
                <w:rFonts w:ascii="Arial" w:cs="Arial" w:eastAsia="Arial" w:hAnsi="Arial"/>
                <w:sz w:val="18"/>
                <w:szCs w:val="18"/>
                <w:color w:val="auto"/>
              </w:rPr>
              <w:t>Hematological malignancies (collaboration with Codiak)</w:t>
            </w:r>
          </w:p>
        </w:tc>
      </w:tr>
      <w:tr>
        <w:trPr>
          <w:trHeight w:val="27"/>
        </w:trPr>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Exosome-based candidates</w:t>
            </w: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tumors/hematological malignancies (collaboration with Codiak)</w:t>
            </w:r>
          </w:p>
        </w:tc>
      </w:tr>
      <w:tr>
        <w:trPr>
          <w:trHeight w:val="243"/>
        </w:trPr>
        <w:tc>
          <w:tcPr>
            <w:tcW w:w="8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Pan-RAF inhibitor program</w:t>
            </w:r>
          </w:p>
        </w:tc>
        <w:tc>
          <w:tcPr>
            <w:tcW w:w="6760" w:type="dxa"/>
            <w:vAlign w:val="bottom"/>
            <w:gridSpan w:val="2"/>
          </w:tcPr>
          <w:p>
            <w:pPr>
              <w:spacing w:after="0"/>
              <w:rPr>
                <w:sz w:val="20"/>
                <w:szCs w:val="20"/>
                <w:color w:val="auto"/>
              </w:rPr>
            </w:pPr>
            <w:r>
              <w:rPr>
                <w:rFonts w:ascii="Arial" w:cs="Arial" w:eastAsia="Arial" w:hAnsi="Arial"/>
                <w:sz w:val="18"/>
                <w:szCs w:val="18"/>
                <w:color w:val="auto"/>
                <w:w w:val="99"/>
              </w:rPr>
              <w:t>RAF and RAS mutant tumors (acquired from Redx, which is continuing development)</w:t>
            </w:r>
          </w:p>
        </w:tc>
      </w:tr>
    </w:tbl>
    <w:p>
      <w:pPr>
        <w:spacing w:after="0" w:line="12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In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Activities</w:t>
      </w:r>
    </w:p>
    <w:p>
      <w:pPr>
        <w:spacing w:after="0" w:line="135" w:lineRule="exact"/>
        <w:rPr>
          <w:sz w:val="20"/>
          <w:szCs w:val="20"/>
          <w:color w:val="auto"/>
        </w:rPr>
      </w:pPr>
    </w:p>
    <w:p>
      <w:pPr>
        <w:ind w:firstLine="432"/>
        <w:spacing w:after="0" w:line="270" w:lineRule="auto"/>
        <w:rPr>
          <w:sz w:val="20"/>
          <w:szCs w:val="20"/>
          <w:color w:val="auto"/>
        </w:rPr>
      </w:pPr>
      <w:r>
        <w:rPr>
          <w:rFonts w:ascii="Arial" w:cs="Arial" w:eastAsia="Arial" w:hAnsi="Arial"/>
          <w:sz w:val="18"/>
          <w:szCs w:val="18"/>
          <w:color w:val="auto"/>
        </w:rPr>
        <w:t>We have commercial operations primarily in the U.S., Europe and Canada. In the U.S., our products are commercialized through a number of teams, including a team of experienced, trained sales professionals who provide education and promote Xyrem, Sunosi, Defitelio, Erwinaze and Vyxeos to healthcare providers in the appropriate specialties for each product,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r>
        <w:rPr>
          <w:rFonts w:ascii="Arial" w:cs="Arial" w:eastAsia="Arial" w:hAnsi="Arial"/>
          <w:sz w:val="19"/>
          <w:szCs w:val="19"/>
          <w:color w:val="1F497D"/>
        </w:rPr>
        <w:t>.</w:t>
      </w:r>
    </w:p>
    <w:p>
      <w:pPr>
        <w:spacing w:after="0" w:line="6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In Canada and in approved markets in Europe where we commercialize Defitelio, Erwinase and Vyxeos, we have a field force of hematology specialists. In markets where these products either are not approved or are unable to be promoted 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local regulation, we have medical affairs personnel responsible for responding to medical information requests and for providing information consistent with local treatment protocols with respect to such products. In certain European markets, we have a team of medical science liaisons in preparation for our rolling launch of Sunosi in Europe. We are currently in the process of recruiting a sales team in some of those markets. Outside the U.S., we directly market Xyrem in Canada for the treatment of cataplexy in patients with narcolepsy. We also utilize distributors in certain markets outside the U.S. where we do not market our products directly.</w:t>
      </w:r>
    </w:p>
    <w:p>
      <w:pPr>
        <w:spacing w:after="0" w:line="8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commercial activities include marketing related services, distribution services and commercial support services. We employ third party vendors, such as advertising agencies, market research firms and suppliers of marketing and other sales support-related services, to assist with our commercial activities. We also provide reimbursement support for our U.S. markets.</w:t>
      </w:r>
    </w:p>
    <w:p>
      <w:pPr>
        <w:spacing w:after="0" w:line="73"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We believe that the size of our sales force is appropriate to effectively reach our target audience in the specialty markets in which we currently operate. We promote Defitelio, Erwinaze and Vyxeos to many hematology and oncology specialists who operate in the same hospitals, and we believe that we benefit from operational synergies from this overlap. Continued growth of our current marketed products and the launch of any future products, including potentially JZP-258, lurbinectedin and JZP-458, may require further expansion of our field force and support organization in and outside the U.S.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8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prices at which branded products can be sold.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particular, our products and most advanced product candidates face or may face competition as described below:</w:t>
      </w:r>
    </w:p>
    <w:p>
      <w:pPr>
        <w:spacing w:after="0" w:line="117" w:lineRule="exact"/>
        <w:rPr>
          <w:sz w:val="20"/>
          <w:szCs w:val="20"/>
          <w:color w:val="auto"/>
        </w:rPr>
      </w:pPr>
    </w:p>
    <w:p>
      <w:pPr>
        <w:ind w:left="720" w:right="20" w:hanging="320"/>
        <w:spacing w:after="0" w:line="290" w:lineRule="auto"/>
        <w:tabs>
          <w:tab w:leader="none" w:pos="72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Xyrem</w:t>
      </w:r>
      <w:r>
        <w:rPr>
          <w:rFonts w:ascii="Arial" w:cs="Arial" w:eastAsia="Arial" w:hAnsi="Arial"/>
          <w:sz w:val="16"/>
          <w:szCs w:val="16"/>
          <w:color w:val="auto"/>
        </w:rPr>
        <w:t>. While Xyrem is currently the only product approved by the FDA and marketed in the U.S. for the treatment of both cataplexy and EDS in</w:t>
      </w:r>
      <w:r>
        <w:rPr>
          <w:rFonts w:ascii="Arial" w:cs="Arial" w:eastAsia="Arial" w:hAnsi="Arial"/>
          <w:sz w:val="16"/>
          <w:szCs w:val="16"/>
          <w:i w:val="1"/>
          <w:iCs w:val="1"/>
          <w:color w:val="auto"/>
        </w:rPr>
        <w:t xml:space="preserve"> </w:t>
      </w:r>
      <w:r>
        <w:rPr>
          <w:rFonts w:ascii="Arial" w:cs="Arial" w:eastAsia="Arial" w:hAnsi="Arial"/>
          <w:sz w:val="16"/>
          <w:szCs w:val="16"/>
          <w:color w:val="auto"/>
        </w:rPr>
        <w:t>both adult and pediatric patients with narcolepsy, we and others have launched products to treat EDS in narcolepsy and may in the future launch products to treat cataplexy in narcolepsy that are competitive with or disrupt the market for Xyrem. In the future, we expect Xyrem to face competition from authorized generic and generic versions of sodium oxybate. For a description of generic versions of sodium oxybate and/or new products for treatment of cataplexy and/or EDS that could compete with, or otherwise disrupt the market for, Xyrem, as well as a description of our settlement agreements with abbreviated new drug application, or ANDA, filers, see the risk factor under the heading “</w:t>
      </w:r>
      <w:r>
        <w:rPr>
          <w:rFonts w:ascii="Arial" w:cs="Arial" w:eastAsia="Arial" w:hAnsi="Arial"/>
          <w:sz w:val="16"/>
          <w:szCs w:val="16"/>
          <w:i w:val="1"/>
          <w:iCs w:val="1"/>
          <w:color w:val="auto"/>
        </w:rPr>
        <w:t>The introduction of new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products in the U.S. market that compete with, or otherwise disrupt the market for, our oxybate products and product candidates would adversely affect sales of our oxybate products and product candidates” </w:t>
      </w:r>
      <w:r>
        <w:rPr>
          <w:rFonts w:ascii="Arial" w:cs="Arial" w:eastAsia="Arial" w:hAnsi="Arial"/>
          <w:sz w:val="16"/>
          <w:szCs w:val="16"/>
          <w:color w:val="auto"/>
        </w:rPr>
        <w:t>in Part I, Item 1A of this Annual Report on Form 10-K.</w:t>
      </w:r>
    </w:p>
    <w:p>
      <w:pPr>
        <w:spacing w:after="0" w:line="58" w:lineRule="exact"/>
        <w:rPr>
          <w:rFonts w:ascii="Arial" w:cs="Arial" w:eastAsia="Arial" w:hAnsi="Arial"/>
          <w:sz w:val="16"/>
          <w:szCs w:val="16"/>
          <w:i w:val="1"/>
          <w:iCs w:val="1"/>
          <w:color w:val="auto"/>
        </w:rPr>
      </w:pPr>
    </w:p>
    <w:p>
      <w:pPr>
        <w:ind w:left="720" w:right="20"/>
        <w:spacing w:after="0" w:line="272" w:lineRule="auto"/>
        <w:rPr>
          <w:rFonts w:ascii="Arial" w:cs="Arial" w:eastAsia="Arial" w:hAnsi="Arial"/>
          <w:sz w:val="16"/>
          <w:szCs w:val="16"/>
          <w:i w:val="1"/>
          <w:iCs w:val="1"/>
          <w:color w:val="auto"/>
        </w:rPr>
      </w:pPr>
      <w:r>
        <w:rPr>
          <w:rFonts w:ascii="Arial" w:cs="Arial" w:eastAsia="Arial" w:hAnsi="Arial"/>
          <w:sz w:val="17"/>
          <w:szCs w:val="17"/>
          <w:color w:val="auto"/>
        </w:rPr>
        <w:t>In addition to generic competition, Xyrem may face competition in the future from our JZP-258 product candidate, if approved, as well as from other new sodium oxybate formulations for treatment of narcolepsy. We are aware that Avadel Pharmaceuticals plc is conducting a Phase 3 clinical trial of a once-nightly formulation of sodium oxybate which uses its proprietary technology for the treatment of EDS and cataplexy in patients with narcolepsy, and that Avadel has indicated that it intends to seek approval using an NDA approval pathway under Section 505(b)(2) and referencing the safety and efficacy data for Xyrem. Xyrem may also face competition from new branded entrants to treat EDS in narcolepsy such as pitolisant. Other companies have announced that they have product candidates in various phases of development to treat the symptoms of narcolepsy, such as Axsome Therapeutics, Inc.’s reboxetine.</w:t>
      </w:r>
    </w:p>
    <w:p>
      <w:pPr>
        <w:spacing w:after="0" w:line="69" w:lineRule="exact"/>
        <w:rPr>
          <w:rFonts w:ascii="Arial" w:cs="Arial" w:eastAsia="Arial" w:hAnsi="Arial"/>
          <w:sz w:val="16"/>
          <w:szCs w:val="16"/>
          <w:i w:val="1"/>
          <w:iCs w:val="1"/>
          <w:color w:val="auto"/>
        </w:rPr>
      </w:pPr>
    </w:p>
    <w:p>
      <w:pPr>
        <w:ind w:left="720" w:right="60"/>
        <w:spacing w:after="0" w:line="239" w:lineRule="auto"/>
        <w:rPr>
          <w:rFonts w:ascii="Arial" w:cs="Arial" w:eastAsia="Arial" w:hAnsi="Arial"/>
          <w:sz w:val="16"/>
          <w:szCs w:val="16"/>
          <w:i w:val="1"/>
          <w:iCs w:val="1"/>
          <w:color w:val="auto"/>
        </w:rPr>
      </w:pPr>
      <w:r>
        <w:rPr>
          <w:rFonts w:ascii="Arial" w:cs="Arial" w:eastAsia="Arial" w:hAnsi="Arial"/>
          <w:sz w:val="18"/>
          <w:szCs w:val="18"/>
          <w:color w:val="auto"/>
        </w:rPr>
        <w:t>In addition, we are also aware that prescribers often prescribe branded or generic medications for cataplexy before prescribing or instead of prescribing Xyrem and that payors often require patients to try such medications before they will cover Xyrem, even if they are not approved for this use. For example, prescribers often treat mild cataplexy with drugs that have not been approved by the FDA for this indication, including tricyclic antidepressants and selective serotonin reuptake inhibitors or selective norepinephrine reuptake inhibitors. We are also aware that branded or generic stimulants may be prescribed off label for treatment of EDS in narcolepsy. Wake-promoting agents Provigil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(modafinil) and Nuvigil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(armodafinil), and their generic equivalents are approved for the treatment of EDS in narcolepsy and other conditions, and may be used in conjunction with or instead of Xyrem.</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20" w:hanging="320"/>
        <w:spacing w:after="0" w:line="290"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Sunosi</w:t>
      </w:r>
      <w:r>
        <w:rPr>
          <w:rFonts w:ascii="Arial" w:cs="Arial" w:eastAsia="Arial" w:hAnsi="Arial"/>
          <w:sz w:val="16"/>
          <w:szCs w:val="16"/>
          <w:color w:val="auto"/>
        </w:rPr>
        <w:t>. Sunosi faces competition from existing branded and generic products that treat EDS or improve wakefulness in adult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narcolepsy or OSA in a competitive retail pharmacy market. To successfully commercialize Sunosi, we need to differentiate Sunosi from other branded and generic products that treat EDS in patients with narcolepsy, including stimulants, wake-promoting agents, such as Provigil and Nuvigil, and generic versions of stimulants and wake-promoting agents. We are also aware that stimulants are prescribed off-label for patients to treat excessive sleepiness in OSA. Like Xyrem, Sunosi may face competition from new branded entrants such as pitolisant, a drug that was approved by the FDA in August 2019 for the treatment of EDS in adult patients with narcolepsy and became commercially available in the U.S. in the fourth quarter of 2019, and that has also been approved and marketed in Europe to treat adult patients with narcolepsy with or without cataplexy. Sunosi may also face competition from other products in development as potential treatments for EDS in patients with narcolepsy or OSA.</w:t>
      </w:r>
    </w:p>
    <w:p>
      <w:pPr>
        <w:spacing w:after="0" w:line="58" w:lineRule="exact"/>
        <w:rPr>
          <w:rFonts w:ascii="Arial" w:cs="Arial" w:eastAsia="Arial" w:hAnsi="Arial"/>
          <w:sz w:val="16"/>
          <w:szCs w:val="16"/>
          <w:color w:val="auto"/>
        </w:rPr>
      </w:pPr>
    </w:p>
    <w:p>
      <w:pPr>
        <w:ind w:left="720" w:right="520" w:hanging="320"/>
        <w:spacing w:after="0" w:line="277" w:lineRule="auto"/>
        <w:tabs>
          <w:tab w:leader="none" w:pos="7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JZP-258. </w:t>
      </w:r>
      <w:r>
        <w:rPr>
          <w:rFonts w:ascii="Arial" w:cs="Arial" w:eastAsia="Arial" w:hAnsi="Arial"/>
          <w:sz w:val="18"/>
          <w:szCs w:val="18"/>
          <w:color w:val="auto"/>
        </w:rPr>
        <w:t>We expect that, if approved, JZP-258 will face competition similar to that described above for Xyrem, including from new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entrants in narcolepsy and/or from generic or authorized generic sodium oxybate products.</w:t>
      </w:r>
    </w:p>
    <w:p>
      <w:pPr>
        <w:spacing w:after="0" w:line="62" w:lineRule="exact"/>
        <w:rPr>
          <w:rFonts w:ascii="Arial" w:cs="Arial" w:eastAsia="Arial" w:hAnsi="Arial"/>
          <w:sz w:val="18"/>
          <w:szCs w:val="18"/>
          <w:i w:val="1"/>
          <w:iCs w:val="1"/>
          <w:color w:val="auto"/>
        </w:rPr>
      </w:pPr>
    </w:p>
    <w:p>
      <w:pPr>
        <w:ind w:left="720" w:right="20" w:hanging="320"/>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While there is currently no direct competition to Defitelio to treat severe VOD, changes in the types of conditioning regimens used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HSCT may affect the incidence of VOD diagnosis and demand for Defitelio.</w:t>
      </w:r>
    </w:p>
    <w:p>
      <w:pPr>
        <w:spacing w:after="0" w:line="62" w:lineRule="exact"/>
        <w:rPr>
          <w:rFonts w:ascii="Arial" w:cs="Arial" w:eastAsia="Arial" w:hAnsi="Arial"/>
          <w:sz w:val="18"/>
          <w:szCs w:val="18"/>
          <w:color w:val="auto"/>
        </w:rPr>
      </w:pPr>
    </w:p>
    <w:p>
      <w:pPr>
        <w:ind w:left="720" w:right="40" w:hanging="320"/>
        <w:spacing w:after="0" w:line="273" w:lineRule="auto"/>
        <w:tabs>
          <w:tab w:leader="none" w:pos="7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Erwinaze</w:t>
      </w:r>
      <w:r>
        <w:rPr>
          <w:rFonts w:ascii="Arial" w:cs="Arial" w:eastAsia="Arial" w:hAnsi="Arial"/>
          <w:sz w:val="17"/>
          <w:szCs w:val="17"/>
          <w:color w:val="auto"/>
        </w:rPr>
        <w:t>. While there is currently no direct competition to Erwinaze to treat ALL patients with hypersensitivity to</w:t>
      </w:r>
      <w:r>
        <w:rPr>
          <w:rFonts w:ascii="Arial" w:cs="Arial" w:eastAsia="Arial" w:hAnsi="Arial"/>
          <w:sz w:val="17"/>
          <w:szCs w:val="17"/>
          <w:i w:val="1"/>
          <w:iCs w:val="1"/>
          <w:color w:val="auto"/>
        </w:rPr>
        <w:t xml:space="preserve"> E. coli</w:t>
      </w:r>
      <w:r>
        <w:rPr>
          <w:rFonts w:ascii="Arial" w:cs="Arial" w:eastAsia="Arial" w:hAnsi="Arial"/>
          <w:sz w:val="17"/>
          <w:szCs w:val="17"/>
          <w:color w:val="auto"/>
        </w:rPr>
        <w:t>-derived asparaginase, we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companies have developed or are developing new treatments for ALL.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 We have experienced frequent intermittent shortages of the product that have impacted prescribing habits for Erwinaze, including prescribers’ use of alternate methods to address hypersensitivity reactions. As a biologic product, Erwinaze also faces potential competition from biosimilar products.</w:t>
      </w:r>
    </w:p>
    <w:p>
      <w:pPr>
        <w:spacing w:after="0" w:line="70" w:lineRule="exact"/>
        <w:rPr>
          <w:rFonts w:ascii="Arial" w:cs="Arial" w:eastAsia="Arial" w:hAnsi="Arial"/>
          <w:sz w:val="17"/>
          <w:szCs w:val="17"/>
          <w:i w:val="1"/>
          <w:iCs w:val="1"/>
          <w:color w:val="auto"/>
        </w:rPr>
      </w:pPr>
    </w:p>
    <w:p>
      <w:pPr>
        <w:ind w:left="720" w:right="80" w:hanging="320"/>
        <w:spacing w:after="0" w:line="218" w:lineRule="exact"/>
        <w:tabs>
          <w:tab w:leader="none" w:pos="7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With respect to Vyxeos, there are a number of alternative established therapies in AML. A key consideration in the treatment of AML</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is the patient’s suitability for chemotherapy. The AML patient population studied in the Vyxeos Phase 3 clinical trial supporting our NDA included 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the FDA or are in development as treatment options for newly diagnosed AML patients eligible for intensive chemotherapy, such as targeted agents (e.g. midostaurin, enasidenib and ivosidenib), immunotherapies (e.g., gemtuzumab ozogamicin and CAR-T</w:t>
      </w:r>
      <w:r>
        <w:rPr>
          <w:rFonts w:ascii="MS PGothic" w:cs="MS PGothic" w:eastAsia="MS PGothic" w:hAnsi="MS PGothic"/>
          <w:sz w:val="18"/>
          <w:szCs w:val="18"/>
          <w:color w:val="auto"/>
        </w:rPr>
        <w:t>‑</w:t>
      </w:r>
      <w:r>
        <w:rPr>
          <w:rFonts w:ascii="Arial" w:cs="Arial" w:eastAsia="Arial" w:hAnsi="Arial"/>
          <w:sz w:val="18"/>
          <w:szCs w:val="18"/>
          <w:color w:val="auto"/>
        </w:rPr>
        <w:t>cell therapy), and agents disrupting leukemia cell survival (e.g., glasdegib). We are also aware of the increasing use of venetoclax combined with either a hypomethylating agent or low-dose cytarabine, a treatment approved by the FDA in newly diagnosed AML patients who are age 75 years or older, or who have comorbidities that preclude use of intensive induction chemotherapy.</w:t>
      </w:r>
    </w:p>
    <w:p>
      <w:pPr>
        <w:spacing w:after="0" w:line="94" w:lineRule="exact"/>
        <w:rPr>
          <w:rFonts w:ascii="Arial" w:cs="Arial" w:eastAsia="Arial" w:hAnsi="Arial"/>
          <w:sz w:val="18"/>
          <w:szCs w:val="18"/>
          <w:i w:val="1"/>
          <w:iCs w:val="1"/>
          <w:color w:val="auto"/>
        </w:rPr>
      </w:pPr>
    </w:p>
    <w:p>
      <w:pPr>
        <w:ind w:left="720" w:right="200" w:hanging="320"/>
        <w:spacing w:after="0" w:line="31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Lurbinectedin. </w:t>
      </w:r>
      <w:r>
        <w:rPr>
          <w:rFonts w:ascii="Arial" w:cs="Arial" w:eastAsia="Arial" w:hAnsi="Arial"/>
          <w:sz w:val="16"/>
          <w:szCs w:val="16"/>
          <w:color w:val="auto"/>
        </w:rPr>
        <w:t>We expect that, if approved, lurbinectedin will face competition from topotecan, which is currently the only approved treatment in</w:t>
      </w:r>
      <w:r>
        <w:rPr>
          <w:rFonts w:ascii="Arial" w:cs="Arial" w:eastAsia="Arial" w:hAnsi="Arial"/>
          <w:sz w:val="16"/>
          <w:szCs w:val="16"/>
          <w:i w:val="1"/>
          <w:iCs w:val="1"/>
          <w:color w:val="auto"/>
        </w:rPr>
        <w:t xml:space="preserve"> </w:t>
      </w:r>
      <w:r>
        <w:rPr>
          <w:rFonts w:ascii="Arial" w:cs="Arial" w:eastAsia="Arial" w:hAnsi="Arial"/>
          <w:sz w:val="16"/>
          <w:szCs w:val="16"/>
          <w:color w:val="auto"/>
        </w:rPr>
        <w:t>second line SCLC in the U.S., as well as other regimens for relapsed SCLC currently recommended in compendia guidelines. There are also a number of products and immunotherapies in development for the treatment of second line SCLC in various phases of development.</w:t>
      </w:r>
    </w:p>
    <w:p>
      <w:pPr>
        <w:spacing w:after="0" w:line="39"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the U.S., Xyrem is sold to one specialty pharmacy, ESSDS, which ships Xyrem directly to patients. Also in the U.S., Sunosi is distributed through a retail channel consisting of numerous distributors who sell Sunosi to retail pharmacies. Defitelio, Erwinaze and Vyxeos are sold to hospital customers through subsidiary specialty distributors of McKesson Corporation, or McKesson. We have distribution services agreements made in the ordinary course of business with McKesson and a pharmacy services agreement with ESSDS that provides for the distribution of Xyrem to patients. For more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regarding our relationship with ESSDS, see “Business—Our Commercialized Products” in this Part I, Item 1. Purchases are made on a purchase order basis.</w:t>
      </w:r>
    </w:p>
    <w:p>
      <w:pPr>
        <w:spacing w:after="0" w:line="14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In certain countries in Europe, Defitelio, Erwinase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 in other markets in Europe and elsewhere where we do not market these products directly, to local distributors and wholesalers. In countries where there is no marketing authorization, Defitelio, Erwinase and Vyxeos are sold pursuant to named patient programs, temporary use authorizations or similar authorizations.</w:t>
      </w:r>
    </w:p>
    <w:p>
      <w:pPr>
        <w:spacing w:after="0" w:line="6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directly market Xyrem in Canada for the treatment of cataplexy in patients with narcolepsy. Xyrem is also sold in 22 countries by UCB Pharma Limited, or UCB (which has rights to market Xyrem in 54 countries).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on our total revenues by product and revenues attributed to customers who represented at least 10% of our total revenues in each of 2019,</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2018 and 2017 is included in Note 18, Revenues,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have a manufacturing and development facility in Athlone, Ireland where we manufacture Xyrem and certain development-stage oxybate product candidates. We also have a manufacturing plant in Italy where we produce the defibrotide drug substance. Other than these two facilities, we currently do not have our own commercial manufacturing or packaging capability for our other products, product candidates or their APIs. As a result, our ability to develop and supply products in a timely and competitive manner depends primarily on our third party suppliers being able to meet our ongoing commercial and clinical trial needs for API, other raw materials, packaging materials and finished products.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Lead Marketed Products</w:t>
      </w:r>
    </w:p>
    <w:p>
      <w:pPr>
        <w:spacing w:after="0" w:line="11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Xyrem is manufactured by us in our Athlone facility and by Patheon Pharmaceuticals Inc., which we refer to together with its affiliates as</w:t>
      </w:r>
      <w:r>
        <w:rPr>
          <w:rFonts w:ascii="Arial" w:cs="Arial" w:eastAsia="Arial" w:hAnsi="Arial"/>
          <w:sz w:val="17"/>
          <w:szCs w:val="17"/>
          <w:i w:val="1"/>
          <w:iCs w:val="1"/>
          <w:color w:val="auto"/>
        </w:rPr>
        <w:t xml:space="preserve"> </w:t>
      </w:r>
      <w:r>
        <w:rPr>
          <w:rFonts w:ascii="Arial" w:cs="Arial" w:eastAsia="Arial" w:hAnsi="Arial"/>
          <w:sz w:val="17"/>
          <w:szCs w:val="17"/>
          <w:color w:val="auto"/>
        </w:rPr>
        <w:t>Patheon, under a Master Manufacturing Services Agreement, or the Patheon Agreement, entered into with Patheon in 2015. We manufacture Xyrem in our Athlone facility for most of our U.S. commercial supply and rely on Patheon to supply Xyrem for other markets, though we are not required to purchase Xyrem exclusively from Patheon. The current term of the Patheon Agreement will expire on December 31, 2022, subject to further automatic two-yearly extensions if Patheon is then providing manufacturing services for any product, unless either party provides 18 months’ prior notice of termination at least 18 months prior to the end of the then current term. In addition, we may terminate the Patheon Agreement for any reason upon 12 months’ prior written notice, and each party has the right to terminate the agreement in the event of the other party’s uncured material breach.</w:t>
      </w:r>
    </w:p>
    <w:p>
      <w:pPr>
        <w:spacing w:after="0" w:line="7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Siegfried USA, LLC and its European affiliates, or 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2024, subject to automatic three-year extensions until either party provides notice to the other of its intent to terminate the agreement at least 18 months before the end of the then-current term. During the term of the agreement and, under certain circumstances for 18 months after the agreement terminates, Siegfried is not permitted to manufacture sodium oxybate for any other company.</w:t>
      </w:r>
    </w:p>
    <w:p>
      <w:pPr>
        <w:spacing w:after="0" w:line="5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Xyrem is a Schedule III controlled substance in the U.S., and the API of Xyrem is the sodium salt of gamma-hydroxybutyric acid, which is a Schedule I controlled substance in the U.S. As a result, Xyrem is subject to regulation by the U.S. Drug Enforcement Administration, or DEA, under the Controlled Substances Act, or CSA, and its manufacturing and distribution are highly restricted. Quotas from the DEA are required in order to manufacture and package sodium oxybate and Xyrem in the U.S. For information related to DEA quota requirements, see “Business—Government Regulation—Other Post-Approval Pharmaceutical Product Regulation—Controlled Substance Regulations” in this Part I, Item 1.</w:t>
      </w:r>
    </w:p>
    <w:p>
      <w:pPr>
        <w:spacing w:after="0" w:line="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Sunosi. </w:t>
      </w:r>
      <w:r>
        <w:rPr>
          <w:rFonts w:ascii="Arial" w:cs="Arial" w:eastAsia="Arial" w:hAnsi="Arial"/>
          <w:sz w:val="17"/>
          <w:szCs w:val="17"/>
          <w:color w:val="auto"/>
        </w:rPr>
        <w:t>Siegfried AG is our sole supplier of both the API and finished product for Sunosi for both commercial sale as well as development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Siegfried AG is currently our only manufacturer and supplier of Sunosi, we have the right to purchase a portion of our worldwide requirements of API and drug product from other suppliers. Under our agreement, we provide periodic rolling forecasts to Siegfried AG, and a portion of each rolling forecast is binding. The initial term of the agreement with Siegfried AG will expire on December 31, 2024 and will then be subject to automatic one-year extensions until either party provides notice to the other of its intent to terminate the agreement (either in whole or in part) at least 18 months before the end of the then-current term. Each party also has the right to terminate the agreement in the event of the other party’s uncured material breach or insolvency. Solriamfetol, the API of Sunosi, was designated a Schedule IV controlled substance by the DEA under the CSA.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i w:val="1"/>
          <w:iCs w:val="1"/>
          <w:color w:val="auto"/>
        </w:rPr>
        <w:t xml:space="preserve">Defitelio. </w:t>
      </w:r>
      <w:r>
        <w:rPr>
          <w:rFonts w:ascii="Arial" w:cs="Arial" w:eastAsia="Arial" w:hAnsi="Arial"/>
          <w:sz w:val="17"/>
          <w:szCs w:val="17"/>
          <w:color w:val="auto"/>
        </w:rPr>
        <w:t>We are our sole supplier of, and we believe that we are currently the sole worldwide producer of, the defibrotide API. We manufacture the</w:t>
      </w:r>
      <w:r>
        <w:rPr>
          <w:rFonts w:ascii="Arial" w:cs="Arial" w:eastAsia="Arial" w:hAnsi="Arial"/>
          <w:sz w:val="17"/>
          <w:szCs w:val="17"/>
          <w:i w:val="1"/>
          <w:iCs w:val="1"/>
          <w:color w:val="auto"/>
        </w:rPr>
        <w:t xml:space="preserve"> </w:t>
      </w:r>
      <w:r>
        <w:rPr>
          <w:rFonts w:ascii="Arial" w:cs="Arial" w:eastAsia="Arial" w:hAnsi="Arial"/>
          <w:sz w:val="17"/>
          <w:szCs w:val="17"/>
          <w:color w:val="auto"/>
        </w:rPr>
        <w:t>defibrotide API from porcine DNA in a single facility located in Villa Guardia, Italy. Patheon currently processes the defibrotide API into its finished vial form under a specific product agreement entered into under the Patheon Agreement.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Erwinaze is exclusively licensed to us, and manufactured for us, by PBL, which is our sole supplier for Erwinaze. Our license and supply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PBL, which includes an exclusive right to market, sell or distribute Erwinaze, an exclusive license to Erwinaze trademarks, and a non-exclusive license to PBL’s manufacturing know-how, will expire on December 31, 2020. For information related to our agreement with PBL, see “Business— Our Commercialized Products—Erwinaze” in this Part I, Item 1.</w:t>
      </w:r>
    </w:p>
    <w:p>
      <w:pPr>
        <w:spacing w:after="0" w:line="79" w:lineRule="exact"/>
        <w:rPr>
          <w:sz w:val="20"/>
          <w:szCs w:val="20"/>
          <w:color w:val="auto"/>
        </w:rPr>
      </w:pPr>
    </w:p>
    <w:p>
      <w:pPr>
        <w:ind w:right="80" w:firstLine="432"/>
        <w:spacing w:after="0" w:line="218"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212529"/>
        </w:rPr>
        <w:t>continuing and significant challenge to maintaining sales of Erwinaze and a barrier to increasing sales is PBL’s inability to consistently supply</w:t>
      </w:r>
      <w:r>
        <w:rPr>
          <w:rFonts w:ascii="Arial" w:cs="Arial" w:eastAsia="Arial" w:hAnsi="Arial"/>
          <w:sz w:val="18"/>
          <w:szCs w:val="18"/>
          <w:color w:val="auto"/>
        </w:rPr>
        <w:t xml:space="preserve"> </w:t>
      </w:r>
      <w:r>
        <w:rPr>
          <w:rFonts w:ascii="Arial" w:cs="Arial" w:eastAsia="Arial" w:hAnsi="Arial"/>
          <w:sz w:val="18"/>
          <w:szCs w:val="18"/>
          <w:color w:val="212529"/>
        </w:rPr>
        <w:t>product that meets specifications in quantities that are adequate to meet market demand</w:t>
      </w:r>
      <w:r>
        <w:rPr>
          <w:rFonts w:ascii="Arial" w:cs="Arial" w:eastAsia="Arial" w:hAnsi="Arial"/>
          <w:sz w:val="18"/>
          <w:szCs w:val="18"/>
          <w:color w:val="000000"/>
        </w:rPr>
        <w:t>. We experienced limited product availability of Erwinaze and supply</w:t>
      </w:r>
      <w:r>
        <w:rPr>
          <w:rFonts w:ascii="Arial" w:cs="Arial" w:eastAsia="Arial" w:hAnsi="Arial"/>
          <w:sz w:val="18"/>
          <w:szCs w:val="18"/>
          <w:color w:val="212529"/>
        </w:rPr>
        <w:t xml:space="preserve"> </w:t>
      </w:r>
      <w:r>
        <w:rPr>
          <w:rFonts w:ascii="Arial" w:cs="Arial" w:eastAsia="Arial" w:hAnsi="Arial"/>
          <w:sz w:val="18"/>
          <w:szCs w:val="18"/>
          <w:color w:val="000000"/>
        </w:rPr>
        <w:t>disruptions globally in 2019 and may experience continued supply disruptions in 2020. Such supply instability will continue to adversely impact our ability to generate sales of and revenues from Erwinaze and our business, financial condition, results of operations and growth prospects could be materially adversely affected. For a more complete description of supply issues related to Erwinaze, see the risk factor under the heading “</w:t>
      </w:r>
      <w:r>
        <w:rPr>
          <w:rFonts w:ascii="Arial" w:cs="Arial" w:eastAsia="Arial" w:hAnsi="Arial"/>
          <w:sz w:val="18"/>
          <w:szCs w:val="18"/>
          <w:i w:val="1"/>
          <w:iCs w:val="1"/>
          <w:color w:val="000000"/>
        </w:rPr>
        <w:t>Delays or problems in the</w:t>
      </w:r>
      <w:r>
        <w:rPr>
          <w:rFonts w:ascii="Arial" w:cs="Arial" w:eastAsia="Arial" w:hAnsi="Arial"/>
          <w:sz w:val="18"/>
          <w:szCs w:val="18"/>
          <w:color w:val="000000"/>
        </w:rPr>
        <w:t xml:space="preserve"> </w:t>
      </w:r>
      <w:r>
        <w:rPr>
          <w:rFonts w:ascii="Arial" w:cs="Arial" w:eastAsia="Arial" w:hAnsi="Arial"/>
          <w:sz w:val="18"/>
          <w:szCs w:val="18"/>
          <w:i w:val="1"/>
          <w:iCs w:val="1"/>
          <w:color w:val="000000"/>
        </w:rPr>
        <w:t xml:space="preserve">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Arial" w:cs="Arial" w:eastAsia="Arial" w:hAnsi="Arial"/>
          <w:sz w:val="18"/>
          <w:szCs w:val="18"/>
          <w:color w:val="000000"/>
        </w:rPr>
        <w:t>in Part I, Item 1A of this Annual Report on</w:t>
      </w:r>
      <w:r>
        <w:rPr>
          <w:rFonts w:ascii="Arial" w:cs="Arial" w:eastAsia="Arial" w:hAnsi="Arial"/>
          <w:sz w:val="18"/>
          <w:szCs w:val="18"/>
          <w:i w:val="1"/>
          <w:iCs w:val="1"/>
          <w:color w:val="000000"/>
        </w:rPr>
        <w:t xml:space="preserve"> </w:t>
      </w:r>
      <w:r>
        <w:rPr>
          <w:rFonts w:ascii="Arial" w:cs="Arial" w:eastAsia="Arial" w:hAnsi="Arial"/>
          <w:sz w:val="18"/>
          <w:szCs w:val="18"/>
          <w:color w:val="000000"/>
        </w:rPr>
        <w:t>Form 10</w:t>
      </w:r>
      <w:r>
        <w:rPr>
          <w:rFonts w:ascii="MS PGothic" w:cs="MS PGothic" w:eastAsia="MS PGothic" w:hAnsi="MS PGothic"/>
          <w:sz w:val="18"/>
          <w:szCs w:val="18"/>
          <w:color w:val="000000"/>
        </w:rPr>
        <w:t>‑</w:t>
      </w:r>
      <w:r>
        <w:rPr>
          <w:rFonts w:ascii="Arial" w:cs="Arial" w:eastAsia="Arial" w:hAnsi="Arial"/>
          <w:sz w:val="18"/>
          <w:szCs w:val="18"/>
          <w:color w:val="000000"/>
        </w:rPr>
        <w:t>K.</w:t>
      </w:r>
    </w:p>
    <w:p>
      <w:pPr>
        <w:spacing w:after="0" w:line="9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Vyxeos. </w:t>
      </w:r>
      <w:r>
        <w:rPr>
          <w:rFonts w:ascii="Arial" w:cs="Arial" w:eastAsia="Arial" w:hAnsi="Arial"/>
          <w:sz w:val="17"/>
          <w:szCs w:val="17"/>
          <w:color w:val="auto"/>
        </w:rPr>
        <w:t>Vyxeos is manufactured by Baxter Oncology GmbH, or Baxter, which is a sole source supplier from a single site location, using our CombiPlex</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platform. CombiPlex products represent formulations with increased manufacturing complexities associated with producing drug delivery vehicles encapsulating two or more drugs that are maintained at a fixed ratio and, in the case of Vyxeos, two drugs that are co-encapsulated in a freeze-dried format. There have been batch failures at Baxter due to mechanical, component and other issues, and batches have been produced that have otherwise not been in compliance with applicable specifications. We are continuing to work with Baxter to address manufacturing complexities. Our manufacturing agreement with Baxter expires in August 2022, subject to automatic three-year renewal terms, unless terminated by either party 24 months prior to the end of the initial term or any renewal term. Each party has the right to terminate the agreement for breach, subject to customary cure periods, and each party may terminate the agreement immediately in the event of the other party’s insolvency. While other contract manufacturers may be able to produce Vyxeos, the proprietary technology that supports the manufacture of Vyxeos is not easily transferable. The marketing authorization in the European Union, or EU, for Vyxeos also requires us to comply with certain manufacturing-related post-approval commitments.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JZP-258 is currently manufactured at our Athlone facility, and we expect to manufacture this product commercially at our Athlone facility should this candidate receive regulatory approval.</w:t>
      </w:r>
    </w:p>
    <w:p>
      <w:pPr>
        <w:spacing w:after="0" w:line="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Clinical development supply of lurbinectedin is currently manufactured by Baxter and GP Pharm S.A., and its API is manufactured by PharmaMar. PharmaMar retains manufacturing rights for the API for potential future U.S. commercial supply of lurbinectedin. If lurbinectedin is approved by the FDA, launch quantities of lurbinectedin and ongoing supply of the API will be supplied to us by PharmaMar under a separate agreement to be entered into between us and PharmaMar. We also expect to enter into a manufacturing agreement for ongoing commercial supply of the drug product lurbinectedin with Baxter, GP Pharm S.A. and/or another comparable manufacturer.</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JZP-458 is currently manufactured by Patheon, and the API of JZP-458 is manufactured by AGC Biologics A/S.</w:t>
      </w:r>
    </w:p>
    <w:p>
      <w:pPr>
        <w:spacing w:after="0" w:line="117" w:lineRule="exact"/>
        <w:rPr>
          <w:sz w:val="20"/>
          <w:szCs w:val="20"/>
          <w:color w:val="auto"/>
        </w:rPr>
      </w:pPr>
    </w:p>
    <w:p>
      <w:pPr>
        <w:ind w:right="20" w:firstLine="432"/>
        <w:spacing w:after="0" w:line="220" w:lineRule="exact"/>
        <w:rPr>
          <w:sz w:val="20"/>
          <w:szCs w:val="20"/>
          <w:color w:val="auto"/>
        </w:rPr>
      </w:pPr>
      <w:r>
        <w:rPr>
          <w:rFonts w:ascii="Arial" w:cs="Arial" w:eastAsia="Arial" w:hAnsi="Arial"/>
          <w:sz w:val="18"/>
          <w:szCs w:val="18"/>
          <w:color w:val="auto"/>
        </w:rPr>
        <w:t>For further discussion of the challenges we face with respect to supply of our products and product candidates, see the risk factor under the heading “</w:t>
      </w:r>
      <w:r>
        <w:rPr>
          <w:rFonts w:ascii="Arial" w:cs="Arial" w:eastAsia="Arial" w:hAnsi="Arial"/>
          <w:sz w:val="18"/>
          <w:szCs w:val="18"/>
          <w:i w:val="1"/>
          <w:iCs w:val="1"/>
          <w:color w:val="auto"/>
        </w:rPr>
        <w:t>Delays or problems in the supply of our products for sale or our for use in clinical trials, loss of our single source suppliers or failure to comply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manufacturing regulations could materially and adversely affect our business, financial condition, results of operations and growth prospects” </w:t>
      </w:r>
      <w:r>
        <w:rPr>
          <w:rFonts w:ascii="Arial" w:cs="Arial" w:eastAsia="Arial" w:hAnsi="Arial"/>
          <w:sz w:val="18"/>
          <w:szCs w:val="18"/>
          <w:color w:val="auto"/>
        </w:rPr>
        <w:t>in Part I, Item</w:t>
      </w:r>
      <w:r>
        <w:rPr>
          <w:rFonts w:ascii="Arial" w:cs="Arial" w:eastAsia="Arial" w:hAnsi="Arial"/>
          <w:sz w:val="18"/>
          <w:szCs w:val="18"/>
          <w:i w:val="1"/>
          <w:iCs w:val="1"/>
          <w:color w:val="auto"/>
        </w:rPr>
        <w:t xml:space="preserve"> </w:t>
      </w:r>
      <w:r>
        <w:rPr>
          <w:rFonts w:ascii="Arial" w:cs="Arial" w:eastAsia="Arial" w:hAnsi="Arial"/>
          <w:sz w:val="18"/>
          <w:szCs w:val="18"/>
          <w:color w:val="auto"/>
        </w:rPr>
        <w:t>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We actively seek to patent, or to acquire or obtain licenses to third party patents, to protect our products and product candidates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patent applications and regulatory exclusivities that relate to our marketed products include:</w:t>
      </w:r>
    </w:p>
    <w:p>
      <w:pPr>
        <w:spacing w:after="0" w:line="117" w:lineRule="exact"/>
        <w:rPr>
          <w:sz w:val="20"/>
          <w:szCs w:val="20"/>
          <w:color w:val="auto"/>
        </w:rPr>
      </w:pPr>
    </w:p>
    <w:p>
      <w:pPr>
        <w:ind w:left="720" w:right="220" w:hanging="320"/>
        <w:spacing w:after="0" w:line="273" w:lineRule="auto"/>
        <w:tabs>
          <w:tab w:leader="none" w:pos="7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We currently have nine issued, unexpired patents in the U.S. relating to Xyrem. All but two of these patents are listed in the FDA’s</w:t>
      </w:r>
      <w:r>
        <w:rPr>
          <w:rFonts w:ascii="Arial" w:cs="Arial" w:eastAsia="Arial" w:hAnsi="Arial"/>
          <w:sz w:val="17"/>
          <w:szCs w:val="17"/>
          <w:i w:val="1"/>
          <w:iCs w:val="1"/>
          <w:color w:val="auto"/>
        </w:rPr>
        <w:t xml:space="preserve"> </w:t>
      </w:r>
      <w:r>
        <w:rPr>
          <w:rFonts w:ascii="Arial" w:cs="Arial" w:eastAsia="Arial" w:hAnsi="Arial"/>
          <w:sz w:val="17"/>
          <w:szCs w:val="17"/>
          <w:color w:val="auto"/>
        </w:rPr>
        <w:t>publication “Approved Drug Products with Therapeutic Equivalence Evaluations,” or the Orange Book. Our patents relate to Xyrem’s stable and microbially resistant formulation, its method of use, including its restricted distribution system, its method of administration, and a drug-drug interaction, or DDI, between Xyrem and divalproex sodium. In October 2018, as a result of the FDA’s grant of pediatric exclusivity, an additional six months was added to the original expiration dates of all of our Orange Book-listed patents that existed at that time. As a result, our Orange Book-listed patents have periods of exclusivity between June 2020 and September 2033.</w:t>
      </w:r>
    </w:p>
    <w:p>
      <w:pPr>
        <w:spacing w:after="0" w:line="70" w:lineRule="exact"/>
        <w:rPr>
          <w:rFonts w:ascii="Arial" w:cs="Arial" w:eastAsia="Arial" w:hAnsi="Arial"/>
          <w:sz w:val="17"/>
          <w:szCs w:val="17"/>
          <w:i w:val="1"/>
          <w:iCs w:val="1"/>
          <w:color w:val="auto"/>
        </w:rPr>
      </w:pPr>
    </w:p>
    <w:p>
      <w:pPr>
        <w:ind w:left="720"/>
        <w:spacing w:after="0" w:line="291" w:lineRule="auto"/>
        <w:rPr>
          <w:rFonts w:ascii="Arial" w:cs="Arial" w:eastAsia="Arial" w:hAnsi="Arial"/>
          <w:sz w:val="17"/>
          <w:szCs w:val="17"/>
          <w:i w:val="1"/>
          <w:iCs w:val="1"/>
          <w:color w:val="auto"/>
        </w:rPr>
      </w:pPr>
      <w:r>
        <w:rPr>
          <w:rFonts w:ascii="Arial" w:cs="Arial" w:eastAsia="Arial" w:hAnsi="Arial"/>
          <w:sz w:val="16"/>
          <w:szCs w:val="16"/>
          <w:color w:val="auto"/>
        </w:rPr>
        <w:t>Some of our Xyrem patents have been subject to patent litigation with the companies who filed ANDAs seeking to market a generic version of Xyrem, including challenge through the inter partes review, or IPR, procedures of the Patent Trial and Appeal Board, or PTAB, of the U.S. Patent and Trademark Office, or USPTO. Some IPR petitions were dismissed by the PTAB. However, in July 2018, the United States Court of Appeals for the Federal Circuit upheld on appeal PTAB decisions finding that six patents associated with the Xyrem REMS and three claims of a seventh REMS patent were unpatentable. As a result, we will not be able to enforce patents or claims that the PTAB found unpatentable. Although we have settled all patent litigation against the nine companies that filed ANDAs, it is possible that additional companies may challenge our U.S. patents for Xyrem in the future. For a description of our Xyrem settlements, see “Business—Competition” in this Part I, Item 1.</w:t>
      </w:r>
    </w:p>
    <w:p>
      <w:pPr>
        <w:spacing w:after="0" w:line="59" w:lineRule="exact"/>
        <w:rPr>
          <w:rFonts w:ascii="Arial" w:cs="Arial" w:eastAsia="Arial" w:hAnsi="Arial"/>
          <w:sz w:val="17"/>
          <w:szCs w:val="17"/>
          <w:i w:val="1"/>
          <w:iCs w:val="1"/>
          <w:color w:val="auto"/>
        </w:rPr>
      </w:pPr>
    </w:p>
    <w:p>
      <w:pPr>
        <w:ind w:left="720" w:right="4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A Xyrem formulation patent that had issued in multiple non-U.S. countries expired in December 2019. The European Patent Office has issued a method of administration patent relating to the DDI between Xyrem and divalproex sodium that will expire in February 2034. That patent is licensed to UCB as the marketing authorization holder outside of the U.S. and Canada, and UCB has the right to enforce it. In addition to our issued patents, we have patent applications relating to Xyrem pending in the U.S. and other countries.</w:t>
      </w:r>
    </w:p>
    <w:p>
      <w:pPr>
        <w:spacing w:after="0" w:line="78" w:lineRule="exact"/>
        <w:rPr>
          <w:rFonts w:ascii="Arial" w:cs="Arial" w:eastAsia="Arial" w:hAnsi="Arial"/>
          <w:sz w:val="17"/>
          <w:szCs w:val="17"/>
          <w:i w:val="1"/>
          <w:iCs w:val="1"/>
          <w:color w:val="auto"/>
        </w:rPr>
      </w:pPr>
    </w:p>
    <w:p>
      <w:pPr>
        <w:ind w:left="720" w:right="140" w:hanging="320"/>
        <w:spacing w:after="0" w:line="272" w:lineRule="auto"/>
        <w:tabs>
          <w:tab w:leader="none" w:pos="7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Sunosi</w:t>
      </w:r>
      <w:r>
        <w:rPr>
          <w:rFonts w:ascii="Arial" w:cs="Arial" w:eastAsia="Arial" w:hAnsi="Arial"/>
          <w:sz w:val="17"/>
          <w:szCs w:val="17"/>
          <w:color w:val="auto"/>
        </w:rPr>
        <w:t>. We acquired worldwide development, manufacturing and commercial rights to solriamfetol from Aerial BioPharma LLC, or Aerial,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including Aerial’s patent rights relating to solriamfetol, other than in certain jurisdictions in Asia where SK Biopharmaceuticals Co., Ltd. retains rights. We have a portfolio of U.S. and non-U.S. patents and patent applications for solriamfetol relating to various compositions, formulations and methods of use. Four of our U.S. patents are method of use patents covering treatment of sleep-related conditions expiring between June 2026 and August 2027. Two other U.S. patents cover, respectively, the formulation of solriamfetol and the method of treating select conditions with formulations of solriamfetol (both expiring in September 2037). A request for a patent term extension for one of the above method of use patents has been filed. Sunosi has also been granted orphan drug exclusivity for narcolepsy in the U.S.</w:t>
      </w:r>
    </w:p>
    <w:p>
      <w:pPr>
        <w:spacing w:after="0" w:line="69" w:lineRule="exact"/>
        <w:rPr>
          <w:rFonts w:ascii="Arial" w:cs="Arial" w:eastAsia="Arial" w:hAnsi="Arial"/>
          <w:sz w:val="17"/>
          <w:szCs w:val="17"/>
          <w:i w:val="1"/>
          <w:iCs w:val="1"/>
          <w:color w:val="auto"/>
        </w:rPr>
      </w:pPr>
    </w:p>
    <w:p>
      <w:pPr>
        <w:ind w:left="720" w:right="40" w:hanging="320"/>
        <w:spacing w:after="0" w:line="291" w:lineRule="auto"/>
        <w:tabs>
          <w:tab w:leader="none" w:pos="7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Defitelio</w:t>
      </w:r>
      <w:r>
        <w:rPr>
          <w:rFonts w:ascii="Arial" w:cs="Arial" w:eastAsia="Arial" w:hAnsi="Arial"/>
          <w:sz w:val="16"/>
          <w:szCs w:val="16"/>
          <w:color w:val="auto"/>
        </w:rPr>
        <w:t>. The unique process of deriving defibrotide from porcine DNA is extensive and uses both chemical and biological processes that rely 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complex characterization methods. We have U.S. and non-U.S. patents and patent applications relating to various compositions, methods of use and methods of characterization, expiring at various times between April 2021 and November 2035. None of these patents are listed in the Orange Book. Defibrotide has been granted orphan drug exclusivity by the FDA to treat and prevent VOD until March 2023. Defibrotide has also been granted orphan drug designation by the EC and the Korean Ministry of Food and Drug Safety to treat and prevent VOD, by the Commonwealth of Australia-Department of Health for the treatment of VOD and by the EC for the prevention of aGvHD. We acquired the rights to defibrotide for the treatment and prevention of VOD in North America, Central America and South America from Sigma-Tau Pharmaceuticals, Inc. in 2014.</w:t>
      </w:r>
    </w:p>
    <w:p>
      <w:pPr>
        <w:spacing w:after="0" w:line="59" w:lineRule="exact"/>
        <w:rPr>
          <w:rFonts w:ascii="Arial" w:cs="Arial" w:eastAsia="Arial" w:hAnsi="Arial"/>
          <w:sz w:val="16"/>
          <w:szCs w:val="16"/>
          <w:i w:val="1"/>
          <w:iCs w:val="1"/>
          <w:color w:val="auto"/>
        </w:rPr>
      </w:pPr>
    </w:p>
    <w:p>
      <w:pPr>
        <w:ind w:left="720" w:right="320" w:hanging="320"/>
        <w:spacing w:after="0" w:line="277" w:lineRule="auto"/>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Erwinaze</w:t>
      </w:r>
      <w:r>
        <w:rPr>
          <w:rFonts w:ascii="Arial" w:cs="Arial" w:eastAsia="Arial" w:hAnsi="Arial"/>
          <w:sz w:val="18"/>
          <w:szCs w:val="18"/>
          <w:color w:val="auto"/>
        </w:rPr>
        <w:t>. Erwinaze has no patent protection. It had been granted orphan drug exclusivity by the FDA for the treatment of ALL in the U.S. until</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2018, and as a biological product approved under a BLA, we believe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20" w:right="280"/>
        <w:spacing w:after="0" w:line="286" w:lineRule="auto"/>
        <w:rPr>
          <w:sz w:val="20"/>
          <w:szCs w:val="20"/>
          <w:color w:val="auto"/>
        </w:rPr>
      </w:pPr>
      <w:r>
        <w:rPr>
          <w:rFonts w:ascii="Arial" w:cs="Arial" w:eastAsia="Arial" w:hAnsi="Arial"/>
          <w:sz w:val="17"/>
          <w:szCs w:val="17"/>
          <w:color w:val="auto"/>
        </w:rPr>
        <w:t>that it is protected by exclusivity that prevents approval of a biosimilar in the U.S. through late 2023 under the U.S. Biologics Price Competition and Innovation Act, or BPCIA. In the EU, the regulatory data protection that provides an exclusivity period for Erwinase has lapsed. Any new marketing authorizations for Erwinase in other EU member states will not receive any regulatory data protection.</w:t>
      </w:r>
    </w:p>
    <w:p>
      <w:pPr>
        <w:spacing w:after="0" w:line="57" w:lineRule="exact"/>
        <w:rPr>
          <w:sz w:val="20"/>
          <w:szCs w:val="20"/>
          <w:color w:val="auto"/>
        </w:rPr>
      </w:pPr>
    </w:p>
    <w:p>
      <w:pPr>
        <w:ind w:left="720" w:right="20" w:hanging="320"/>
        <w:spacing w:after="0" w:line="293" w:lineRule="auto"/>
        <w:tabs>
          <w:tab w:leader="none" w:pos="7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Vyxeos. </w:t>
      </w:r>
      <w:r>
        <w:rPr>
          <w:rFonts w:ascii="Arial" w:cs="Arial" w:eastAsia="Arial" w:hAnsi="Arial"/>
          <w:sz w:val="16"/>
          <w:szCs w:val="16"/>
          <w:color w:val="auto"/>
        </w:rPr>
        <w:t>We have a portfolio of U.S. and non-U.S. patents and patent applications for Vyxeos and the CombiPlex technology platform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compositions and methods of making and use. These include six U.S. patents covering Vyxeos compositions and methods of use expiring between April 2025 and September 2034 and two U.S. patents covering CombiPlex (which also cover Vyxeos) expiring in January 2027. These patents are listed in the Orange Book. Vyxeos has been granted orphan drug exclusivity by the FDA until August 2024, seven years from its FDA approval, for the treatment of adults with newly-diagnosed t-AML or AML-MRC. In addition, Vyxeos has been granted orphan drug designation by the EC until August 2028, ten years from its EC approval for the treatment of adults with newly-diagnosed t-AML or AML-MRC.</w:t>
      </w:r>
    </w:p>
    <w:p>
      <w:pPr>
        <w:spacing w:after="0" w:line="5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also rely on trade secrets and other unpatented proprietary information to protect our products and commercial position, particularly with respect to our products with limited or no patent protection, such as Erwinaze.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and/or patent applications that relate to our product candidates include:</w:t>
      </w:r>
    </w:p>
    <w:p>
      <w:pPr>
        <w:spacing w:after="0" w:line="117" w:lineRule="exact"/>
        <w:rPr>
          <w:sz w:val="20"/>
          <w:szCs w:val="20"/>
          <w:color w:val="auto"/>
        </w:rPr>
      </w:pPr>
    </w:p>
    <w:p>
      <w:pPr>
        <w:ind w:left="720" w:hanging="320"/>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JZP-258. </w:t>
      </w:r>
      <w:r>
        <w:rPr>
          <w:rFonts w:ascii="Arial" w:cs="Arial" w:eastAsia="Arial" w:hAnsi="Arial"/>
          <w:sz w:val="17"/>
          <w:szCs w:val="17"/>
          <w:color w:val="auto"/>
        </w:rPr>
        <w:t>We have U.S. patents and patent applications that relate to our product candidate JZP-258. These patents expire December 2033.</w:t>
      </w:r>
    </w:p>
    <w:p>
      <w:pPr>
        <w:spacing w:after="0" w:line="128" w:lineRule="exact"/>
        <w:rPr>
          <w:rFonts w:ascii="Arial" w:cs="Arial" w:eastAsia="Arial" w:hAnsi="Arial"/>
          <w:sz w:val="17"/>
          <w:szCs w:val="17"/>
          <w:color w:val="auto"/>
        </w:rPr>
      </w:pPr>
    </w:p>
    <w:p>
      <w:pPr>
        <w:ind w:left="720" w:right="80" w:hanging="320"/>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JZP-385</w:t>
      </w:r>
      <w:r>
        <w:rPr>
          <w:rFonts w:ascii="Arial" w:cs="Arial" w:eastAsia="Arial" w:hAnsi="Arial"/>
          <w:sz w:val="18"/>
          <w:szCs w:val="18"/>
          <w:color w:val="auto"/>
        </w:rPr>
        <w:t>. Through the acquisition of Cavion in 2019, we obtained a portfolio of U.S. and non-U.S. patents and patent applications, including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compositions and methods of using JZP-385. The portfolio includes a U.S. composition of matter patent relating to JZP-385, which expires in 2027.</w:t>
      </w:r>
    </w:p>
    <w:p>
      <w:pPr>
        <w:spacing w:after="0" w:line="86" w:lineRule="exact"/>
        <w:rPr>
          <w:rFonts w:ascii="Arial" w:cs="Arial" w:eastAsia="Arial" w:hAnsi="Arial"/>
          <w:sz w:val="18"/>
          <w:szCs w:val="18"/>
          <w:color w:val="auto"/>
        </w:rPr>
      </w:pPr>
    </w:p>
    <w:p>
      <w:pPr>
        <w:ind w:left="720" w:right="200" w:hanging="320"/>
        <w:spacing w:after="0" w:line="360" w:lineRule="auto"/>
        <w:tabs>
          <w:tab w:leader="none" w:pos="7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JZP-458</w:t>
      </w:r>
      <w:r>
        <w:rPr>
          <w:rFonts w:ascii="Arial" w:cs="Arial" w:eastAsia="Arial" w:hAnsi="Arial"/>
          <w:sz w:val="16"/>
          <w:szCs w:val="16"/>
          <w:color w:val="auto"/>
        </w:rPr>
        <w:t>. We obtained worldwide rights from Pfenex, including Pfenex’s patent rights relating to JZP-458, in 2016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early-stage hematology product candidates, including a license to a U.S. process patent relating to JZP-458, which expires in 2026.</w:t>
      </w:r>
    </w:p>
    <w:p>
      <w:pPr>
        <w:spacing w:after="0" w:line="1" w:lineRule="exact"/>
        <w:rPr>
          <w:rFonts w:ascii="Arial" w:cs="Arial" w:eastAsia="Arial" w:hAnsi="Arial"/>
          <w:sz w:val="16"/>
          <w:szCs w:val="16"/>
          <w:i w:val="1"/>
          <w:iCs w:val="1"/>
          <w:color w:val="auto"/>
        </w:rPr>
      </w:pPr>
    </w:p>
    <w:p>
      <w:pPr>
        <w:ind w:left="720" w:right="100" w:hanging="320"/>
        <w:spacing w:after="0" w:line="342"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Lurbinectedin</w:t>
      </w:r>
      <w:r>
        <w:rPr>
          <w:rFonts w:ascii="Arial" w:cs="Arial" w:eastAsia="Arial" w:hAnsi="Arial"/>
          <w:sz w:val="16"/>
          <w:szCs w:val="16"/>
          <w:color w:val="auto"/>
        </w:rPr>
        <w:t>. In December of 2019, we entered into an exclusive license agreement with PharmaMar pursuant to which we obtained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U.S. development and commercialization rights to lurbinectedin, including a license to a U.S. composition of matter patent, which expires in 2024.</w:t>
      </w:r>
    </w:p>
    <w:p>
      <w:pPr>
        <w:spacing w:after="0" w:line="16" w:lineRule="exact"/>
        <w:rPr>
          <w:sz w:val="20"/>
          <w:szCs w:val="20"/>
          <w:color w:val="auto"/>
        </w:rPr>
      </w:pPr>
    </w:p>
    <w:p>
      <w:pPr>
        <w:ind w:firstLine="432"/>
        <w:spacing w:after="0" w:line="220" w:lineRule="exact"/>
        <w:rPr>
          <w:sz w:val="20"/>
          <w:szCs w:val="20"/>
          <w:color w:val="auto"/>
        </w:rPr>
      </w:pPr>
      <w:r>
        <w:rPr>
          <w:rFonts w:ascii="Arial" w:cs="Arial" w:eastAsia="Arial" w:hAnsi="Arial"/>
          <w:sz w:val="18"/>
          <w:szCs w:val="18"/>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As a global pharmaceutical company, our activities are subject to extensive regulation in the U.S., the EU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Testing and Approval of Pharmaceutical Products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not permitted to market a product in a country until we receive approval from the relevant regulatory authority, such as the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U.S., the FDA reviews and, if warranted, approves applications for marketing approval. The process for obtaining marketing approval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 drug or biologic product candidate generally includes:</w:t>
      </w:r>
    </w:p>
    <w:p>
      <w:pPr>
        <w:spacing w:after="0" w:line="49" w:lineRule="exact"/>
        <w:rPr>
          <w:sz w:val="20"/>
          <w:szCs w:val="20"/>
          <w:color w:val="auto"/>
        </w:rPr>
      </w:pPr>
    </w:p>
    <w:p>
      <w:pPr>
        <w:ind w:left="720" w:right="440" w:hanging="320"/>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conducting preclinical laboratory and animal testing and submitting the results to the FDA in an investigational new drug, or IND, application requesting approval to test the product candidate in human clinical trials;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conducting adequate and well-controlled human clinical trials to establish the safety and efficacy of the product candidate in the desired indication;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submitting an NDA, supplemental NDA, or sNDA, or BLA, as appropriate, to the FDA seeking approval for a specific indication; and</w:t>
      </w:r>
    </w:p>
    <w:p>
      <w:pPr>
        <w:spacing w:after="0" w:line="23" w:lineRule="exact"/>
        <w:rPr>
          <w:rFonts w:ascii="Arial" w:cs="Arial" w:eastAsia="Arial" w:hAnsi="Arial"/>
          <w:sz w:val="18"/>
          <w:szCs w:val="18"/>
          <w:color w:val="auto"/>
        </w:rPr>
      </w:pPr>
    </w:p>
    <w:p>
      <w:pPr>
        <w:ind w:left="720" w:right="60" w:hanging="320"/>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inspections by the FDA of the facilities where the product candidate is manufactured, analyzed and stored to demonstrate compliance with current Good Manufacturing Practices, or cGMP, and any requested FDA audits of the clinical trial sites that generated the data supporting the application.</w:t>
      </w:r>
    </w:p>
    <w:p>
      <w:pPr>
        <w:spacing w:after="0" w:line="8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The FDA enforces good clinical practices through periodic inspections of trial sponsors, clinical investigators and trial sites.</w:t>
      </w:r>
    </w:p>
    <w:p>
      <w:pPr>
        <w:spacing w:after="0" w:line="7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Once an NDA, sNDA or BLA has been compiled and submitted, the FDA performs an initial review before it accepts the application for filing. The FDA may refuse to file an application and/or request additional information before acceptance. Once accepted for filing, the FDA begins an in-depth review of the application. Under the current goals and policies agreed to by the FDA under PDUFA for a new molecular entity, the FDA has ten months from the filing decision in which to complete its initial review of a standard application and respond to the applicant, and eight months for a priority application. The FDA does not always meet its PDUFA goal dates, and in certain circumstances, the PDUFA goal date may be extended.</w:t>
      </w:r>
    </w:p>
    <w:p>
      <w:pPr>
        <w:spacing w:after="0" w:line="6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The FDA also has various programs, including Fast Track, Priority Review, Breakthrough Therapy and Accelerated Approval (Subpart H and E),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the FDA granted Vyxeos Breakthrough Therapy and Fast Track designations and also granted Priority Review with respect to our NDA for Vyxeos for the treatment of t-AML and AML-MRC that was approved in August 2017. In addition, a PRV may be used to obtain priority review by the FDA for one of our future regulatory submissions. We have used the PRV we acquired in May 2018 to obtain priority review for our JZP-258 NDA, which is under review by the FDA.</w:t>
      </w:r>
    </w:p>
    <w:p>
      <w:pPr>
        <w:spacing w:after="0" w:line="5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its review of an application, the FDA evaluates whether the product demonstrates the required level of safety and efficacy for the indication for which approval is sought and also conducts the inspections and audits described above. The FDA may also refer an application to an advisory committee, typically a panel of clinicians, for review, evaluation and a non-binding recommendation as to whether the application should be approved. When the FDA completes its evaluation, it issues either an approval letter or a complete response letter. A complete response letter generally outlines what the FDA considers to be the deficiencies in the application and may indicate that substantial additional testing or information is required in order for the FDA to approve the product. If and when identified deficiencies have been addressed to the FDA’s satisfaction after a review of the resubmission of the application, or if the decision is reversed through an administrative appeal, the FDA will issue an approval letter.</w:t>
      </w:r>
    </w:p>
    <w:p>
      <w:pPr>
        <w:spacing w:after="0" w:line="70"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Even if a product is approved, the approval may be subject to limitations based on the FDA’s interpretation of the data submitted in the application. For example, as a condition of approval, the FDA may require the sponsor to agree to certain post-marketing requirements, such as conducting Phase 4, or post-approval, clinical trials to gain additional safety data or to document a clinical benefit in the case of products approved under Accelerated Approval regulations. The FDA’s approval of the BLA for Erwinaze includes a number of post-marketing commitments and requirements. Several post-marketing commitments and requirements were also mandated by the FDA in connection with its approval of Defitelio, including the requirement that we conduct a clinical trial to analyze the safety of defibrotide versus best supportive care in the prevention of VOD in adult and pediatric patients, and its approval of Vyxeos, including the requirement that we conduct a safety study to characterize infusion-related reactions in patients treated with Vyxeos and a clinical trial to determine dosing to minimize toxicity in patients with moderate and severe renal impairment.</w:t>
      </w:r>
    </w:p>
    <w:p>
      <w:pPr>
        <w:spacing w:after="0" w:line="5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addition, if the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Xyrem is required to have a REMS. For more discussion regarding the Xyrem REMS, see the risk factors under the headings “</w:t>
      </w:r>
      <w:r>
        <w:rPr>
          <w:rFonts w:ascii="Arial" w:cs="Arial" w:eastAsia="Arial" w:hAnsi="Arial"/>
          <w:sz w:val="16"/>
          <w:szCs w:val="16"/>
          <w:i w:val="1"/>
          <w:iCs w:val="1"/>
          <w:color w:val="auto"/>
        </w:rPr>
        <w:t>The distribution and sale of our oxybate products are subject to significant regulatory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24" w:lineRule="exact"/>
        <w:rPr>
          <w:sz w:val="20"/>
          <w:szCs w:val="20"/>
          <w:color w:val="auto"/>
        </w:rPr>
      </w:pPr>
      <w:r>
        <w:rPr>
          <w:rFonts w:ascii="Arial" w:cs="Arial" w:eastAsia="Arial" w:hAnsi="Arial"/>
          <w:sz w:val="17"/>
          <w:szCs w:val="17"/>
          <w:i w:val="1"/>
          <w:iCs w:val="1"/>
          <w:color w:val="auto"/>
        </w:rPr>
        <w:t>including the requirements of a REMS, and these regulatory requirements subject us to risks and uncertainties, any of which could negatively impact sales of Xyrem and if approved, JZP-258</w:t>
      </w:r>
      <w:r>
        <w:rPr>
          <w:rFonts w:ascii="Arial" w:cs="Arial" w:eastAsia="Arial" w:hAnsi="Arial"/>
          <w:sz w:val="17"/>
          <w:szCs w:val="17"/>
          <w:color w:val="auto"/>
        </w:rPr>
        <w:t>” and “Risks Related to Our Intellectual Property” in Part I, Item 1A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94"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Directive, which may be replaced with the new EU Clinical Trials Regulation in 2022,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or EMA. If the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however, created significant uncertainty concerning the future relationship between the UK and the EU. The impact of Brexit on the on-going validity in the UK of current EU authorizations for medicinal products, whether granted through the centralized procedure, decentralized procedure, or mutual recognition, and on the future process for obtaining marketing authorization for pharmaceutical products manufactured or sold in the UK is unknown.</w:t>
      </w:r>
    </w:p>
    <w:p>
      <w:pPr>
        <w:spacing w:after="0" w:line="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79"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 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6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Similar to the use of REMS in the U.S. to ensure that the benefits of a product outweigh its risks, in the EU and other countries we are required and may, in the future in relation to new products, be required to agree to post-marketing obligations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Manufacture of Pharmaceutical Products</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standards as defined by the FDA, the EC, the EMA, competent authorities of EU member states and other regulatory authorities. The FDA also periodically inspects manufacturing facilities and the sponsor’s and manufacturer’s records related to manufacturing, and assesses compliance with cGMP. Following such inspections, the FDA may issue notices on Form FDA 483 and warning letters. For example, the FDA issued a warning letter to PBL, the Erwinaze manufacturer, in January 2017 indicating that it was not satisfied with PBL’s responses to a Form 483 issued to PBL and citing significant violations of cGMP for finished pharmaceuticals and significant deviations from cGMP for APIs. As recently as August 2018, the FDA conducted an inspection of the PBL manufacturing facility and issued an FDA Form 483 to PBL citing observations related to items referenced in the existing warning letter as well as other manufacturing practices, including data and records management.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59"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of Pharmaceutical Products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Advertising and Promotional Activities</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The FDA actively investigates allegations of off-label promotion in order to enforce regulations prohibiting these types of activities. The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the FDA, even if they believe the claims they were making to be truthful, not misleading and otherwise lawful.</w:t>
      </w:r>
    </w:p>
    <w:p>
      <w:pPr>
        <w:spacing w:after="0" w:line="7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or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Fraud and Abuse</w:t>
      </w:r>
    </w:p>
    <w:p>
      <w:pPr>
        <w:spacing w:after="0" w:line="117"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U.S Department of Justice, or DOJ, and the Office of Inspector General of the U.S. Department of Health and Human Services, or OIG. Practices or arrangements that involve remuneration may be subject to scrutiny if they do not qualify for an exemption or safe harbor. Violations of the federal Anti-Kickback Statute may be established without providing specific intent to violate the statute, and may be punishable by civil,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criminal, and administrative fines and penalties, damages, imprisonment, and/or exclusion from participation in federal healthcare programs.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as amended by the Health Information Technology for Economic and Clinical Health Act,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Post-Approval Pharmaceutical Product Regulation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 Reporting/Pharmacovigilance</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FDA, the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the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the FDA issues drug safety communications on its adverse event reporting system based on its review of reported adverse events.</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FDA and the competent authorities of the EU member states on behalf of the EMA also periodically inspect our records related to safety reporting. Following such inspections, the FDA may issue notices on FDA Form 483 and warning letters that could cause us to modify certain activities. An FDA Form 483 notice, if issued, can list conditions the FDA investigators believe may have violated relevant FDA regulations or guidance. Failure to adequately and promptly correct the observation(s) can result in a warning letter or other regulatory enforcement action. Similarly, the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Sunshine Act and Transparency Laws</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Beginning in 2022, reporting will also be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5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Outside the U.S., interactions between pharmaceutical companies and physicians are also governed by strict laws, regulations, industry self-regulation codes of conduct and physicians’ codes of professional conduct. The provision of benefits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Controlled Substance Regulations</w:t>
      </w:r>
    </w:p>
    <w:p>
      <w:pPr>
        <w:spacing w:after="0" w:line="11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 drug product approved by the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listed as Schedule II, III, IV or V, with Schedule II substances considered to present the highest potential for abuse or dependence and Schedule V substances the lowest relative risk of abuse. The API of Xyrem, sodium oxybate, is regulated by the DEA as a Schedule I controlled substance, and Xyrem is regulated as a Schedule III controlled substance. The API of Sunosi, solriamfetol, is regulated as a Schedule IV controlled substance. Individual states also impose similar requirements for controlled substances.</w:t>
      </w:r>
    </w:p>
    <w:p>
      <w:pPr>
        <w:spacing w:after="0" w:line="74" w:lineRule="exact"/>
        <w:rPr>
          <w:sz w:val="20"/>
          <w:szCs w:val="20"/>
          <w:color w:val="auto"/>
        </w:rPr>
      </w:pPr>
    </w:p>
    <w:p>
      <w:pPr>
        <w:ind w:right="100" w:firstLine="432"/>
        <w:spacing w:after="0" w:line="219" w:lineRule="exact"/>
        <w:rPr>
          <w:sz w:val="20"/>
          <w:szCs w:val="20"/>
          <w:color w:val="auto"/>
        </w:rPr>
      </w:pPr>
      <w:r>
        <w:rPr>
          <w:rFonts w:ascii="Arial" w:cs="Arial" w:eastAsia="Arial" w:hAnsi="Arial"/>
          <w:sz w:val="17"/>
          <w:szCs w:val="17"/>
          <w:color w:val="auto"/>
        </w:rPr>
        <w:t>The DEA limits the quantity of certain Schedule I controlled substances that may be manufactured and procured in the U.S. in any given calendar year through a quota system and, as a result, quotas from the DEA are required in order to manufacture and package sodium oxybate and Xyrem in the U.S. Accordingly, we require DEA quotas for Siegfried, our U.S.</w:t>
      </w:r>
      <w:r>
        <w:rPr>
          <w:rFonts w:ascii="MS PGothic" w:cs="MS PGothic" w:eastAsia="MS PGothic" w:hAnsi="MS PGothic"/>
          <w:sz w:val="17"/>
          <w:szCs w:val="17"/>
          <w:color w:val="auto"/>
        </w:rPr>
        <w:t>‑</w:t>
      </w:r>
      <w:r>
        <w:rPr>
          <w:rFonts w:ascii="Arial" w:cs="Arial" w:eastAsia="Arial" w:hAnsi="Arial"/>
          <w:sz w:val="17"/>
          <w:szCs w:val="17"/>
          <w:color w:val="auto"/>
        </w:rPr>
        <w:t>based sodium oxybate supplier, to procure sodium oxybate and for Patheon, our U.S.-based Xyrem supplier, to obtain the sodium oxybate from Siegfried in order to manufacture and supply us with Xyrem. Xyrem manufactured at our plant in Ireland enters the U.S. as a Schedule III drug and thus does not require a manufacturing quota.</w:t>
      </w:r>
    </w:p>
    <w:p>
      <w:pPr>
        <w:spacing w:after="0" w:line="9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a Schedule III drug, Xyrem is also subject to DEA and state regulations relating to manufacturing, storage, distribution and physician prescription procedures, including limitations on prescription refills. In addition, the third parties who perform our clinical and commercial manufacturing, distribution, dispensing and clinical studies for Xyrem are required to maintain necessary DEA registrations and state licenses. The DEA periodically inspects facilities for compliance with its rules and regulations.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Anti-Corruption Legislation</w:t>
      </w:r>
    </w:p>
    <w:p>
      <w:pPr>
        <w:spacing w:after="0" w:line="117"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As described above, our business is heavily regulated and therefore involves significant interaction with government officials in many countries. Additionally, in certain countries, the health care providers who prescribe pharmaceuticals are employed by their government, and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purchasers of pharmaceuticals are government entities; therefore, our dealings with these prescribers and purchasers may be subject to the FCPA, the UK Bribery Act and similar laws. Recently the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and disgorgement of past profits.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also subject to data protection and privacy laws and regulations globally, which may place restrictions on our ability to transfer, access and use personal data across our business. The legislative and regulatory landscape for privacy and data security continues to evolve. There has been increased attention to privacy and data security issues that could potentially affect our business, including the EU General Data Protection Regulation, which went into effect on May 25, 2018 and imposes penalties up to 4% of annual global turnover. In addition, laws and regulations enacted in the United States, Europe, Asia and Latin America, including the new California Consumer Privacy Act of 2018, which went into effect January 1, 2020, increases potential enforcement and litigation activity. In order to manage these evolving risks, we have adopted a global privacy program including certification to the EU-U.S. and Swiss-U.S. Privacy Shield Programs.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Hatch-Waxman Act</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United States Federal Food, Drug, and Cosmetic Act, or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Drug Price Competition and Patent Term Restoration Act of 1984, or the Hatch-Waxman Act, provides two abbreviated approval pathways for certain drug products.</w:t>
      </w:r>
    </w:p>
    <w:p>
      <w:pPr>
        <w:spacing w:after="0" w:line="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first path, under Section 505(b)(2) of the FDCA, usually is used for the approval of a product that is similar, but not identical, to a previously-approved brand-name product, referred to as the reference listed drug, or RLD. Under this path, the applicant is permitted to rely to some degree on the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If the applicant has provided a Paragraph IV Certification to the FDA, the applicant must also send a notice of that certification to the NDA holder and the relevant patent holders once the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decision in the infringement case that is favorable to the applicant. The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6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the FDA has not previously approved. During this period, the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the FDA from giving final approval to such product.</w:t>
      </w:r>
    </w:p>
    <w:p>
      <w:pPr>
        <w:spacing w:after="0" w:line="8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the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the FDA, reviews and approves applications for patent term extension.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Orphan Drug and Other Exclusivities</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Some jurisdictions, including the U.S., may designate drugs or biologics for relatively small patient populations as orphan drugs. The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the FDA. If a product is approved for its orphan designated use, it may be entitled to orphan drug exclusivity, which blocks the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orphan drug exclusivity requires the sponsor to actually demonstrate clinical superiority. Clinical superiority can be established by way of greater efficacy, greater safety, or making a major contribution to patient care. Additionally, a later product can be approved if the sponsor holding orphan drug exclusivity consents, or cannot adequately supply the market. Orphan drug exclusivity does not prevent approval of another sponsor’s application for different indications or uses of the same drug, or for different drugs for the same indication. Defibrotide has been granted orphan drug exclusivity by the FDA to treat and prevent VOD until March 2023. Vyxeos has been granted orphan drug exclusivity by the FDA for the treatment of AML until August 2024.</w:t>
      </w:r>
    </w:p>
    <w:p>
      <w:pPr>
        <w:spacing w:after="0" w:line="6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Biologic products approved under a BLA are subject to the BPCIA, which authorizes an abbreviated approval pathway for a biological product that is “biosimilar” to an already approved biologic, or reference product. The BPCIA provides periods of exclusivity that protect a reference product from competition by biosimilars. The FDA may not accept a biosimilar application for review until four years after the date of first licensure of the reference product, and the biosimilar cannot be licensed until 12 years after the reference product was first licensed. We believe that Erwinaze, which was approved under a BLA in November 2011, is subject to an exclusivity period that will prevent approval of a biosimilar in the U.S. into November 2023.</w:t>
      </w:r>
    </w:p>
    <w:p>
      <w:pPr>
        <w:spacing w:after="0" w:line="5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the FDA for such data. This exclusivity may be granted even if the data does not support a pediatric indication. We consider seeking pediatric exclusivity for our products whenever appropriate. For example, in response to a written request from the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3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market exclusivity in all EU member states upon approval. As in the U.S., a similar medicinal product with the same orphan indication may be approved, notwithstanding orphan product exclusivity,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has been granted orphan drug designation by the EC and the Korean Ministry of Food and Drug Safety to treat and prevent VOD, by the Commonwealth of Australia-Department of Health for the treatment of VOD and by the EC for the prevention of aGvHD. Vyxeos has been granted orphan drug designation by the EC until August 2028.</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Reimbursement by Government and Private Payors and Patient Access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pharmacy benefit managers, or PBMs, negotiate rebates with drug manufacturers for inclusion of products on their formularies in specific positions or coverage criteria. Beginning in the third quarter of 2019, we have been entering into agreements with certain PBMs to provide rebates for our products where coverage was provided and products were listed in certain formulary positions, among other conditions. We expect to enter into additional agreements in 2020.</w:t>
      </w:r>
    </w:p>
    <w:p>
      <w:pPr>
        <w:spacing w:after="0" w:line="77" w:lineRule="exact"/>
        <w:rPr>
          <w:sz w:val="20"/>
          <w:szCs w:val="20"/>
          <w:color w:val="auto"/>
        </w:rPr>
      </w:pPr>
    </w:p>
    <w:p>
      <w:pPr>
        <w:ind w:firstLine="432"/>
        <w:spacing w:after="0" w:line="217" w:lineRule="exact"/>
        <w:rPr>
          <w:sz w:val="20"/>
          <w:szCs w:val="20"/>
          <w:color w:val="auto"/>
        </w:rPr>
      </w:pPr>
      <w:r>
        <w:rPr>
          <w:rFonts w:ascii="Arial" w:cs="Arial" w:eastAsia="Arial" w:hAnsi="Arial"/>
          <w:sz w:val="16"/>
          <w:szCs w:val="16"/>
          <w:color w:val="auto"/>
        </w:rPr>
        <w:t>Medicaid is a joint federal and state program that is administered by the states for low</w:t>
      </w:r>
      <w:r>
        <w:rPr>
          <w:rFonts w:ascii="MS PGothic" w:cs="MS PGothic" w:eastAsia="MS PGothic" w:hAnsi="MS PGothic"/>
          <w:sz w:val="16"/>
          <w:szCs w:val="16"/>
          <w:color w:val="auto"/>
        </w:rPr>
        <w:t>‑</w:t>
      </w:r>
      <w:r>
        <w:rPr>
          <w:rFonts w:ascii="Arial" w:cs="Arial" w:eastAsia="Arial" w:hAnsi="Arial"/>
          <w:sz w:val="16"/>
          <w:szCs w:val="16"/>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U.S. Centers for Medicare &amp; Medicaid Services, or CMS, the federal agency that administers the Medicaid Drug Rebate program, several state Medicaid supplemental rebate programs and other governmental pricing programs.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For the federal government to determine Medicare Part B payments to physicians, we are required to provide average sales price, or ASP, information for certain of our products to the CMS on a quarterly basis. The ASP is calculated based on a statutorily defined formula as well as regulations and interpretations of the statute by CMS. This information is used to compute Medicare payment rates, with rates for Medicare Part B drugs outside the hospital outpatient setting and in the hospital outpatient setting consisting of ASP plus a specified percentage. If we become aware that our reporting for a prior quarter was incorrect, or has changed as a result of recalculation of the pricing data, we are obligated to resubmit the corrected data for up to three years after those data originally were due.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program, or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new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6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also participate in the U.S. Department of Veterans Affairs, or VA, Federal Supply Schedule, or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time.</w:t>
      </w:r>
    </w:p>
    <w:p>
      <w:pPr>
        <w:spacing w:after="0" w:line="7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Several states have passed or are considering legislation that purports to require companies to report proprietary pricing information. For example, in 2017, California adopted a prescription drug price transparency state bill requiring advance notice and an explanation for price increases of certain drugs that exceed a specified threshold. Similar bills have been previously introduced at the federal level and additional legislation could be introduced this year.</w:t>
      </w:r>
    </w:p>
    <w:p>
      <w:pPr>
        <w:spacing w:after="0" w:line="8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On January 31, 2018, the EC adopted a proposal for an HTA regulation intended to boost cooperation among EU member states in assessing health technologies, including new medicinal products. The proposal provides that EU member states will be able to use common HTA tools, methodologies, and procedures across the EU. Individual EU member states will continue to be responsible for assessing non-clinical (e.g., economic, social and ethical) aspects of health technologies, and making decisions on pricing and reimbursement.</w:t>
      </w:r>
    </w:p>
    <w:p>
      <w:pPr>
        <w:spacing w:after="0" w:line="6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46" w:lineRule="exact"/>
        <w:rPr>
          <w:sz w:val="20"/>
          <w:szCs w:val="20"/>
          <w:color w:val="auto"/>
        </w:rPr>
      </w:pPr>
    </w:p>
    <w:p>
      <w:pPr>
        <w:ind w:right="40" w:firstLine="432"/>
        <w:spacing w:after="0" w:line="218" w:lineRule="exact"/>
        <w:rPr>
          <w:sz w:val="20"/>
          <w:szCs w:val="20"/>
          <w:color w:val="auto"/>
        </w:rPr>
      </w:pPr>
      <w:r>
        <w:rPr>
          <w:rFonts w:ascii="Arial" w:cs="Arial" w:eastAsia="Arial" w:hAnsi="Arial"/>
          <w:sz w:val="17"/>
          <w:szCs w:val="17"/>
          <w:color w:val="auto"/>
        </w:rPr>
        <w:t>For more information, see the risk factors under the headings “</w:t>
      </w:r>
      <w:r>
        <w:rPr>
          <w:rFonts w:ascii="Arial" w:cs="Arial" w:eastAsia="Arial" w:hAnsi="Arial"/>
          <w:sz w:val="17"/>
          <w:szCs w:val="17"/>
          <w:i w:val="1"/>
          <w:iCs w:val="1"/>
          <w:color w:val="auto"/>
        </w:rPr>
        <w:t>Adequate coverage and reimbursement from third party payors may not be available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products, which could diminish our sales or affect our ability to sell our products profitably,” </w:t>
      </w:r>
      <w:r>
        <w:rPr>
          <w:rFonts w:ascii="Arial" w:cs="Arial" w:eastAsia="Arial" w:hAnsi="Arial"/>
          <w:sz w:val="17"/>
          <w:szCs w:val="17"/>
          <w:color w:val="auto"/>
        </w:rPr>
        <w:t>“</w:t>
      </w:r>
      <w:r>
        <w:rPr>
          <w:rFonts w:ascii="Arial" w:cs="Arial" w:eastAsia="Arial" w:hAnsi="Arial"/>
          <w:sz w:val="17"/>
          <w:szCs w:val="17"/>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7"/>
          <w:szCs w:val="17"/>
          <w:color w:val="auto"/>
        </w:rPr>
        <w:t>in Part I, Item 1A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Patient Assistance Programs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various patient assistance programs to help patients access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insurance premium and co-pay assistance programs and donations to third-party charities that provide such assistance, as well as reimbursement support offerings.</w:t>
      </w:r>
    </w:p>
    <w:p>
      <w:pPr>
        <w:spacing w:after="0" w:line="8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Patient Protection and Affordable Care Act, as amended by the Healthcare and Education Reconciliation Act of 2010, which we refer to together as the Healthcare Reform Act, was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340B program, and fraud and abuse and enforcement. These changes have impacted previously existing government healthcare programs and have resulted in the development of new programs, including Medicare payment for performance initiatives.</w:t>
      </w:r>
    </w:p>
    <w:p>
      <w:pPr>
        <w:spacing w:after="0" w:line="7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Certain provisions of the Healthcare Reform Act have been subject to judicial challenges, as well as efforts to repeal or replace them or to alter their interpretation or implementation. For example, the U.S. Tax Cuts and Jobs Act of 2017, signed into law in December 2017, includes a provision repealing, effective January 1, 2019, the tax-based shared responsibility payment, commonly referred to as the “individual mandate,” imposed by the Healthcare Reform Act on certain individuals who fail to maintain qualifying health coverage for all or part of a year. Additional legislative changes, regulatory changes, and judicial challenges related to the Healthcare Reform Act remain possible. The nature and extent of any additional legislative changes, regulatory changes, or judicial challenges to the Healthcare Reform Act are uncertain at this time.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18, 2020, we had approximately 1,620 employees worldwide. We consider our employee relations to be good.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operations are subject to complex and increasingly stringent environmental, health and safety laws and regulations in the countries where we operate and, in particular, in Italy and Ireland where we have manufacturing facilities. Our manufacturing activities involve the controlled storage, use and disposal of chemicals and solvents. Environmental and health and safety authorities in Italy and Ireland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predecessor, Jazz Pharmaceuticals, Inc., was incorporated in California in March 2003 and was reincorporated in Delaware in January 2004.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mailing address of our headquarters is Fifth Floor, Waterloo Exchange, Waterloo Road, Dublin 4, Ireland, and our telephone number at that location is 353-1-634-7800. Our website is www.jazzpharmaceuticals.com.</w:t>
      </w:r>
    </w:p>
    <w:p>
      <w:pPr>
        <w:spacing w:after="0" w:line="62" w:lineRule="exact"/>
        <w:rPr>
          <w:sz w:val="20"/>
          <w:szCs w:val="20"/>
          <w:color w:val="auto"/>
        </w:rPr>
      </w:pPr>
    </w:p>
    <w:p>
      <w:pPr>
        <w:ind w:right="20" w:firstLine="432"/>
        <w:spacing w:after="0" w:line="219" w:lineRule="exact"/>
        <w:rPr>
          <w:sz w:val="20"/>
          <w:szCs w:val="20"/>
          <w:color w:val="auto"/>
        </w:rPr>
      </w:pPr>
      <w:r>
        <w:rPr>
          <w:rFonts w:ascii="Arial" w:cs="Arial" w:eastAsia="Arial" w:hAnsi="Arial"/>
          <w:sz w:val="17"/>
          <w:szCs w:val="17"/>
          <w:color w:val="auto"/>
        </w:rPr>
        <w:t>We file or furnish pursuant to Section 13(a) or 15(d) of the Securities Exchange Act of 1934, as amended, as applicable,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80" w:firstLine="432"/>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including our consolidated financial statements and accompanying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sleep therapeutic area would have a material adverse effect on our business, financial condition, results of operations and growth prospects.</w:t>
      </w:r>
    </w:p>
    <w:p>
      <w:pPr>
        <w:spacing w:after="0" w:line="62" w:lineRule="exact"/>
        <w:rPr>
          <w:sz w:val="20"/>
          <w:szCs w:val="20"/>
          <w:color w:val="auto"/>
        </w:rPr>
      </w:pPr>
    </w:p>
    <w:p>
      <w:pPr>
        <w:ind w:firstLine="432"/>
        <w:spacing w:after="0" w:line="250" w:lineRule="auto"/>
        <w:rPr>
          <w:sz w:val="20"/>
          <w:szCs w:val="20"/>
          <w:color w:val="auto"/>
        </w:rPr>
      </w:pPr>
      <w:r>
        <w:rPr>
          <w:rFonts w:ascii="Arial" w:cs="Arial" w:eastAsia="Arial" w:hAnsi="Arial"/>
          <w:sz w:val="17"/>
          <w:szCs w:val="17"/>
          <w:color w:val="auto"/>
        </w:rPr>
        <w:t>Our current business is substantially dependent on 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(sodium oxybate) oral solution, and our financial results are significantly influenced by sales of Xyrem. A significant decline in sales of Xyrem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 While our future plans assume that sales of Xyrem will increase, there is no guarantee that we can maintain sales of Xyrem at or near current levels, or that Xyrem sales will continue to grow. Our ability to maintain or increase Xyrem product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is subject to a number of risks and uncertainties as discussed in greater detail below, including those related to the introduction of authorized generic and generic versions of sodium oxybate and/or new products for treatment of cataplexy and/or excessive daytime sleepiness, or EDS, in narcolepsy in the U.S. market, increased pricing pressure from, changes in policies by, or restrictions on reimbursement imposed by, third party payors, challenges to our intellectual property around Xyrem, and continued acceptance of Xyrem by physicians and patients.</w:t>
      </w:r>
    </w:p>
    <w:p>
      <w:pPr>
        <w:spacing w:after="0" w:line="63" w:lineRule="exact"/>
        <w:rPr>
          <w:sz w:val="20"/>
          <w:szCs w:val="20"/>
          <w:color w:val="auto"/>
        </w:rPr>
      </w:pPr>
    </w:p>
    <w:p>
      <w:pPr>
        <w:ind w:right="20" w:firstLine="405"/>
        <w:spacing w:after="0" w:line="257" w:lineRule="auto"/>
        <w:rPr>
          <w:sz w:val="20"/>
          <w:szCs w:val="20"/>
          <w:color w:val="auto"/>
        </w:rPr>
      </w:pPr>
      <w:r>
        <w:rPr>
          <w:rFonts w:ascii="Arial" w:cs="Arial" w:eastAsia="Arial" w:hAnsi="Arial"/>
          <w:sz w:val="17"/>
          <w:szCs w:val="17"/>
          <w:color w:val="auto"/>
        </w:rPr>
        <w:t>As for other products and product candidates in our sleep and neuroscience therapeutic area, we obtained approval of Sunosi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7"/>
          <w:szCs w:val="17"/>
          <w:color w:val="212529"/>
        </w:rPr>
        <w:t>Our</w:t>
      </w:r>
      <w:r>
        <w:rPr>
          <w:rFonts w:ascii="Arial" w:cs="Arial" w:eastAsia="Arial" w:hAnsi="Arial"/>
          <w:sz w:val="17"/>
          <w:szCs w:val="17"/>
          <w:color w:val="auto"/>
        </w:rPr>
        <w:t xml:space="preserve"> </w:t>
      </w:r>
      <w:r>
        <w:rPr>
          <w:rFonts w:ascii="Arial" w:cs="Arial" w:eastAsia="Arial" w:hAnsi="Arial"/>
          <w:sz w:val="17"/>
          <w:szCs w:val="17"/>
          <w:color w:val="212529"/>
        </w:rPr>
        <w:t xml:space="preserve">ability to realize the anticipated benefits from our investment in </w:t>
      </w:r>
      <w:r>
        <w:rPr>
          <w:rFonts w:ascii="Arial" w:cs="Arial" w:eastAsia="Arial" w:hAnsi="Arial"/>
          <w:sz w:val="17"/>
          <w:szCs w:val="17"/>
          <w:color w:val="000000"/>
        </w:rPr>
        <w:t>Sunosi</w:t>
      </w:r>
      <w:r>
        <w:rPr>
          <w:rFonts w:ascii="Arial" w:cs="Arial" w:eastAsia="Arial" w:hAnsi="Arial"/>
          <w:sz w:val="17"/>
          <w:szCs w:val="17"/>
          <w:color w:val="212529"/>
        </w:rPr>
        <w:t xml:space="preserve"> is subject to a number of risks and uncertainties, including market acceptance of Sunosi; our ability, in a competitive retail pharmacy market, to differentiate Sunosi from other products that are prescribed to treat excessive sleepiness in patients with OSA or EDS in patients with narcolepsy; the availability of adequate formulary positions and pricing and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the FDA in the future and any such limitations that may be required by the European Commission, or the EC, or other regulatory authority on any approved labeling; and our ability to satisfy the FDA’s post-marketing requirements.</w:t>
      </w:r>
    </w:p>
    <w:p>
      <w:pPr>
        <w:spacing w:after="0" w:line="8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We also submitted a new drug application, or NDA, in January 2020 for marketing approval of JZP-258, an oxybate product candidate that contains 92%, or approximately 1,000 to 1,500 milligrams per day, less sodium than Xyrem, for the treatment of cataplexy and EDS in narcolepsy patients seven years of age and older. Our future plans assume that, if approved, JZP-258 may be prescribed to patients as a safer and clinically superior alternative to Xyrem as well as being prescribed to patients who may otherwise be ineligible to take Xyrem based on its high sodium content. </w:t>
      </w:r>
      <w:r>
        <w:rPr>
          <w:rFonts w:ascii="Arial" w:cs="Arial" w:eastAsia="Arial" w:hAnsi="Arial"/>
          <w:sz w:val="17"/>
          <w:szCs w:val="17"/>
          <w:color w:val="212529"/>
        </w:rPr>
        <w:t>Our ability to realize the anticipated</w:t>
      </w:r>
      <w:r>
        <w:rPr>
          <w:rFonts w:ascii="Arial" w:cs="Arial" w:eastAsia="Arial" w:hAnsi="Arial"/>
          <w:sz w:val="17"/>
          <w:szCs w:val="17"/>
          <w:color w:val="auto"/>
        </w:rPr>
        <w:t xml:space="preserve"> </w:t>
      </w:r>
      <w:r>
        <w:rPr>
          <w:rFonts w:ascii="Arial" w:cs="Arial" w:eastAsia="Arial" w:hAnsi="Arial"/>
          <w:sz w:val="17"/>
          <w:szCs w:val="17"/>
          <w:color w:val="212529"/>
        </w:rPr>
        <w:t xml:space="preserve">benefits from our investment in JZP-258 is subject to a number of risks and uncertainties, including </w:t>
      </w:r>
      <w:r>
        <w:rPr>
          <w:rFonts w:ascii="Arial" w:cs="Arial" w:eastAsia="Arial" w:hAnsi="Arial"/>
          <w:sz w:val="17"/>
          <w:szCs w:val="17"/>
          <w:color w:val="000000"/>
        </w:rPr>
        <w:t>delay or failure in obtaining approval of JZP-258; our</w:t>
      </w:r>
      <w:r>
        <w:rPr>
          <w:rFonts w:ascii="Arial" w:cs="Arial" w:eastAsia="Arial" w:hAnsi="Arial"/>
          <w:sz w:val="17"/>
          <w:szCs w:val="17"/>
          <w:color w:val="212529"/>
        </w:rPr>
        <w:t xml:space="preserve"> </w:t>
      </w:r>
      <w:r>
        <w:rPr>
          <w:rFonts w:ascii="Arial" w:cs="Arial" w:eastAsia="Arial" w:hAnsi="Arial"/>
          <w:sz w:val="17"/>
          <w:szCs w:val="17"/>
          <w:color w:val="000000"/>
        </w:rPr>
        <w:t>receipt of approval for narrower indications than sought or burdens in the approved label; obtaining FDA approval of a risk evaluation and mitigation strategy, or REMS; obtaining and maintaining adequate coverage and reimbursement for JZP-258; the introduction of new products in the U.S. market that compete with JZP-258 in the treatment of cataplexy and/or EDS in narcolepsy, including generic or authorized generic versions of sodium oxybate or new sodium oxybate products; and acceptance of JZP-258 by payors, physicians and patients.</w:t>
      </w:r>
    </w:p>
    <w:p>
      <w:pPr>
        <w:spacing w:after="0" w:line="74"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If we are unable to successfully commercialize Sunosi and/or JZP-258 (if approved), or if sales of Sunosi and JZP-258 do not reach the levels we expect, our anticipated revenue from our sleep therapeutic area will be negatively affected, which would have a material adverse effect on our business, financial condition, results of operations and growth prospects.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While Xyrem is currently the only product approved by the U.S. Food and Drug Administration, or FDA, and marketed in the U.S. for the treatment of both cataplexy and EDS in both adult and pediatric patients with narcolepsy, we and others have launched and may in the future launch products that are competitive with or disrupt the market for Xyrem.</w:t>
      </w:r>
    </w:p>
    <w:p>
      <w:pPr>
        <w:spacing w:after="0" w:line="73"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For example, in the future, we expect Xyrem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the FDA has approved or tentatively approved four of these ANDAs, and we believe that it is likely that the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REMS as Xyrem and, if approved, JZP 258.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Products and generic sodium oxybate products under our settlement agreements are subject to acceleration under certain circumstances.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all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7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Other companies may develop a sodium oxybate product for treatment of narcolepsy, using an alternative formulation or a different delivery technology, and seek approval in the U.S. using an NDA approval pathway under Section 505(b)(2) and referencing the safety and efficacy data for Xyrem. We are aware that Avadel Pharmaceuticals plc, or Avadel, is conducting a Phase 3 clinical trial of a once-nightly formulation of sodium oxybate which uses its proprietary technology for the treatment of EDS and cataplexy in patients with narcolepsy, and that Avadel has indicated that it intends to seek approval using the Section 505(b)(2) approval pathway referencing the safety and efficacy data for Xyrem. Xyrem may also face competition from new branded entrants to treat EDS in narcolepsy such as pitolisant. Other companies have announced that they have product candidates in various phases of development to treat the symptoms of narcolepsy, such as Axsome Therapeutics, Inc.’s reboxetine.</w:t>
      </w:r>
    </w:p>
    <w:p>
      <w:pPr>
        <w:spacing w:after="0" w:line="7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expect that, if approved, JZP-258, will face competition similar to that described above for Xyrem, including from generic or authorized generic sodium oxybate product or new branded entrants in narcolepsy such as Avadel. Avadel has announced that it has obtained an orphan drug designation from the FDA for its once-nightly sodium oxybate formulation. To obtain orphan drug exclusivity upon approval, Avadel will have to show clinical superiority to Xyrem and possibly to JZP-258, if approved. If the FDA approves Avadel’s product and grants it orphan drug exclusivity before we obtain approval for JZP-258, there is a risk that JZP-258 will not be approvable for a narcolepsy indication for seven years unless it can establish clinical superiority to Avadel’s product. We cannot predict the timing of Avadel’s submission or how the FDA will evaluate any clinical superiority arguments that either company may make, but a delay in approval or inability to obtain approval for JZP-258 could materially and adversely affect our business, financial condition, results of operations and growth prospects.</w:t>
      </w:r>
    </w:p>
    <w:p>
      <w:pPr>
        <w:spacing w:after="0" w:line="71"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Moreover, non-oxybate products intended for the treatment of EDS or cataplexy in narcolepsy, including new market entrants, even if not directly competitive with Xyrem or JZP-258 (if approved), could have the effect of changing treatment regimens and payor or formulary coverage of Xyrem or JZP-258 in favor of other products, and indirectly materially and adversely affect sales of Xyrem (and if approved, JZP-258). Examples of such new market entrants include our product, Sunosi, and pitolisant, a drug that was approved by the FDA in August 2019 for the treatment of EDS in adult patients with narcolepsy and became commercially available in the U.S. in the fourth quarter of 2019, and that has also been approved and marketed in Europe to treat adult patients with narcolepsy with or without cataplexy. In addition, prescribers often prescribe stimulants or wake-promoting agents for treatment of EDS, and anti-depressants for cataplexy, before or instead of prescribing Xyrem, and payors often require patients to try such medications before they will cover Xyrem. Examples of such products are described in “Business—Competition” in Part I, Item 1 of this Annual Report on Form 10-K.</w:t>
      </w:r>
    </w:p>
    <w:p>
      <w:pPr>
        <w:spacing w:after="0" w:line="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expect that the approval and launch of an AG Product or other generic version of Xyrem could have a material adverse effect on our sales of and revenues from Xyrem and on our business, financial condition, results of operations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growth prospects. We also expect that the approval and launch of any other sodium oxybate (including JZP-258 or Avadel’s once-nightly sodium oxybate formulation) or alternative product that treats narcolepsy could have a material adverse effect on our sales of and revenues from Xyrem, which could have the additional impact of potentially triggering acceleration of market entry of AG Products or other generic sodium oxybate products under our ANDA litigation settlement agreements.</w:t>
      </w:r>
    </w:p>
    <w:p>
      <w:pPr>
        <w:spacing w:after="0" w:line="79" w:lineRule="exact"/>
        <w:rPr>
          <w:sz w:val="20"/>
          <w:szCs w:val="20"/>
          <w:color w:val="auto"/>
        </w:rPr>
      </w:pPr>
    </w:p>
    <w:p>
      <w:pPr>
        <w:ind w:right="420"/>
        <w:spacing w:after="0" w:line="375" w:lineRule="auto"/>
        <w:rPr>
          <w:sz w:val="20"/>
          <w:szCs w:val="20"/>
          <w:color w:val="auto"/>
        </w:rPr>
      </w:pPr>
      <w:r>
        <w:rPr>
          <w:rFonts w:ascii="Arial" w:cs="Arial" w:eastAsia="Arial" w:hAnsi="Arial"/>
          <w:sz w:val="15"/>
          <w:szCs w:val="15"/>
          <w:b w:val="1"/>
          <w:bCs w:val="1"/>
          <w:i w:val="1"/>
          <w:iCs w:val="1"/>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if approved, JZP-258.</w:t>
      </w:r>
    </w:p>
    <w:p>
      <w:pPr>
        <w:spacing w:after="0" w:line="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active pharmaceutical ingredient, or API, of Xyrem, sodium oxybate, is the sodium salt of gamma-hydroxybutyric acid, or GHB, a central nervous system depressant known to be associated with facilitated sexual assault as well as with respiratory depression and other serious side effects. As a result, the FDA requires that we maintain a REMS with elements to assure safe use, or ETASU, for Xyrem to help ensure that the benefits of the drug in the treatment of cataplexy and EDS in narcolepsy outweigh the serious risks of the drug. The REMS imposes extensive controls and restrictions on the sales and marketing of Xyrem that we are responsible for implementing. Any failure to demonstrate our substantial compliance with our REMS obligations, or a determination by the FDA that the Xyrem REMS is not meeting its goals, could result in enforcement action by the FDA, lead to changes in our Xyrem REMS obligations, negatively affect sales of Xyrem, result in additional costs and expenses for us and/or require us to invest a significant amount of resources, any of which could materially and adversely affect our business, financial condition, results of operations and growth prospects. Similarly, we expect that the FDA will require approval of a REMS for JZP-258, and a delay in obtaining such approval could delay our anticipated launch of JZP-258, which could adversely affect our business, financial condition, results of operations and growth prospects.</w:t>
      </w:r>
    </w:p>
    <w:p>
      <w:pPr>
        <w:spacing w:after="0" w:line="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FDA has stated that it will evaluate the Xyrem REMS on an ongoing basis and will require modifications as may be appropriate. We cannot predict whether the FDA will request, seek to require or ultimately require modifications to, or impose additional requirements on, the Xyrem REMS, including in connection with the submission of applications for new oxybate products including JZP-258, new oxybate indications, the introduction of authorized generics, or to accommodate generics, or whether the FDA will approve modifications to the Xyrem REMS that we consider warranted in connection with the submission of applications for new oxybate products including JZP-258. Any modifications approved, required or rejected by the FDA could change the safety profile of Xyrem, and have a significant negative impact in terms of product liability, public acceptance of Xyrem as a treatment for cataplexy and EDS in narcolepsy, and prescribers’ willingness to prescribe, and patients’ willingness to take, Xyrem, any of which could have a material adverse effect on our Xyrem business. Modifications approved, required or rejected by the FDA could also make it more difficult or expensive for us to distribute Xyrem, make distribution easier for sodium oxybate competitors, disrupt continuity of care for Xyrem patients and/or negatively affect sales of Xyrem.</w:t>
      </w:r>
    </w:p>
    <w:p>
      <w:pPr>
        <w:spacing w:after="0" w:line="5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depend on outside vendors, including the central certified pharmacy, to implement the requirements of the Xyrem REMS. If the central pharmacy fails to meet the requirements of the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Xyrem prescriptions and our sales would be adversely affected. If we change to a new central pharmacy, new contracts might be required with government payors and other insurers who pay for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Xyrem under the Xyrem REMS. Transitioning to a new pharmacy could result in product shortages, which would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its approval of Hikma’s ANDA, the FDA waived the requirement of a single shared REMS between the brand drug and generic versions, approving Hikma’s ANDA with a generic sodium oxybate REMS separate from the Xyrem REMS, except for the requirement that the generic sodium oxybate REMS program pharmacies contact the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sodium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Xyrem as a treatment for cataplexy and EDS in narcolepsy, and prescribers’ willingness to prescribe, and patients’ willingness to take, Xyrem, any of which could have a material adverse effect on our Xyrem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may face pressure to further modify the Xyrem REMS or to license or share intellectual property pertinent to the Xyrem REMS, including proprietary data required for the safe distribution of sodium oxybate, in connection with the FDA’s approval of the generic sodium oxybate REMS or otherwise. Our settlement agreements with ANDA filers do not directly impact the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the FDA’s waiver of the single shared system REMS requirement, its approval and tentative approval of generic versions of sodium oxybate or the consequences of distribution of sodium oxybate through the generic sodium oxybate REMS approved by the FDA or another separate REMS.</w:t>
      </w:r>
    </w:p>
    <w:p>
      <w:pPr>
        <w:spacing w:after="0" w:line="5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the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the FDA additional authority regarding approval of generic products with REMS.</w:t>
      </w:r>
    </w:p>
    <w:p>
      <w:pPr>
        <w:spacing w:after="0" w:line="7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It is possible that the FTC, the FDA, other governmental authorities or other third parties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the FDA expressed concern that we were aware that the Xyrem REMS could have the effect of blocking or delaying generic competition. We cannot predict whether we would face a government investigation or a complaint by a third party premised on a claim that the Xyrem REMS is blocking competition, or the outcome or impact of any such claim.</w:t>
      </w:r>
    </w:p>
    <w:p>
      <w:pPr>
        <w:spacing w:after="0" w:line="57" w:lineRule="exact"/>
        <w:rPr>
          <w:sz w:val="20"/>
          <w:szCs w:val="20"/>
          <w:color w:val="auto"/>
        </w:rPr>
      </w:pPr>
    </w:p>
    <w:p>
      <w:pPr>
        <w:jc w:val="both"/>
        <w:ind w:right="60" w:firstLine="432"/>
        <w:spacing w:after="0" w:line="272" w:lineRule="auto"/>
        <w:rPr>
          <w:sz w:val="20"/>
          <w:szCs w:val="20"/>
          <w:color w:val="auto"/>
        </w:rPr>
      </w:pPr>
      <w:r>
        <w:rPr>
          <w:rFonts w:ascii="Arial" w:cs="Arial" w:eastAsia="Arial" w:hAnsi="Arial"/>
          <w:sz w:val="17"/>
          <w:szCs w:val="17"/>
          <w:color w:val="auto"/>
        </w:rPr>
        <w:t>Pharmaceutical companies, including their agents and employees, are required to monitor adverse events occurring during the use of their products and report them to the FDA. The patient counseling and monitoring requirements of the Xyrem REMS provide more extensive information about adverse events experienced by patients taking Xyrem, including deaths, than is generally available for other products that are not subject to similar REMS requirements. As required by the FDA and other regulatory agencies, the adverse event information that we collect for Xyrem is regularly reported to the FDA and could result in the FDA requiring changes to Xyrem labeling, including additional warnings or additional boxed warnings, or requiring us to take other actions that could have an adverse effect on patient and prescriber acceptance of Xyrem. As required by the FDA, Xyrem’s current labeling includes a boxed warning regarding the risk of central nervous system depression and misuse and abuse.</w:t>
      </w:r>
    </w:p>
    <w:p>
      <w:pPr>
        <w:spacing w:after="0" w:line="7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Any failure to demonstrate our substantial compliance with the REMS or any other applicable regulatory requirements to the satisfaction of the FDA or another regulatory authority could result in such regulatory authorities taking actions in the future which could have a material adverse effect on Xyrem sales and therefore on our business, financial condition, results of operations and growth prospects.</w:t>
      </w:r>
    </w:p>
    <w:p>
      <w:pPr>
        <w:spacing w:after="0" w:line="7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While Xyrem remains our largest product, our success also depends on our ability to effectively commercialize products outside our sleep and neuroscience therapeutic area.</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addition to Xyrem and our other sleep and neuroscience products and product candidates, we are commercializing a portfolio of products, including our other lead marketed products, Defitelio, Erwinaze and Vyxeos. An inability to effectively commercialize Defitelio and Vyxeos and to maximize their potential where possible through successful research and development activities, and an inability to retain marketing rights to Erwinaze after 2020, could have a material adverse effect on our business, financial condition, results of operations and growth prospects.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Defitelio</w:t>
      </w:r>
    </w:p>
    <w:p>
      <w:pPr>
        <w:spacing w:after="0" w:line="117" w:lineRule="exact"/>
        <w:rPr>
          <w:sz w:val="20"/>
          <w:szCs w:val="20"/>
          <w:color w:val="auto"/>
        </w:rPr>
      </w:pPr>
    </w:p>
    <w:p>
      <w:pPr>
        <w:ind w:right="60" w:firstLine="432"/>
        <w:spacing w:after="0" w:line="241" w:lineRule="auto"/>
        <w:rPr>
          <w:sz w:val="20"/>
          <w:szCs w:val="20"/>
          <w:color w:val="auto"/>
        </w:rPr>
      </w:pPr>
      <w:r>
        <w:rPr>
          <w:rFonts w:ascii="Arial" w:cs="Arial" w:eastAsia="Arial" w:hAnsi="Arial"/>
          <w:sz w:val="18"/>
          <w:szCs w:val="18"/>
          <w:color w:val="212529"/>
        </w:rPr>
        <w:t xml:space="preserve">Our ability to maintain and grow sales and to realize the anticipated benefits from our investment in </w:t>
      </w:r>
      <w:r>
        <w:rPr>
          <w:rFonts w:ascii="Arial" w:cs="Arial" w:eastAsia="Arial" w:hAnsi="Arial"/>
          <w:sz w:val="18"/>
          <w:szCs w:val="18"/>
          <w:color w:val="000000"/>
        </w:rPr>
        <w:t>Defitelio</w:t>
      </w:r>
      <w:r>
        <w:rPr>
          <w:rFonts w:ascii="Arial" w:cs="Arial" w:eastAsia="Arial" w:hAnsi="Arial"/>
          <w:sz w:val="25"/>
          <w:szCs w:val="25"/>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(defibrotide sodium)</w:t>
      </w:r>
      <w:r>
        <w:rPr>
          <w:rFonts w:ascii="Arial" w:cs="Arial" w:eastAsia="Arial" w:hAnsi="Arial"/>
          <w:sz w:val="18"/>
          <w:szCs w:val="18"/>
          <w:color w:val="212529"/>
        </w:rPr>
        <w:t xml:space="preserve"> is subject to a number of risks and uncertainties, including continued acceptance by hospital pharmacy and therapeutics committees in the U.S., the EU </w:t>
      </w:r>
      <w:r>
        <w:rPr>
          <w:rFonts w:ascii="Arial" w:cs="Arial" w:eastAsia="Arial" w:hAnsi="Arial"/>
          <w:sz w:val="18"/>
          <w:szCs w:val="18"/>
          <w:color w:val="000000"/>
        </w:rPr>
        <w:t>and other countries;</w:t>
      </w:r>
      <w:r>
        <w:rPr>
          <w:rFonts w:ascii="Arial" w:cs="Arial" w:eastAsia="Arial" w:hAnsi="Arial"/>
          <w:sz w:val="18"/>
          <w:szCs w:val="18"/>
          <w:color w:val="212529"/>
        </w:rPr>
        <w:t xml:space="preserve"> </w:t>
      </w:r>
      <w:r>
        <w:rPr>
          <w:rFonts w:ascii="Arial" w:cs="Arial" w:eastAsia="Arial" w:hAnsi="Arial"/>
          <w:sz w:val="18"/>
          <w:szCs w:val="18"/>
          <w:color w:val="000000"/>
        </w:rPr>
        <w:t xml:space="preserve">the </w:t>
      </w:r>
      <w:r>
        <w:rPr>
          <w:rFonts w:ascii="Arial" w:cs="Arial" w:eastAsia="Arial" w:hAnsi="Arial"/>
          <w:sz w:val="18"/>
          <w:szCs w:val="18"/>
          <w:color w:val="212529"/>
        </w:rPr>
        <w:t>continued availability of favorable pricing and adequate coverage and reimbursement</w:t>
      </w:r>
      <w:r>
        <w:rPr>
          <w:rFonts w:ascii="Arial" w:cs="Arial" w:eastAsia="Arial" w:hAnsi="Arial"/>
          <w:sz w:val="18"/>
          <w:szCs w:val="18"/>
          <w:color w:val="000000"/>
        </w:rPr>
        <w:t xml:space="preserve">; </w:t>
      </w:r>
      <w:r>
        <w:rPr>
          <w:rFonts w:ascii="Arial" w:cs="Arial" w:eastAsia="Arial" w:hAnsi="Arial"/>
          <w:sz w:val="18"/>
          <w:szCs w:val="18"/>
          <w:color w:val="212529"/>
        </w:rPr>
        <w:t>the limited experience of, and need to educate, physicians in</w:t>
      </w:r>
      <w:r>
        <w:rPr>
          <w:rFonts w:ascii="Arial" w:cs="Arial" w:eastAsia="Arial" w:hAnsi="Arial"/>
          <w:sz w:val="18"/>
          <w:szCs w:val="18"/>
          <w:color w:val="000000"/>
        </w:rPr>
        <w:t xml:space="preserve"> </w:t>
      </w:r>
      <w:r>
        <w:rPr>
          <w:rFonts w:ascii="Arial" w:cs="Arial" w:eastAsia="Arial" w:hAnsi="Arial"/>
          <w:sz w:val="18"/>
          <w:szCs w:val="18"/>
          <w:color w:val="212529"/>
        </w:rPr>
        <w:t xml:space="preserve">recognizing, diagnosing and treating </w:t>
      </w:r>
      <w:r>
        <w:rPr>
          <w:rFonts w:ascii="Arial" w:cs="Arial" w:eastAsia="Arial" w:hAnsi="Arial"/>
          <w:sz w:val="18"/>
          <w:szCs w:val="18"/>
          <w:color w:val="000000"/>
        </w:rPr>
        <w:t>hepatic veno-occlusive disease, or VOD, particularly in adults; the possibility that physicians recognizing VOD</w:t>
      </w:r>
      <w:r>
        <w:rPr>
          <w:rFonts w:ascii="Arial" w:cs="Arial" w:eastAsia="Arial" w:hAnsi="Arial"/>
          <w:sz w:val="18"/>
          <w:szCs w:val="18"/>
          <w:color w:val="212529"/>
        </w:rPr>
        <w:t xml:space="preserve"> </w:t>
      </w:r>
      <w:r>
        <w:rPr>
          <w:rFonts w:ascii="Arial" w:cs="Arial" w:eastAsia="Arial" w:hAnsi="Arial"/>
          <w:sz w:val="18"/>
          <w:szCs w:val="18"/>
          <w:color w:val="000000"/>
        </w:rPr>
        <w:t xml:space="preserve">symptoms may not initiate or may delay initiation of treatment while waiting for those symptoms to improve, or may terminate treatment before the end of the recommended dosing schedule; </w:t>
      </w:r>
      <w:r>
        <w:rPr>
          <w:rFonts w:ascii="Arial" w:cs="Arial" w:eastAsia="Arial" w:hAnsi="Arial"/>
          <w:sz w:val="18"/>
          <w:szCs w:val="18"/>
          <w:color w:val="212529"/>
        </w:rPr>
        <w:t>and the limited size of the population of VOD patients who are indicated for treatment with Defitelio (particularly if</w:t>
      </w:r>
      <w:r>
        <w:rPr>
          <w:rFonts w:ascii="Arial" w:cs="Arial" w:eastAsia="Arial" w:hAnsi="Arial"/>
          <w:sz w:val="18"/>
          <w:szCs w:val="18"/>
          <w:color w:val="000000"/>
        </w:rPr>
        <w:t xml:space="preserve"> </w:t>
      </w:r>
      <w:r>
        <w:rPr>
          <w:rFonts w:ascii="Arial" w:cs="Arial" w:eastAsia="Arial" w:hAnsi="Arial"/>
          <w:sz w:val="18"/>
          <w:szCs w:val="18"/>
          <w:color w:val="212529"/>
        </w:rPr>
        <w:t xml:space="preserve">changes in </w:t>
      </w:r>
      <w:r>
        <w:rPr>
          <w:rFonts w:ascii="Arial" w:cs="Arial" w:eastAsia="Arial" w:hAnsi="Arial"/>
          <w:sz w:val="18"/>
          <w:szCs w:val="18"/>
          <w:color w:val="000000"/>
        </w:rPr>
        <w:t>hematopoietic stem cell transplantation</w:t>
      </w:r>
      <w:r>
        <w:rPr>
          <w:rFonts w:ascii="Arial" w:cs="Arial" w:eastAsia="Arial" w:hAnsi="Arial"/>
          <w:sz w:val="18"/>
          <w:szCs w:val="18"/>
          <w:color w:val="212529"/>
        </w:rPr>
        <w:t xml:space="preserve"> treatment protocols reduce the incidence of VOD diagnosis and demand for Defitelio). If sales of Defitelio do not reach the levels we expect,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12529"/>
        </w:rPr>
        <w:t xml:space="preserve">anticipated revenue from the product will be negatively affected and our business, financial condition, results of operations and growth prospects could be materially adversely affected. </w:t>
      </w:r>
      <w:r>
        <w:rPr>
          <w:rFonts w:ascii="Arial" w:cs="Arial" w:eastAsia="Arial" w:hAnsi="Arial"/>
          <w:sz w:val="18"/>
          <w:szCs w:val="18"/>
          <w:color w:val="000000"/>
        </w:rPr>
        <w:t>In addition, because VOD is an ultra-rare disease, we have experienced inter-quarter variability in our Defitelio sales, which</w:t>
      </w:r>
      <w:r>
        <w:rPr>
          <w:rFonts w:ascii="Arial" w:cs="Arial" w:eastAsia="Arial" w:hAnsi="Arial"/>
          <w:sz w:val="18"/>
          <w:szCs w:val="18"/>
          <w:color w:val="212529"/>
        </w:rPr>
        <w:t xml:space="preserve"> </w:t>
      </w:r>
      <w:r>
        <w:rPr>
          <w:rFonts w:ascii="Arial" w:cs="Arial" w:eastAsia="Arial" w:hAnsi="Arial"/>
          <w:sz w:val="18"/>
          <w:szCs w:val="18"/>
          <w:color w:val="000000"/>
        </w:rPr>
        <w:t>makes Defitelio sales difficult to predict from period to period. As a result, Defitelio sales results or trends in any period may not necessarily be indicative of future performance.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Erwinaze</w:t>
      </w:r>
    </w:p>
    <w:p>
      <w:pPr>
        <w:spacing w:after="0" w:line="117" w:lineRule="exact"/>
        <w:rPr>
          <w:sz w:val="20"/>
          <w:szCs w:val="20"/>
          <w:color w:val="auto"/>
        </w:rPr>
      </w:pPr>
    </w:p>
    <w:p>
      <w:pPr>
        <w:ind w:right="40" w:firstLine="432"/>
        <w:spacing w:after="0" w:line="260" w:lineRule="auto"/>
        <w:rPr>
          <w:sz w:val="20"/>
          <w:szCs w:val="20"/>
          <w:color w:val="auto"/>
        </w:rPr>
      </w:pPr>
      <w:r>
        <w:rPr>
          <w:rFonts w:ascii="Arial" w:cs="Arial" w:eastAsia="Arial" w:hAnsi="Arial"/>
          <w:sz w:val="17"/>
          <w:szCs w:val="17"/>
          <w:color w:val="auto"/>
        </w:rPr>
        <w:t>Erwinaze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(asparaginase </w:t>
      </w:r>
      <w:r>
        <w:rPr>
          <w:rFonts w:ascii="Arial" w:cs="Arial" w:eastAsia="Arial" w:hAnsi="Arial"/>
          <w:sz w:val="17"/>
          <w:szCs w:val="17"/>
          <w:i w:val="1"/>
          <w:iCs w:val="1"/>
          <w:color w:val="auto"/>
        </w:rPr>
        <w:t>Erwinia chrysanthemi</w:t>
      </w:r>
      <w:r>
        <w:rPr>
          <w:rFonts w:ascii="Arial" w:cs="Arial" w:eastAsia="Arial" w:hAnsi="Arial"/>
          <w:sz w:val="17"/>
          <w:szCs w:val="17"/>
          <w:color w:val="auto"/>
        </w:rPr>
        <w:t xml:space="preserve">), which is approved to treat a limited population of patients with acute lymphoblastic leukemia, or ALL, </w:t>
      </w:r>
      <w:r>
        <w:rPr>
          <w:rFonts w:ascii="Arial" w:cs="Arial" w:eastAsia="Arial" w:hAnsi="Arial"/>
          <w:sz w:val="17"/>
          <w:szCs w:val="17"/>
          <w:color w:val="212529"/>
        </w:rPr>
        <w:t>who have developed hypersensitivity to</w:t>
      </w:r>
      <w:r>
        <w:rPr>
          <w:rFonts w:ascii="Arial" w:cs="Arial" w:eastAsia="Arial" w:hAnsi="Arial"/>
          <w:sz w:val="17"/>
          <w:szCs w:val="17"/>
          <w:color w:val="auto"/>
        </w:rPr>
        <w:t xml:space="preserve"> </w:t>
      </w:r>
      <w:r>
        <w:rPr>
          <w:rFonts w:ascii="Arial" w:cs="Arial" w:eastAsia="Arial" w:hAnsi="Arial"/>
          <w:sz w:val="17"/>
          <w:szCs w:val="17"/>
          <w:i w:val="1"/>
          <w:iCs w:val="1"/>
          <w:color w:val="212529"/>
        </w:rPr>
        <w:t>E. coli</w:t>
      </w:r>
      <w:r>
        <w:rPr>
          <w:rFonts w:ascii="Arial" w:cs="Arial" w:eastAsia="Arial" w:hAnsi="Arial"/>
          <w:sz w:val="17"/>
          <w:szCs w:val="17"/>
          <w:color w:val="212529"/>
        </w:rPr>
        <w:t>-derived asparaginase,</w:t>
      </w:r>
      <w:r>
        <w:rPr>
          <w:rFonts w:ascii="Arial" w:cs="Arial" w:eastAsia="Arial" w:hAnsi="Arial"/>
          <w:sz w:val="17"/>
          <w:szCs w:val="17"/>
          <w:color w:val="auto"/>
        </w:rPr>
        <w:t xml:space="preserve"> is licensed from, and manufactured by, a single source, Porton Biopharma Limited, or PBL, a company that is wholly owned by the UK Department of Health and Social Care. Our license and supply agreement with PBL, which includes an exclusive right to market, sell or distribute Erwinaze, an exclusive license to Erwinaze trademarks, and a non-exclusive license to PBL’s manufacturing know-how, will expire on December 31, 2020. Unless we and PBL enter into a new agreement, we will lose our licensed rights to exclusively market Erwinaze effective December 31, 2020, other than our right to sell certain Erwinaze inventory for a post-termination sales period of 12 months and certain other post-termination rights, including but not limited to intellectual property and data ownership. In such event, we may not be able to replace the product sales we would lose from Erwinaze, and our business, financial condition, results of operations and growth prospects would be materially adversely affected. In addition, </w:t>
      </w:r>
      <w:r>
        <w:rPr>
          <w:rFonts w:ascii="Arial" w:cs="Arial" w:eastAsia="Arial" w:hAnsi="Arial"/>
          <w:sz w:val="17"/>
          <w:szCs w:val="17"/>
          <w:color w:val="212529"/>
        </w:rPr>
        <w:t>a continuing and significant challenge to maintaining sales of Erwinaze and a barrier to increasing sales is PBL’s inability to consistently</w:t>
      </w:r>
      <w:r>
        <w:rPr>
          <w:rFonts w:ascii="Arial" w:cs="Arial" w:eastAsia="Arial" w:hAnsi="Arial"/>
          <w:sz w:val="17"/>
          <w:szCs w:val="17"/>
          <w:color w:val="auto"/>
        </w:rPr>
        <w:t xml:space="preserve"> </w:t>
      </w:r>
      <w:r>
        <w:rPr>
          <w:rFonts w:ascii="Arial" w:cs="Arial" w:eastAsia="Arial" w:hAnsi="Arial"/>
          <w:sz w:val="17"/>
          <w:szCs w:val="17"/>
          <w:color w:val="212529"/>
        </w:rPr>
        <w:t>supply product that meets specifications in quantities that are adequate to meet market demand, as discussed elsewhere in these risk factors. Such supply instability will continue to adversely impact our ability to generate sales of and revenues from Erwinaze and our business, financial condition, results of operations and growth prospects could be materially adversely affected</w:t>
      </w:r>
      <w:r>
        <w:rPr>
          <w:rFonts w:ascii="Arial" w:cs="Arial" w:eastAsia="Arial" w:hAnsi="Arial"/>
          <w:sz w:val="17"/>
          <w:szCs w:val="17"/>
          <w:color w:val="000000"/>
        </w:rPr>
        <w:t>. Other challenges facing</w:t>
      </w:r>
      <w:r>
        <w:rPr>
          <w:rFonts w:ascii="Arial" w:cs="Arial" w:eastAsia="Arial" w:hAnsi="Arial"/>
          <w:sz w:val="17"/>
          <w:szCs w:val="17"/>
          <w:color w:val="212529"/>
        </w:rPr>
        <w:t xml:space="preserve"> Erwinaze include the limited population of patients with ALL, and </w:t>
      </w:r>
      <w:r>
        <w:rPr>
          <w:rFonts w:ascii="Arial" w:cs="Arial" w:eastAsia="Arial" w:hAnsi="Arial"/>
          <w:sz w:val="17"/>
          <w:szCs w:val="17"/>
          <w:color w:val="000000"/>
        </w:rPr>
        <w:t>the incidence of hypersensitivity reactions to</w:t>
      </w:r>
      <w:r>
        <w:rPr>
          <w:rFonts w:ascii="Arial" w:cs="Arial" w:eastAsia="Arial" w:hAnsi="Arial"/>
          <w:sz w:val="17"/>
          <w:szCs w:val="17"/>
          <w:color w:val="212529"/>
        </w:rPr>
        <w:t xml:space="preserve"> </w:t>
      </w:r>
      <w:r>
        <w:rPr>
          <w:rFonts w:ascii="Arial" w:cs="Arial" w:eastAsia="Arial" w:hAnsi="Arial"/>
          <w:sz w:val="17"/>
          <w:szCs w:val="17"/>
          <w:i w:val="1"/>
          <w:iCs w:val="1"/>
          <w:color w:val="000000"/>
        </w:rPr>
        <w:t>E. coli</w:t>
      </w:r>
      <w:r>
        <w:rPr>
          <w:rFonts w:ascii="Arial" w:cs="Arial" w:eastAsia="Arial" w:hAnsi="Arial"/>
          <w:sz w:val="17"/>
          <w:szCs w:val="17"/>
          <w:color w:val="000000"/>
        </w:rPr>
        <w:t>-derived asparaginase within that population; the development and/or approval of new</w:t>
      </w:r>
      <w:r>
        <w:rPr>
          <w:rFonts w:ascii="Arial" w:cs="Arial" w:eastAsia="Arial" w:hAnsi="Arial"/>
          <w:sz w:val="17"/>
          <w:szCs w:val="17"/>
          <w:color w:val="212529"/>
        </w:rPr>
        <w:t xml:space="preserve"> </w:t>
      </w:r>
      <w:r>
        <w:rPr>
          <w:rFonts w:ascii="Arial" w:cs="Arial" w:eastAsia="Arial" w:hAnsi="Arial"/>
          <w:sz w:val="17"/>
          <w:szCs w:val="17"/>
          <w:color w:val="000000"/>
        </w:rPr>
        <w:t>asparaginase treatments or treatment protocols for ALL that may not include asparaginase-containing regimens and prescribers’ use of alternate methods to address hypersensitivity reactions; difficulties with obtaining and maintaining favorable pricing and reimbursement arrangements; and potential competition from future biosimilar products.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Vyxeos</w:t>
      </w:r>
    </w:p>
    <w:p>
      <w:pPr>
        <w:spacing w:after="0" w:line="117" w:lineRule="exact"/>
        <w:rPr>
          <w:sz w:val="20"/>
          <w:szCs w:val="20"/>
          <w:color w:val="auto"/>
        </w:rPr>
      </w:pPr>
    </w:p>
    <w:p>
      <w:pPr>
        <w:ind w:firstLine="432"/>
        <w:spacing w:after="0" w:line="258"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4"/>
          <w:szCs w:val="24"/>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 and</w:t>
      </w:r>
      <w:r>
        <w:rPr>
          <w:rFonts w:ascii="Arial" w:cs="Arial" w:eastAsia="Arial" w:hAnsi="Arial"/>
          <w:sz w:val="17"/>
          <w:szCs w:val="17"/>
          <w:color w:val="212529"/>
        </w:rPr>
        <w:t xml:space="preserve"> </w:t>
      </w:r>
      <w:r>
        <w:rPr>
          <w:rFonts w:ascii="Arial" w:cs="Arial" w:eastAsia="Arial" w:hAnsi="Arial"/>
          <w:sz w:val="17"/>
          <w:szCs w:val="17"/>
          <w:color w:val="000000"/>
        </w:rPr>
        <w:t xml:space="preserve">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 hospital pharmacy and</w:t>
      </w:r>
      <w:r>
        <w:rPr>
          <w:rFonts w:ascii="Arial" w:cs="Arial" w:eastAsia="Arial" w:hAnsi="Arial"/>
          <w:sz w:val="17"/>
          <w:szCs w:val="17"/>
          <w:color w:val="000000"/>
        </w:rPr>
        <w:t xml:space="preserve"> </w:t>
      </w:r>
      <w:r>
        <w:rPr>
          <w:rFonts w:ascii="Arial" w:cs="Arial" w:eastAsia="Arial" w:hAnsi="Arial"/>
          <w:sz w:val="17"/>
          <w:szCs w:val="17"/>
          <w:color w:val="212529"/>
        </w:rPr>
        <w:t xml:space="preserve">therapeutics committees in the U.S., the EU and other countries; </w:t>
      </w:r>
      <w:r>
        <w:rPr>
          <w:rFonts w:ascii="Arial" w:cs="Arial" w:eastAsia="Arial" w:hAnsi="Arial"/>
          <w:sz w:val="17"/>
          <w:szCs w:val="17"/>
          <w:color w:val="000000"/>
        </w:rPr>
        <w:t>the increasing complexity of the acute myeloid leukemia, or AML, landscape requiring</w:t>
      </w:r>
      <w:r>
        <w:rPr>
          <w:rFonts w:ascii="Arial" w:cs="Arial" w:eastAsia="Arial" w:hAnsi="Arial"/>
          <w:sz w:val="17"/>
          <w:szCs w:val="17"/>
          <w:color w:val="212529"/>
        </w:rPr>
        <w:t xml:space="preserve"> </w:t>
      </w:r>
      <w:r>
        <w:rPr>
          <w:rFonts w:ascii="Arial" w:cs="Arial" w:eastAsia="Arial" w:hAnsi="Arial"/>
          <w:sz w:val="17"/>
          <w:szCs w:val="17"/>
          <w:color w:val="000000"/>
        </w:rPr>
        <w:t xml:space="preserve">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limited size of the population of high-risk AML patients who may potentially be indicated for treatment with Vyxeos; </w:t>
      </w:r>
      <w:r>
        <w:rPr>
          <w:rFonts w:ascii="Arial" w:cs="Arial" w:eastAsia="Arial" w:hAnsi="Arial"/>
          <w:sz w:val="17"/>
          <w:szCs w:val="17"/>
          <w:color w:val="212529"/>
        </w:rPr>
        <w:t>the availability of adequate coverage, pricing and reimbursement approvals, competition from new and existing products and potential competition from products in development; and delays or problems in the supply or manufacture of Vyxeos. If sales of Vyxeos do not reach the levels we expect, our anticipated revenue from the product will be negatively affected, which could have a material adverse effect on our business, financial condition, results of operations and growth prospects.</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For a description of the competition that our lead marketed products and most advanced product candidates face or may face, see the discussion in “Business—Competition” in Part I, Item 1 of this Annual Report on Form 10-K and the risk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factor under the heading “</w:t>
      </w:r>
      <w:r>
        <w:rPr>
          <w:rFonts w:ascii="Arial" w:cs="Arial" w:eastAsia="Arial" w:hAnsi="Arial"/>
          <w:sz w:val="17"/>
          <w:szCs w:val="17"/>
          <w:i w:val="1"/>
          <w:iCs w:val="1"/>
          <w:color w:val="auto"/>
        </w:rPr>
        <w:t>The introduction of new products in the U.S. market that compete with, or otherwise disrupt the market for, our oxybate products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product candidates would adversely affect sales of our oxybate products and product candidates” </w:t>
      </w:r>
      <w:r>
        <w:rPr>
          <w:rFonts w:ascii="Arial" w:cs="Arial" w:eastAsia="Arial" w:hAnsi="Arial"/>
          <w:sz w:val="17"/>
          <w:szCs w:val="17"/>
          <w:color w:val="auto"/>
        </w:rPr>
        <w:t>in this Part I, Item 1A.</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federal healthcare program, or other third party commercial payors in the U.S. or elsewhere deny reimbursement for our products, limit the indications for which our products will be reimbursed, or provide reimbursement only on unfavorable terms.</w:t>
      </w:r>
    </w:p>
    <w:p>
      <w:pPr>
        <w:spacing w:after="0" w:line="8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benefits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Third party pharmacy benefit managers, or PBMs,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and third party payors may exert negotiating leverage by requiring incremental rebates, discounts or other concessions from manufacturers in order to maintain formulary positions, which could result in higher gross to net deductions for affected products. In this regard, we have started to enter into agreements with PBMs and payor accounts regarding formulary coverage for Xyrem and Sunosi, but we cannot guarantee that we will be able to agree to coverage terms with other PBMs and other third party payors.</w:t>
      </w:r>
    </w:p>
    <w:p>
      <w:pPr>
        <w:spacing w:after="0" w:line="5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Payors could decide to exclude Sunosi from formulary coverage lists, impose step edits that require patients to try alternative, including generic, treatments before authorizing payment for Sunosi, limit the types of diagnoses for which coverage will be provided or impose a moratorium on coverage for products while the payor makes a coverage decision. An inability to obtain or maintain adequate formulary positions could increase patient cost-sharing for Sunosi and cause some patients to determine not to use Sunosi. Any delays or unforeseen difficulties in obtaining access or reimbursement approvals could limit patient access, depress therapy adherence rates, and adversely impact our ability to successfully launch Sunosi. If we are unsuccessful in obtaining broad coverage for Sunosi, our anticipated revenue from and growth prospects for Sunosi could be negatively affected. We anticipate similar payor coverage risks with respect to JZP-258, if approved.</w:t>
      </w:r>
    </w:p>
    <w:p>
      <w:pPr>
        <w:spacing w:after="0" w:line="8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approval.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generic, products as an alternative to branded products, to keep healthcare costs down. Moreover, in order to obtain reimbursement for our products in some European countries, including some EU member states, we may be required to compile additional data comparing the cost-effectiveness of our products to other available therapies. If we are unable to maintain favorable pricing and reimbursement approvals in EU member states that represent significant markets, our anticipated revenue from and growth prospects for our products in the EU could be negatively affected. For example, the EC granted marketing authorization for Vyxeos in August 2018 and for Sunosi in January 2020, and, as part of our rolling launches of Vyxeos and Sunosi in Europe, we are making pricing and reimbursement submissions in European countries. If we experience setbacks or unforeseen difficulties in obtaining favorable pricing and reimbursement approvals, planned launches in the affected EU member states would be delayed, which could negatively impact anticipated revenue from and growth prospects for Vyxeos and/or Sunosi.</w:t>
      </w:r>
    </w:p>
    <w:p>
      <w:pPr>
        <w:spacing w:after="0" w:line="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For example, we anticipate that the U.S. Congress, state legislatures, and regulators may adopt or accelerate adoption of new healthcare policies and reforms intended to curb healthcare costs, such as federal and state controls on government-funded reimbursement for drugs (including Medicare, Medicaid) and commercial health plans, new or increased requirements to pay prescription drug rebates and penalties to government health care programs, and additional pharmaceutical cost transparency bills that aim to require drug companies to justify their prices through required disclosures. Additionally, proposals made part of proposed legislation and executive rule-making seek to utilize an “international pricing index” as a benchmark to determine the costs and potentially limit the reimbursement of drugs under Medicare Part B to more closely align with international drug prices. If the U.S. were to move to such a pricing system that were to apply to any of our products, our revenues from U.S. sales of such products could decrease.</w:t>
      </w:r>
    </w:p>
    <w:p>
      <w:pPr>
        <w:spacing w:after="0" w:line="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Legislative and regulatory proposals that have recently been considered include the potential authorization of prescription drug importation from other countries,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w:t>
      </w:r>
    </w:p>
    <w:p>
      <w:pPr>
        <w:spacing w:after="0" w:line="7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Some of the provisions of the Healthcare Reform Act have yet to be fully implemented, and certain provisions have been subject to judicial and Congressional challenges, as well as efforts by the current presidential administration to repeal or replace certain aspects of the Healthcare Reform Act and to alter the implementation of the Healthcare Reform Act and related laws. We expect that the Healthcare Reform Act and its implementation, efforts to repeal or replace, or invalidate, the Healthcare Reform Act or portions thereof and other healthcare reform measures that may be adopted in the future could have a material adverse effect on our industry generally and on our ability to maintain or increase sales of our products.</w:t>
      </w:r>
    </w:p>
    <w:p>
      <w:pPr>
        <w:spacing w:after="0" w:line="8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 We have periodically increased the price of Xyrem, most recently in January 2020, and there is no guarantee that we will be able to make similar price adjustments in the future or that price adjustments we have taken or may take in the future will not negatively affect Xyrem sales volumes and revenues from Xyrem. We also have made and may in the future make similar price increases on our other products. There is no guarantee that such price increases will not negatively affect our reputation and our ability to secure and maintain reimbursement coverage for our products, which could limit the prices that we charge for our products, including Xyrem, limit the commercial opportunities for our products and/or negatively impact revenues from sales of our products.</w:t>
      </w:r>
    </w:p>
    <w:p>
      <w:pPr>
        <w:spacing w:after="0" w:line="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expect that legislators, policymakers and healthcare insurance funds in Europe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5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600" w:firstLine="432"/>
        <w:spacing w:after="0" w:line="258"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1" w:lineRule="exact"/>
        <w:rPr>
          <w:sz w:val="20"/>
          <w:szCs w:val="20"/>
          <w:color w:val="auto"/>
        </w:rPr>
      </w:pPr>
    </w:p>
    <w:p>
      <w:pPr>
        <w:ind w:left="720" w:right="480" w:hanging="320"/>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and any restrictions placed upon the product in connection with its approval, such as a REMS, patient registry requirements or labeling restrictions;</w:t>
      </w: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20" w:right="220" w:hanging="320"/>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Xyrem, physician and patient assessment of the burdens associated with obtaining or maintaining the certifications required under the Xyrem REMS;</w:t>
      </w: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JZP-258 includes the same API as Xyrem, but uses a different mixture of salts. Patients, physicians and regulators may therefore view Xyrem or JZP 258, if approved, as the same as or similar to illicit GHB. In addition, there are regulators and some law enforcement agencies that oppose the prescription and use of Xyrem, and potentially other oxybate products generally because of their connection to GHB. Xyrem’s label includes information about adverse events from GHB.</w:t>
      </w:r>
    </w:p>
    <w:p>
      <w:pPr>
        <w:spacing w:after="0" w:line="58"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the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6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a manufacturing and development facility in Ireland where we manufacture Xyrem and development-stage oxybate products, including JZP-258, and a manufacturing plant in Italy where we produce the defibrotide drug substance. We currently do not have our own commercial manufacturing or packaging capability for our other products, product candidates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62"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The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8"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Erwinaze is licensed from, and manufactured for us by, a single source, PBL. A continuing and significant challenge to maintaining sales of Erwinaze and a barrier to increasing sales is PBL’s inability to consistently supply product that meets specifications in quantities that are adequate to meet market demand. All Erwinaze that PBL has been able to supply is currently completely absorbed by demand for the product, and erratic supply patterns have prevented us from meeting patient demand in some markets or from being able to expand to new markets or indications.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 in the future cause, us to implement batch-specific, modified product use instructions. We experienced limited product availability of Erwinaze and supply disruptions globally in 2019 and may experience continued supply disruptions in 2020. In addition, the FDA has issued a warning letter and FDA Forms 483 to PBL citing, among other things, significant violations of cGMP for finished pharmaceuticals and significant deviations from cGMP for APIs. We cannot predict whether the required remediation activities by PBL in connection with its prior warning letter and FDA Forms 483 will further strain PBL’s manufacturing capacity or otherwise further adversely affect Erwinaze supply.</w:t>
      </w:r>
    </w:p>
    <w:p>
      <w:pPr>
        <w:spacing w:after="0" w:line="65"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As capacity constraints and supply disruptions continue, whether as a result of continued quality or manufacturing challenges at PBL, regulatory issues or an inability to enforce our contractual rights, we will be unable to build product inventory, our ability to supply the market will continue to be compromised and physicians’ decisions to use Erwinaze will continue to be negatively impacted. In addition, any inability to comply with regulatory requirements of the FDA, the UK Medicines and Healthcare Products Regulatory Agency, or MHRA, or other competent authorities in the EU member states in which Erwinaze is subject to marketing authorizations, including any failure by PBL to correct the violations and deviations referenced above to the satisfaction of the FDA, or failure to meet regulatory specifications for the product, could further adversely affect Erwinaze supply, particularly in light of the historical limitations on the supply of Erwinaze, and could result in enforcement actions by the FDA, the MHRA or other EU member states’ competent authorities (including the issuance of the local equivalents of FDA Form 483s or warning letters), the approval of the FDA or other competent authorities being suspended, varied, or revoked, product release being delayed or suspended, including potentially the FDA refusing admission of Erwinaze in the U.S., or product being seized or recalled. Any of these actions could have a material adverse effect on our sales of, and revenues from, Erwinaze and further limit our future maintenance and potential growth of the market for this product.</w:t>
      </w:r>
    </w:p>
    <w:p>
      <w:pPr>
        <w:spacing w:after="0" w:line="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the FDA. As a result, we have qualified other suppliers for each API, and we provided the qualification data to the FDA. If the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the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testing, manufacturing and marketing of our products require regulatory approvals, including approval from the FDA and similar bodies in Europe and other countries. Obtaining marketing approval is a lengthy, expensive and uncertain process and approval is never assured. Our inability to obtain and maintain regulatory approval for our product candidates in the U.S. and Europe and to successfully commercialize new products that are approved would have a material adverse effect on our business, financial condition, results of operations and growth prospects.</w:t>
      </w:r>
    </w:p>
    <w:p>
      <w:pPr>
        <w:spacing w:after="0" w:line="6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January 2020, we submitted to the FDA our NDA for JZP-258. Delay or failure in obtaining approval of JZP-258 could have a negative impact on our ability to recoup our research and development costs and to successfully commercialize JZP-258, which could materially and adversely affect our business, financial condition, results of operations and growth prospects. In December 2019, Pharma Mar, S.A., the company from whom we obtained exclusive U.S. development and commercialization rights to lurbinectedin, submitted an NDA to the FDA in December 2019 for accelerated approval of lurbinectedin for relapsed small cell lung cancer, and in February 2020, the FDA accepted the NDA for filing with priority review. Delay or failure in obtaining approval of lurbinectedin could have a negative impact on our ability to receive a return on our investment in that product candidate and could have a material adverse effect on our business, financial condition, results of operations and growth prospects.</w:t>
      </w:r>
    </w:p>
    <w:p>
      <w:pPr>
        <w:spacing w:after="0" w:line="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We are pursuing activities related to the development of improved asparaginase products for patients with ALL or other hematological malignancies. Several of our external research and development collaborations are focused on these efforts, including our agreement with Pfenex, Inc., or Pfenex. Among the product candidates in collaboration with Pfenex is JZP-458, a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product candidate, for the potential treatment of ALL and lymphoblastic lymphoma who have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We also have clinical development efforts focused on expanding the potential of </w:t>
      </w:r>
      <w:r>
        <w:rPr>
          <w:rFonts w:ascii="Arial" w:cs="Arial" w:eastAsia="Arial" w:hAnsi="Arial"/>
          <w:sz w:val="18"/>
          <w:szCs w:val="18"/>
          <w:color w:val="212529"/>
        </w:rPr>
        <w:t>Defitelio, Vyxeos and Sunosi, as well as clinical development efforts focused on JZP-385</w:t>
      </w:r>
      <w:r>
        <w:rPr>
          <w:rFonts w:ascii="Arial" w:cs="Arial" w:eastAsia="Arial" w:hAnsi="Arial"/>
          <w:sz w:val="18"/>
          <w:szCs w:val="18"/>
          <w:color w:val="auto"/>
        </w:rPr>
        <w:t xml:space="preserve"> for the treatment of essential tremor</w:t>
      </w:r>
      <w:r>
        <w:rPr>
          <w:rFonts w:ascii="Arial" w:cs="Arial" w:eastAsia="Arial" w:hAnsi="Arial"/>
          <w:sz w:val="18"/>
          <w:szCs w:val="18"/>
          <w:color w:val="212529"/>
        </w:rPr>
        <w:t>. Because</w:t>
      </w:r>
      <w:r>
        <w:rPr>
          <w:rFonts w:ascii="Arial" w:cs="Arial" w:eastAsia="Arial" w:hAnsi="Arial"/>
          <w:sz w:val="18"/>
          <w:szCs w:val="18"/>
          <w:color w:val="auto"/>
        </w:rPr>
        <w:t xml:space="preserve"> </w:t>
      </w:r>
      <w:r>
        <w:rPr>
          <w:rFonts w:ascii="Arial" w:cs="Arial" w:eastAsia="Arial" w:hAnsi="Arial"/>
          <w:sz w:val="18"/>
          <w:szCs w:val="18"/>
          <w:color w:val="212529"/>
        </w:rPr>
        <w:t xml:space="preserve">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 </w:t>
      </w:r>
      <w:r>
        <w:rPr>
          <w:rFonts w:ascii="Arial" w:cs="Arial" w:eastAsia="Arial" w:hAnsi="Arial"/>
          <w:sz w:val="18"/>
          <w:szCs w:val="18"/>
          <w:color w:val="000000"/>
        </w:rPr>
        <w:t>If we are not successful in the clinical development of our product candidates, if we are unable to obtain regulatory approval for our</w:t>
      </w:r>
      <w:r>
        <w:rPr>
          <w:rFonts w:ascii="Arial" w:cs="Arial" w:eastAsia="Arial" w:hAnsi="Arial"/>
          <w:sz w:val="18"/>
          <w:szCs w:val="18"/>
          <w:color w:val="212529"/>
        </w:rPr>
        <w:t xml:space="preserve"> </w:t>
      </w:r>
      <w:r>
        <w:rPr>
          <w:rFonts w:ascii="Arial" w:cs="Arial" w:eastAsia="Arial" w:hAnsi="Arial"/>
          <w:sz w:val="18"/>
          <w:szCs w:val="18"/>
          <w:color w:val="000000"/>
        </w:rPr>
        <w:t>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 impair</w:t>
      </w:r>
      <w:r>
        <w:rPr>
          <w:rFonts w:ascii="Arial" w:cs="Arial" w:eastAsia="Arial" w:hAnsi="Arial"/>
          <w:sz w:val="18"/>
          <w:szCs w:val="18"/>
          <w:color w:val="auto"/>
        </w:rPr>
        <w:t xml:space="preserve"> </w:t>
      </w:r>
      <w:r>
        <w:rPr>
          <w:rFonts w:ascii="Arial" w:cs="Arial" w:eastAsia="Arial" w:hAnsi="Arial"/>
          <w:sz w:val="18"/>
          <w:szCs w:val="18"/>
          <w:color w:val="212529"/>
        </w:rPr>
        <w:t xml:space="preserve">our ability to grow our business. </w:t>
      </w:r>
      <w:r>
        <w:rPr>
          <w:rFonts w:ascii="Arial" w:cs="Arial" w:eastAsia="Arial" w:hAnsi="Arial"/>
          <w:sz w:val="18"/>
          <w:szCs w:val="18"/>
          <w:color w:val="000000"/>
        </w:rPr>
        <w:t>Other companies, many of which may have substantially greater financial, sales and marketing resources, compete with us</w:t>
      </w:r>
      <w:r>
        <w:rPr>
          <w:rFonts w:ascii="Arial" w:cs="Arial" w:eastAsia="Arial" w:hAnsi="Arial"/>
          <w:sz w:val="18"/>
          <w:szCs w:val="18"/>
          <w:color w:val="212529"/>
        </w:rPr>
        <w:t xml:space="preserve"> </w:t>
      </w:r>
      <w:r>
        <w:rPr>
          <w:rFonts w:ascii="Arial" w:cs="Arial" w:eastAsia="Arial" w:hAnsi="Arial"/>
          <w:sz w:val="18"/>
          <w:szCs w:val="18"/>
          <w:color w:val="000000"/>
        </w:rPr>
        <w:t>for these opportunities. Even if appropriate opportunities are available, we may not be able to successfully identify them, or we may not have the financial resources necessary to pursue them.</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67" w:lineRule="auto"/>
        <w:rPr>
          <w:sz w:val="20"/>
          <w:szCs w:val="20"/>
          <w:color w:val="auto"/>
        </w:rPr>
      </w:pPr>
      <w:r>
        <w:rPr>
          <w:rFonts w:ascii="Arial" w:cs="Arial" w:eastAsia="Arial" w:hAnsi="Arial"/>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7"/>
          <w:szCs w:val="17"/>
          <w:color w:val="212529"/>
        </w:rPr>
        <w:t>Further, while we seek to mitigate risks and liabilities of potential acquisitions and</w:t>
      </w:r>
      <w:r>
        <w:rPr>
          <w:rFonts w:ascii="Arial" w:cs="Arial" w:eastAsia="Arial" w:hAnsi="Arial"/>
          <w:sz w:val="17"/>
          <w:szCs w:val="17"/>
          <w:color w:val="auto"/>
        </w:rPr>
        <w:t xml:space="preserve"> </w:t>
      </w:r>
      <w:r>
        <w:rPr>
          <w:rFonts w:ascii="Arial" w:cs="Arial" w:eastAsia="Arial" w:hAnsi="Arial"/>
          <w:sz w:val="17"/>
          <w:szCs w:val="17"/>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7"/>
          <w:szCs w:val="17"/>
          <w:color w:val="000000"/>
        </w:rPr>
        <w:t>In addition, product and product candidate acquisitions, particularly</w:t>
      </w:r>
      <w:r>
        <w:rPr>
          <w:rFonts w:ascii="Arial" w:cs="Arial" w:eastAsia="Arial" w:hAnsi="Arial"/>
          <w:sz w:val="17"/>
          <w:szCs w:val="17"/>
          <w:color w:val="212529"/>
        </w:rPr>
        <w:t xml:space="preserve"> </w:t>
      </w:r>
      <w:r>
        <w:rPr>
          <w:rFonts w:ascii="Arial" w:cs="Arial" w:eastAsia="Arial" w:hAnsi="Arial"/>
          <w:sz w:val="17"/>
          <w:szCs w:val="17"/>
          <w:color w:val="000000"/>
        </w:rPr>
        <w:t>when the acquisition takes the form of a merger or other business consolidation, have required, and any similar future transactions will also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2"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8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the FDA determines that the safety or efficacy data submitted for the NDAs for JZP-258 or lurbinectedin, or to be submitted in the planned biologics license application, or BLA, for JZP-458, do not warrant marketing approval, we may be required to conduct additional clinical trials, which could be costly and time-consuming. Even if we believe we have successfully completed testing, the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the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35" w:lineRule="exact"/>
        <w:rPr>
          <w:sz w:val="20"/>
          <w:szCs w:val="20"/>
          <w:color w:val="auto"/>
        </w:rPr>
      </w:pPr>
    </w:p>
    <w:p>
      <w:pPr>
        <w:ind w:left="720" w:right="80" w:hanging="320"/>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hematology and oncology, with enrollment criteria targeting the same patient population;</w:t>
      </w:r>
    </w:p>
    <w:p>
      <w:pPr>
        <w:ind w:left="720" w:right="120" w:hanging="320"/>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20" w:right="680" w:hanging="320"/>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20" w:right="8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20" w:right="8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the FDA and other regulatory agencies’ requirements, including good clinical practices;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and maintaining approvals for the commercialization of some or all of our product candidates.</w:t>
      </w:r>
    </w:p>
    <w:p>
      <w:pPr>
        <w:spacing w:after="0" w:line="62"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We are not permitted to market a pharmaceutical product in the U.S. or in the EU member states until we receive approval from the FDA or a marketing authorization from the EC or the competent authorities of the EU member states, as applicable. If the FDA, the EC or the competent authorities of the EU member states determine that our quality, safety or efficacy data do not warrant marketing approval for a product candidate such as JZP-258, we could be required to conduct additional clinical trials as a condition to receiving approval, which could be costly and time-consuming and could delay or preclude the approval of our application. Any delay or failure in obtaining approval of a product candidate, our receipt of approval for narrower indications than sought, or burdens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May 2018, we purchased a rare pediatric disease priority review voucher for $110.0 million, which we redeemed in connection with the submission of our NDA for JZP-258 in January 2020. However, the redemption of our rare pediatric disease priority review voucher may not result in faster review or approval for JZP-258 compared to products considered for approval under conventional FDA procedures and, in any event, does not assure ultimate approval of JZP-258 by FDA. For example, the FDA could determine that our application is not sufficient to support approval with the label we have requested, and require amendments or additional data, which could delay or preclude the approval of our NDA.</w:t>
      </w:r>
    </w:p>
    <w:p>
      <w:pPr>
        <w:spacing w:after="0" w:line="6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to ensure that the benefits of the drug outweigh the risks. The FDA requires a REMS and a boxed warning for Xyrem, and similar restrictions could be imposed on other products in the future. For example, we expect that the FDA will require a REMS for approval of JZP-258. 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Defitelio, Erwinaze, Vyxeos and Sunosi. These post-marketing requirements and commitments include satisfactorily conducting multiple post-marketing clinical trials and safety studies. In the event that we are unable to comply with our post-marketing obligations imposed as part of the marketing approvals in the U.S. or EU, our approval may be varied, suspended or revoked, product supply may be delayed and our sales of and revenues from our products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79"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1" w:lineRule="exact"/>
        <w:rPr>
          <w:sz w:val="20"/>
          <w:szCs w:val="20"/>
          <w:color w:val="auto"/>
        </w:rPr>
      </w:pPr>
    </w:p>
    <w:p>
      <w:pPr>
        <w:ind w:left="5620" w:right="3980" w:hanging="5220"/>
        <w:spacing w:after="0" w:line="511"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 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right="240" w:hanging="320"/>
        <w:spacing w:after="0" w:line="29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ind w:left="720" w:right="12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20" w:right="56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20" w:right="66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be issued patents that prevent the sale of our products or require licensing and the payment of significant fees or royalties.</w:t>
      </w:r>
    </w:p>
    <w:p>
      <w:pPr>
        <w:spacing w:after="0" w:line="103"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Patent enforcement generally must be sought on a country-by-country basis, and issues of patent validity and infringement may be judged differently in different countries.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w:t>
      </w:r>
    </w:p>
    <w:p>
      <w:pPr>
        <w:spacing w:after="0" w:line="3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4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the FDA’s publication “Approved Drug Products with Therapeutic Equivalence Evaluations,” or the Orange Book, that expire in 2033 that cover treatment methods included in the Xyrem label related to a drug-drug interaction, or DDI, with divalproex sodium. Although the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the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61"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also currently rely on trade secret protection for several of our products, including Erwinaze and Defitelio.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Trade secret protection also requires that information be secret and subject to reasonable efforts to maintain secrecy, and this requirement may come into conflict with requirements to provide information to employees, consultants, business partners, and regulatory bodies.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some instances, we also rely on regulatory exclusivity to protect our commercial position. For example, Erwinaze was granted orphan drug exclusivity by the FDA for the treatment of ALL in the U.S. for a seven-year period from its FDA approval, which had precluded approval of another product with the same principal molecular structure for the same indication until November 2018. As a biologic product approved under a BLA, Erwinaze is also subject to the U.S. Biologics Price Competition and Innovation Act, or BPCIA, and accordingly should be protected by exclusivity that prevents approval of a biosimilar in the U.S. through late 2023 under the BPCIA. However, interpretation of regulatory exclusivity under the BPCIA may evolve over time based on FDA issuance of guidance documents, proposed regulations or decisions made by the FDA in the course of considering specific applications. In addition, the BPCIA exclusivity period does not prevent another company from independently developing a product that is highly similar to Erwinaze, generating all the data necessary for a full BLA and seeking approval. As a result, it is possible that a potential competing drug product might obtain FDA approval before the expected BPCIA exclusivity period has expired, which would adversely affect our sales of Erwinaze if we are able to maintain our marketing rights to that product. In the EU, the regulatory data protection that provides an exclusivity period for Erwinase has lapsed. Any new marketing authorizations for Erwinase in other EU member states will not receive any regulatory data protection. If a biosimilar product to Erwinaze is approved as interchangeable to Erwinaze in the U.S. or in other countries where Erwinaze is sold, a significant percentage of the prescriptions that could be filled by Erwinaze, if commercially available,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6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or IPR, process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7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There is a risk that a court or the PTAB could decide that our patents or certain claims in our patents are not valid or infringed, and that we do not have the right to stop a third party from using the inventions covered by those claims, as happened with six of our patents covering the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there could be extensive litigation over whether any settlement that we have entered into or might enter into in the future constitutes a reasonable and lawful patent settlement. Parties to such settlement agreements in the U.S. are required by law to file the agreements with the FTC and the U.S. Department of Justice, or DOJ, for review. Accordingly, we have submitted our ANDA litigation settlement agreements to the FTC and the DOJ for review. We may receive formal or informal requests from the FTC regarding our ANDA litigation settlements, and there is a risk that the FTC may commence a formal investigation or action against us, or a third party may initiate civil litigation regarding such settlements,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2" w:lineRule="exact"/>
        <w:rPr>
          <w:sz w:val="20"/>
          <w:szCs w:val="20"/>
          <w:color w:val="auto"/>
        </w:rPr>
      </w:pPr>
    </w:p>
    <w:p>
      <w:pPr>
        <w:ind w:left="720" w:hanging="320"/>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diverse regulatory, financial and legal requirements in the countries where we are located or do business, and any changes to those requirements;</w:t>
      </w:r>
    </w:p>
    <w:p>
      <w:pPr>
        <w:spacing w:after="0" w:line="32" w:lineRule="exact"/>
        <w:rPr>
          <w:rFonts w:ascii="Arial" w:cs="Arial" w:eastAsia="Arial" w:hAnsi="Arial"/>
          <w:sz w:val="16"/>
          <w:szCs w:val="16"/>
          <w:color w:val="auto"/>
        </w:rPr>
      </w:pPr>
    </w:p>
    <w:p>
      <w:pPr>
        <w:ind w:left="720" w:right="140" w:hanging="320"/>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20" w:right="700" w:hanging="320"/>
        <w:spacing w:after="0" w:line="26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health risks, such as the recent spread in China of coronavirus in early 2020 and potential related effects on supply chain, travel and employee health and availability.</w:t>
      </w:r>
    </w:p>
    <w:p>
      <w:pPr>
        <w:spacing w:after="0" w:line="7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Brexit will continue to create significant uncertainty concerning the future relationship between the UK and the EU, particularly if the recent UK withdrawal from the EU in January 2020 is followed by a failure to agree to a future trading relationship between the EU and the UK. Since a significant portion of the regulatory framework in the UK is derived from EU laws, Brexit could materially impact the regulatory regime with respect to the development, manufacture, importation, approval and commercialization of our product candidates in the UK or the EU. For example, there is a risk that the scope of a marketing authorization for a medicinal product granted by the EC or by the competent authorities of EU member states will not encompass the UK. In these circumstances, a separate authorization granted by the UK competent authorities will be required to place medicinal products on the UK market. In addition, our ability to rely on UK manufacturing sites for products intended for the EU market will depend on the terms of the trade agreements concluded between the EU and the UK in the coming months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to manufacture products for supply to the EU market. All of these changes, if they occur, could increase our costs and otherwise adversely affect our business. In addition, currency exchange rates for the British Pound and the euro with respect to each other and to the U.S. dollar have already been, and may be continue to be, negatively affected by Brexit, which could cause volatility in our quarterly financial results.</w:t>
      </w:r>
    </w:p>
    <w:p>
      <w:pPr>
        <w:spacing w:after="0" w:line="8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recent withdrawal from the EU will impact our business, particularly our ability to conduct international business from a base of operations in the UK. The UK could lose the benefits of global trade agreements negotiated by the EU on behalf of its members,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otherwise, could increase our cost of doing business, reduce our gross margins or otherwise negatively impact our business and our financial results.</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ordinary course of our business, we collect, store, process and transmit large amounts of confidential information, including intellectual property, proprietary business information and personal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7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4"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to comply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The FDA and the competent authorities of the EU member states on behalf of the European Medicines Agency, or EMA,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6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Erwinaze, defibrotide and Vyxeos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FDA, the competent authorities of the EU member states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this Annual Report on Form 10-K. While we maintain a comprehensive compliance program to try to ensure that our practices and the activities of our third-party contractors and employees fall within the scope of available statutory exceptions and regulatory safe harbors, regulators and enforcement agencies may disagree with our assessment or find fault with the conduct of our employees or contractors. In addition, existing regulations are subject to regulatory revision or changes in interpretation by the DOJ or OIG.</w:t>
      </w:r>
    </w:p>
    <w:p>
      <w:pPr>
        <w:spacing w:after="0" w:line="8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 xml:space="preserve">Many companies have faced government investigations or lawsuits by whistleblowers who bring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under the False Claims Act on behalf of themselves and the government for a variety of alleged improper marketing activities,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Public reporting under the Physician Payment Sunshine Act, or Sunshine, provisions and other similar state laws, the requirements of which are discussed in “Business—Government Regulation” in Part I, Item 1 of this Annual Report on Form 10-K, has resulted in increased scrutiny of the financial relationships between industry, teaching hospitals, physicians and other healthcare providers.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5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the past, payors brought class action lawsuits challenging the legality of manufacturer co-pay programs under a variety of federal and state laws and insurers have taken actions through their network pharmacies and PBMs to restrict manufacturer co-pay programs.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charities, are entirely independent of and not controlled by the manufacturer, provide aid to applicants on a first-come basis according to consistent financial criteria, and do not link aid to use of a donor’s product. Although we have structured our programs to follow available guidance,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w:t>
      </w:r>
    </w:p>
    <w:p>
      <w:pPr>
        <w:spacing w:after="0" w:line="8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In the event of a breach of the corporate integrity agreement, we could become liable for payment of certain stipulated penalties or could be excluded from participation in federal health care programs, which would have a material adverse effect on our sales, business and financial condition.</w:t>
      </w:r>
    </w:p>
    <w:p>
      <w:pPr>
        <w:spacing w:after="0" w:line="5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may also become subject to similar investigations by other state or federal governmental agencies or offices of our patient assistance programs or other business practices, which could result in damages, fines, penalties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8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Exchange Commission, or SEC,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3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Outside the U.S., interactions between pharmaceutical companies and physicians are also governed by strict laws, such as national anti-bribery laws of European countries,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Xyrem and Sunosi are controlled substances under the Controlled Substances Act. Our suppliers, distributors, clinical sites and prescribers, as well as retail pharmacies for Sunosi and the central pharmacy for Xyrem,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w:t>
      </w:r>
    </w:p>
    <w:p>
      <w:pPr>
        <w:spacing w:after="0" w:line="5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are also subject to data protection and privacy laws and regulations governing the processing of personal data. If we or our third party partners fail to comply with applicable data protection and privacy laws and regulations, we could be subject to government enforcement actions and significant penalties against us, criminal and civil liability for us and our officers and directors, private litigation and/or adverse publicity. In addition, our business could be adversely impacted if our ability to transfer personal data outside of the European Economic Area or Switzerland is restricted, which could adversely impact our operating results. 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5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participate in the Medicaid Drug Rebate program, the 340B program, the U.S. Department of Veterans Affairs, Federal Supply Schedule, or FSS, pricing program,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this Annual Report on Form 10-K.</w:t>
      </w:r>
    </w:p>
    <w:p>
      <w:pPr>
        <w:spacing w:after="0" w:line="7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Centers for Medicare and Medicaid Services, or CMS, could also decide to terminate our Medicaid drug rebate agreement, in which case federal payments may not be available under Medicaid or Medicare Part B for our covered outpatient drugs.</w:t>
      </w:r>
    </w:p>
    <w:p>
      <w:pPr>
        <w:spacing w:after="0" w:line="80"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compliance, has been and will continue to be time-consuming to implement, and could have a material adverse effect on our results of operations, particularly if CMS challenges the approach we take in our implementation of the final regulation.</w:t>
      </w:r>
    </w:p>
    <w:p>
      <w:pPr>
        <w:spacing w:after="0" w:line="6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Further, any additional future changes to the definition of average manufacturer price and the Medicaid rebate amount under the Healthcare Reform Act or otherwise could affect our 340B ceiling price calculations and negatively impact our results of operations.</w:t>
      </w:r>
    </w:p>
    <w:p>
      <w:pPr>
        <w:spacing w:after="0" w:line="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3"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which could cause us to incur significant expense, hinder execution of our business strategy and impact our stock price.</w:t>
      </w:r>
    </w:p>
    <w:p>
      <w:pPr>
        <w:spacing w:after="0" w:line="6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If we become the subject of certain forms of shareholder activism, such as proxy contests,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8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the FDA, the EC or the competent authorities of the EU member states could lead to product liability lawsuits as well.</w:t>
      </w:r>
    </w:p>
    <w:p>
      <w:pPr>
        <w:spacing w:after="0" w:line="8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we had total indebtedness of approximately $1.8 billion. Our substantial indebtedness may:</w:t>
      </w:r>
    </w:p>
    <w:p>
      <w:pPr>
        <w:spacing w:after="0" w:line="23" w:lineRule="exact"/>
        <w:rPr>
          <w:sz w:val="20"/>
          <w:szCs w:val="20"/>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720" w:right="400" w:hanging="320"/>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investments or other general business purposes;</w:t>
      </w: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20" w:right="120" w:hanging="320"/>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720" w:hanging="320"/>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that we entered into in June 2015 and subsequently amended, which we refer to as the amended credit agreement, the lenders under the amended credit agreement could proceed against the collateral granted to them to secure that debt, which would seriously harm our business.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amended credit agreement contains various covenants that, among other things, limit our ability and/or our restricted subsidiaries’ ability to:</w:t>
      </w:r>
    </w:p>
    <w:p>
      <w:pPr>
        <w:spacing w:after="0" w:line="35" w:lineRule="exact"/>
        <w:rPr>
          <w:sz w:val="20"/>
          <w:szCs w:val="20"/>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amended credit agreement also includes certain financial covenants that require us to maintain a maximum secured leverage ratio and a minimum interest coverage ratio.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 A default under those indentures could also lead to a default under other debt agreements or obligations, including the amended credit agreement. Likewise, a default under the amended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could also lead to a default under other debt agreements or obligations, including the indentures governing our exchangeable senior notes.</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 xml:space="preserve">The scope of our business and operations has grown substantially since 2012, including through a series of business combinations and acquisitions. To continue to grow </w:t>
      </w:r>
      <w:r>
        <w:rPr>
          <w:rFonts w:ascii="Arial" w:cs="Arial" w:eastAsia="Arial" w:hAnsi="Arial"/>
          <w:sz w:val="17"/>
          <w:szCs w:val="17"/>
          <w:color w:val="212529"/>
        </w:rPr>
        <w:t>our business over the longer term, we plan to commit substantial resources to product acquisition and in-licensing, product development,</w:t>
      </w:r>
      <w:r>
        <w:rPr>
          <w:rFonts w:ascii="Arial" w:cs="Arial" w:eastAsia="Arial" w:hAnsi="Arial"/>
          <w:sz w:val="17"/>
          <w:szCs w:val="17"/>
          <w:color w:val="auto"/>
        </w:rPr>
        <w:t xml:space="preserve"> </w:t>
      </w:r>
      <w:r>
        <w:rPr>
          <w:rFonts w:ascii="Arial" w:cs="Arial" w:eastAsia="Arial" w:hAnsi="Arial"/>
          <w:sz w:val="17"/>
          <w:szCs w:val="17"/>
          <w:color w:val="212529"/>
        </w:rPr>
        <w:t xml:space="preserve">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In </w:t>
      </w:r>
      <w:r>
        <w:rPr>
          <w:rFonts w:ascii="Arial" w:cs="Arial" w:eastAsia="Arial" w:hAnsi="Arial"/>
          <w:sz w:val="17"/>
          <w:szCs w:val="17"/>
          <w:color w:val="000000"/>
        </w:rPr>
        <w:t>the event</w:t>
      </w:r>
      <w:r>
        <w:rPr>
          <w:rFonts w:ascii="Arial" w:cs="Arial" w:eastAsia="Arial" w:hAnsi="Arial"/>
          <w:sz w:val="17"/>
          <w:szCs w:val="17"/>
          <w:color w:val="212529"/>
        </w:rPr>
        <w:t xml:space="preserve"> </w:t>
      </w:r>
      <w:r>
        <w:rPr>
          <w:rFonts w:ascii="Arial" w:cs="Arial" w:eastAsia="Arial" w:hAnsi="Arial"/>
          <w:sz w:val="17"/>
          <w:szCs w:val="17"/>
          <w:color w:val="000000"/>
        </w:rPr>
        <w:t>of adverse capital and credit market conditions, we may not be able to borrow or raise additional capital on attractive terms, or at all, which could prevent us from expanding our business and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3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Erwinase and Vyxeos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stock in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8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3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8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165"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On December 22, 2017, the U.S. Tax Cuts and Jobs Act, or U.S. Tax Act, was signed into law. The U.S. Tax Act made broad and complex changes to the U.S. tax code. The U.S. Department of Treasury has issued limited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70"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6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market price for our ordinary shares has fluctuated significantly from time to time and is likely to continue to be volatile and subject to significant price and volume fluctuations in response to market, industry and other factors, including the risk factors described above. The stock market in general, including the market for life sciences companies, has experienced extreme price and trading volume fluctuations that have often been unrelated or disproportionate to the operating performance of those companies. These broad market and industry factors have harmed, and in the future may seriously harm, the market price of our ordinary shares, regardless of our operating performance.</w:t>
      </w:r>
    </w:p>
    <w:p>
      <w:pPr>
        <w:spacing w:after="0" w:line="80"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our exchangeable senior notes contain provisions that could delay or prevent a takeover of us by a third party.</w:t>
      </w:r>
    </w:p>
    <w:p>
      <w:pPr>
        <w:spacing w:after="0" w:line="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the indentures governing our exchangeable senior notes require us to repurchase our exchangeable senior notes for cash if we undergo certain fundamental changes and, in certain circumstances, to increase the exchange rate for a holder of our exchangeable senior notes. A takeover of us may trigger the requirement that we purchase our exchangeable senior notes and/or increase the exchange rate, which could make it more costly for a potential acquiror to engage in a business combination transaction with us.</w:t>
      </w:r>
    </w:p>
    <w:p>
      <w:pPr>
        <w:spacing w:after="0" w:line="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our ordinary shares. These provisions, whether alone or together, could also discourage proxy contests and make it more difficult for our shareholders to elect directors other than the candidates nominated by our board.</w:t>
      </w:r>
    </w:p>
    <w:p>
      <w:pPr>
        <w:spacing w:after="0" w:line="62"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6"/>
          <w:szCs w:val="16"/>
          <w:color w:val="000000"/>
        </w:rPr>
        <w:t>To the extent we raise additional capital by issuing equity securities or securities convertible into or</w:t>
      </w:r>
      <w:r>
        <w:rPr>
          <w:rFonts w:ascii="Arial" w:cs="Arial" w:eastAsia="Arial" w:hAnsi="Arial"/>
          <w:sz w:val="16"/>
          <w:szCs w:val="16"/>
          <w:color w:val="212529"/>
        </w:rPr>
        <w:t xml:space="preserve"> </w:t>
      </w:r>
      <w:r>
        <w:rPr>
          <w:rFonts w:ascii="Arial" w:cs="Arial" w:eastAsia="Arial" w:hAnsi="Arial"/>
          <w:sz w:val="16"/>
          <w:szCs w:val="16"/>
          <w:color w:val="000000"/>
        </w:rPr>
        <w:t>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5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2019 fiscal year relating to our periodic or current reports under the Securities Exchange Act of 1934, as amended.</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corporate headquarters are located in Dublin, Ireland, and our U.S. operations are located in Palo Alto, California, Philadelphia, Pennsylvania and Ewing, New Jersey.</w:t>
      </w:r>
    </w:p>
    <w:p>
      <w:pPr>
        <w:spacing w:after="0" w:line="6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lease approximately 45,000 square feet of office space in Dublin, Ireland. This lease expires in December 2036, with an option to terminate in December 2024 with no less than one year’s prior written notice and the payment of a termination fee, and a further option to terminate in December 2031 with no less than one year’s prior written notice. We own approximately 58,000 square foot of manufacturing and development facility in Athlone, Ireland, which is primarily used for the manufacture of Xyrem and development-stage products.</w:t>
      </w:r>
    </w:p>
    <w:p>
      <w:pPr>
        <w:spacing w:after="0" w:line="7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Palo Alto, California, we occupy a total of approximately 198,000 square feet of office space, 99,000 square feet of which is under a lease that expires in October 2029 and has an option to terminate in October 2027 with no less than one year’s prior written notice and the payment of a termination fee. The remaining 99,000 square feet is under a lease that expires in July 2031 and an option to terminate in October 2027 with no less than one year’s prior written notice and the payment of a termination fee. We have an option to extend the terms of both leases twice for a period of five years each.</w:t>
      </w:r>
    </w:p>
    <w:p>
      <w:pPr>
        <w:spacing w:after="0" w:line="46"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We occupy approximately 60,000 square feet of office space in Philadelphia, Pennsylvania under a lease that expires in April 2029. We occupy approximately 26,000 square feet of office space in Oxford, United Kingdom under a lease that expires in April 2028. We own a manufacturing facility in Villa Guardia (Como), Italy, which is primarily used for the manufacture of Defitelio. The manufacturing facility is approximately 45,000 square feet. We also lease approximately 34,000 square feet of office and laboratory space in Villa Guardia (Como), Italy under a lease that expires in December 2023. In addition, we have offices in Canada, France and elsewhere in Europe.</w:t>
      </w:r>
    </w:p>
    <w:p>
      <w:pPr>
        <w:spacing w:after="0" w:line="8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125" w:right="4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6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3880" w:firstLine="432"/>
        <w:spacing w:after="0" w:line="375" w:lineRule="auto"/>
        <w:rPr>
          <w:sz w:val="20"/>
          <w:szCs w:val="20"/>
          <w:color w:val="auto"/>
        </w:rPr>
      </w:pPr>
      <w:r>
        <w:rPr>
          <w:rFonts w:ascii="Arial" w:cs="Arial" w:eastAsia="Arial" w:hAnsi="Arial"/>
          <w:sz w:val="18"/>
          <w:szCs w:val="18"/>
          <w:color w:val="auto"/>
        </w:rPr>
        <w:t xml:space="preserve">Our ordinary shares trade on The Nasdaq Global Select Market under the trading symbol “JAZZ.” </w:t>
      </w:r>
      <w:r>
        <w:rPr>
          <w:rFonts w:ascii="Arial" w:cs="Arial" w:eastAsia="Arial" w:hAnsi="Arial"/>
          <w:sz w:val="18"/>
          <w:szCs w:val="18"/>
          <w:b w:val="1"/>
          <w:bCs w:val="1"/>
          <w:color w:val="auto"/>
        </w:rPr>
        <w:t>Holders of Ordinary Shares</w:t>
      </w:r>
    </w:p>
    <w:p>
      <w:pPr>
        <w:spacing w:after="0" w:line="1"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As of February 18, 2020, there were three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2019 and 2018, we did not declare or pay cash dividends on our common equity and 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any current credit agreement and other factors our board of directors deems relevant.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2019, there were no unregistered sales of equity securities by us during the year ended December 31,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 Republic of Guinea-Bissau, Afghanistan, Egypt, Eritrea, Libya, Syria, Tunisia, certain known terrorists and terrorist groups, countries that harbor certain terrorist groups and Ukraine without the prior permission of the Central Bank of Ireland.</w:t>
      </w:r>
    </w:p>
    <w:p>
      <w:pPr>
        <w:spacing w:after="0" w:line="65"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Irish Tax on Dividends. </w:t>
      </w:r>
      <w:r>
        <w:rPr>
          <w:rFonts w:ascii="Arial" w:cs="Arial" w:eastAsia="Arial" w:hAnsi="Arial"/>
          <w:sz w:val="18"/>
          <w:szCs w:val="18"/>
          <w:color w:val="auto"/>
        </w:rPr>
        <w:t>While we have no current plans to pay dividends, dividends on our ordinary shares would generally be subject to Irish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at the standard rate (currently 25%), unless an exemption applies.</w:t>
      </w:r>
    </w:p>
    <w:p>
      <w:pPr>
        <w:spacing w:after="0" w:line="6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trade or business carried on by such shareholder in Ireland through a branch or agency should not be subject to Irish tax on capital gains on a disposal of our ordinary shares.</w:t>
      </w:r>
    </w:p>
    <w:p>
      <w:pPr>
        <w:spacing w:after="0" w:line="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4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 xml:space="preserve">Stamp Duty. </w:t>
      </w:r>
      <w:r>
        <w:rPr>
          <w:rFonts w:ascii="Arial" w:cs="Arial" w:eastAsia="Arial" w:hAnsi="Arial"/>
          <w:sz w:val="17"/>
          <w:szCs w:val="17"/>
          <w:color w:val="auto"/>
        </w:rPr>
        <w:t>Irish stamp duty (if any) may become payable in respect of ordinary share transfers. However, a transfer of our ordinary shares from a</w:t>
      </w:r>
      <w:r>
        <w:rPr>
          <w:rFonts w:ascii="Arial" w:cs="Arial" w:eastAsia="Arial" w:hAnsi="Arial"/>
          <w:sz w:val="17"/>
          <w:szCs w:val="17"/>
          <w:i w:val="1"/>
          <w:iCs w:val="1"/>
          <w:color w:val="auto"/>
        </w:rPr>
        <w:t xml:space="preserve"> </w:t>
      </w:r>
      <w:r>
        <w:rPr>
          <w:rFonts w:ascii="Arial" w:cs="Arial" w:eastAsia="Arial" w:hAnsi="Arial"/>
          <w:sz w:val="17"/>
          <w:szCs w:val="17"/>
          <w:color w:val="auto"/>
        </w:rPr>
        <w:t>seller who holds shares through Depository Trust Company, or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7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12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following graph shows the total shareholder return on the last day of each year of an investment of $100 in cash as if made on December 31, 2014 in (i) our ordinary shares; (ii) the Nasdaq Composite Index; and (iii) the Nasdaq Biotechnology Index through December 31, 2019. The shareholder return shown in the graph below is not necessarily indicative of future performance, and we do not make or endorse any predictions as to future shareholder returns.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120015</wp:posOffset>
            </wp:positionV>
            <wp:extent cx="5222875" cy="3155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287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540" w:right="40" w:hanging="316"/>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73"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10b-18(a)(3) under the Exchange Act during each fiscal month during the three-month period ended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57,300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57,300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681,006,700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 November 30,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555,852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555,852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605,174,166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183,345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149.49</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183,345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577,732,249</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796,497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138.53</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796,497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right="480" w:hanging="316"/>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column does not include ordinary shares that we withheld in order to satisfy minimum tax withholding requirements in connection with the vesting of restricted stock units.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price paid per share includes brokerage commissions.</w:t>
      </w:r>
    </w:p>
    <w:p>
      <w:pPr>
        <w:spacing w:after="0" w:line="9" w:lineRule="exact"/>
        <w:rPr>
          <w:rFonts w:ascii="Arial" w:cs="Arial" w:eastAsia="Arial" w:hAnsi="Arial"/>
          <w:sz w:val="18"/>
          <w:szCs w:val="18"/>
          <w:color w:val="auto"/>
        </w:rPr>
      </w:pPr>
    </w:p>
    <w:p>
      <w:pPr>
        <w:ind w:left="540" w:right="80" w:hanging="316"/>
        <w:spacing w:after="0" w:line="25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ordinary shares reported in this column above were purchased pursuant to our publicly announced share repurchase program. In November 2016, we announced that our board of directors authorized the use of up to $300 million to repurchase our ordinary shares. In November and December 2018, our board of directors increased the existing share repurchase program authorization by $320.0 million and $400.0 million, respectively. In October 2019, our board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40" w:right="520"/>
        <w:spacing w:after="0" w:line="258" w:lineRule="auto"/>
        <w:rPr>
          <w:sz w:val="20"/>
          <w:szCs w:val="20"/>
          <w:color w:val="auto"/>
        </w:rPr>
      </w:pPr>
      <w:r>
        <w:rPr>
          <w:rFonts w:ascii="Arial" w:cs="Arial" w:eastAsia="Arial" w:hAnsi="Arial"/>
          <w:sz w:val="18"/>
          <w:szCs w:val="18"/>
          <w:color w:val="auto"/>
        </w:rPr>
        <w:t>directors authorized the additional repurchase of shares having an aggregate purchase price of up to $500.0 million, exclusive of any brokerage commissions. This authorization has no expiration date.</w:t>
      </w:r>
    </w:p>
    <w:p>
      <w:pPr>
        <w:spacing w:after="0" w:line="1" w:lineRule="exact"/>
        <w:rPr>
          <w:sz w:val="20"/>
          <w:szCs w:val="20"/>
          <w:color w:val="auto"/>
        </w:rPr>
      </w:pPr>
    </w:p>
    <w:p>
      <w:pPr>
        <w:ind w:left="540" w:hanging="316"/>
        <w:spacing w:after="0" w:line="25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fiscal month,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200" w:lineRule="exact"/>
        <w:rPr>
          <w:sz w:val="20"/>
          <w:szCs w:val="20"/>
          <w:color w:val="auto"/>
        </w:rPr>
      </w:pPr>
    </w:p>
    <w:p>
      <w:pPr>
        <w:spacing w:after="0" w:line="2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10-K. The selected consolidated financial data in this section is not intended to replace our consolidated financial statements and the accompanying notes. Our historical results are not necessarily indicative of our future results.</w:t>
      </w:r>
    </w:p>
    <w:p>
      <w:pPr>
        <w:spacing w:after="0" w:line="79" w:lineRule="exact"/>
        <w:rPr>
          <w:sz w:val="20"/>
          <w:szCs w:val="20"/>
          <w:color w:val="auto"/>
        </w:rPr>
      </w:pPr>
    </w:p>
    <w:p>
      <w:pPr>
        <w:ind w:right="200" w:firstLine="432"/>
        <w:spacing w:after="0" w:line="220" w:lineRule="exact"/>
        <w:rPr>
          <w:sz w:val="20"/>
          <w:szCs w:val="20"/>
          <w:color w:val="auto"/>
        </w:rPr>
      </w:pPr>
      <w:r>
        <w:rPr>
          <w:rFonts w:ascii="Arial" w:cs="Arial" w:eastAsia="Arial" w:hAnsi="Arial"/>
          <w:sz w:val="16"/>
          <w:szCs w:val="16"/>
          <w:color w:val="auto"/>
        </w:rPr>
        <w:t>We derived the consolidated statements of income data for the years ended December 31, 2019, 2018 and 2017 and the selected consolidated balance sheet data as of December 31, 2019 and 2018 from the audited consolidated financial statements appearing elsewhere in this Annual Report on Form 10-K. The consolidated statements of income data for the years ended December 31, 2016 and 2015, and the selected consolidated balance sheet data as of December 31, 2017, 2016 and 2015 are derived from audited consolidated financial statements not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1,316,819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21,449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2,161,761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1,324,803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Cost of product sales (excluding amortization of acquired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102,526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736,942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683,530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544,156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502,892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449,119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135,253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354,814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201,498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152,065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1,629,387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1,276,084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1,089,851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816,583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532,374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614,838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528,842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591,654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508,220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2"/>
              </w:rPr>
              <w:t>Income before income tax provision (benefit) and equity in loss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of investees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454,302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529,463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441,117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532,446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435,933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106,399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Equity in loss of investees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487,848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396,831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Jazz Pharmaceuticals plc 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9"/>
              </w:rPr>
              <w:t>Weighted-average ordinary shares used in per share calculations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56,749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59,976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60,018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60,500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61,232</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89"/>
              </w:rPr>
              <w:t>Weighted-average ordinary shares used in per share calculations</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57,550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61,221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61,317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61,870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63,036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diluted</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1,077,344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824,622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601,035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425,963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988,785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1,031,025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5,538,897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5,203,491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5,123,672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4,800,227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3,332,612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current and non-current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1,607,257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1,596,412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2,029,625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1,188,444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1,067,815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841,050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917,956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528,907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302,686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Jazz Pharmaceuticals plc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3,110,981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2,757,422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2,713,097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1,877,339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1,598,646</w:t>
            </w:r>
          </w:p>
        </w:tc>
      </w:tr>
      <w:tr>
        <w:trPr>
          <w:trHeight w:val="230"/>
        </w:trPr>
        <w:tc>
          <w:tcPr>
            <w:tcW w:w="470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79" w:lineRule="exact"/>
        <w:rPr>
          <w:sz w:val="20"/>
          <w:szCs w:val="20"/>
          <w:color w:val="auto"/>
        </w:rPr>
      </w:pPr>
    </w:p>
    <w:p>
      <w:pPr>
        <w:ind w:left="340" w:right="2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July 12, 2016, we completed the acquisition of Celator Pharmaceuticals, Inc., or Celator, which acquisition we refer to in this report as the Celator Acquisition, for an aggregate cash consideration of $1.5 billion and the results of operations of the acquired Celator business, along with the estimated fair values of the assets acquired and liabilities assumed, have been included in our consolidated financial statements since the closing of the Celator Acquisition.</w:t>
      </w:r>
    </w:p>
    <w:p>
      <w:pPr>
        <w:spacing w:after="0" w:line="200" w:lineRule="exact"/>
        <w:rPr>
          <w:sz w:val="20"/>
          <w:szCs w:val="20"/>
          <w:color w:val="auto"/>
        </w:rPr>
      </w:pPr>
    </w:p>
    <w:p>
      <w:pPr>
        <w:spacing w:after="0" w:line="25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32"/>
        <w:spacing w:after="0" w:line="219" w:lineRule="exact"/>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consolidated financial statements and notes to consolidated financial statements included elsewhere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“Risk Factors” in Part I, Item 1A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These risks and uncertainties could cause actual results to differ materially from those projected in forward-looking statements contained in this report or implied by past results and trends.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60" w:hanging="320"/>
        <w:spacing w:after="0" w:line="229" w:lineRule="auto"/>
        <w:tabs>
          <w:tab w:leader="none" w:pos="7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Xyrem</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the only product approved by the U.S. Food and Drug Administration, or FDA, and marketed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treatment of both cataplexy and excessive daytime sleepiness, or EDS, in both adult and pediatric patients with narcolepsy;</w:t>
      </w:r>
    </w:p>
    <w:p>
      <w:pPr>
        <w:spacing w:after="0" w:line="90" w:lineRule="exact"/>
        <w:rPr>
          <w:rFonts w:ascii="Arial" w:cs="Arial" w:eastAsia="Arial" w:hAnsi="Arial"/>
          <w:sz w:val="17"/>
          <w:szCs w:val="17"/>
          <w:b w:val="1"/>
          <w:bCs w:val="1"/>
          <w:color w:val="auto"/>
        </w:rPr>
      </w:pPr>
    </w:p>
    <w:p>
      <w:pPr>
        <w:jc w:val="both"/>
        <w:ind w:left="720" w:right="280" w:hanging="320"/>
        <w:spacing w:after="0" w:line="257" w:lineRule="auto"/>
        <w:tabs>
          <w:tab w:leader="none" w:pos="72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Sunosi</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(solriamfetol)</w:t>
      </w:r>
      <w:r>
        <w:rPr>
          <w:rFonts w:ascii="Arial" w:cs="Arial" w:eastAsia="Arial" w:hAnsi="Arial"/>
          <w:sz w:val="16"/>
          <w:szCs w:val="16"/>
          <w:color w:val="auto"/>
        </w:rPr>
        <w:t>, a product approved by the FDA and marketed in the U.S. to improve wakefulness in adult patients with EDS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narcolepsy or obstructive sleep apnea, or OSA, and also recently approved in Europe in January 2020 by the European Commission, or EC;</w:t>
      </w:r>
    </w:p>
    <w:p>
      <w:pPr>
        <w:spacing w:after="0" w:line="72" w:lineRule="exact"/>
        <w:rPr>
          <w:rFonts w:ascii="Arial" w:cs="Arial" w:eastAsia="Arial" w:hAnsi="Arial"/>
          <w:sz w:val="16"/>
          <w:szCs w:val="16"/>
          <w:b w:val="1"/>
          <w:bCs w:val="1"/>
          <w:color w:val="auto"/>
        </w:rPr>
      </w:pPr>
    </w:p>
    <w:p>
      <w:pPr>
        <w:ind w:left="720" w:right="280" w:hanging="320"/>
        <w:spacing w:after="0" w:line="214"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20" w:right="420" w:hanging="320"/>
        <w:spacing w:after="0" w:line="260" w:lineRule="auto"/>
        <w:tabs>
          <w:tab w:leader="none" w:pos="72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480" w:hanging="320"/>
        <w:spacing w:after="0" w:line="201"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t-AML, or AML with myelodysplasia-related changes.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Over the last five years, we achieved multiple significant regulatory approvals, including most recently the European approval of Sunosi, and executed on five product launches. Over the next two years, we look forward to three additional potential regulatory approvals and related product launches (lurbinectedin, JZP-258 and JZP-458), as well as the commencement of the rolling launch of Sunosi in Europe by mid-2020. In February 2020, the FDA accepted for filing with priority review the new drug application, or NDA, for lurbinectedin for the treatment of relapsed small cell lung cancer, or SCLC, a product candidate for which we recently acquired exclusive U.S. development and commercialization rights. In January 2020, we submitted an NDA to the FDA seeking marketing approval for JZP-258, an oxybate product candidate that contains 92%, or approximately 1,000 to 1,500 milligrams per day, less sodium than Xyrem, for the treatment of cataplexy and EDS in narcolepsy patients seven years of age and older. We also have in development JZP-458, a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product candidate, for the treatment of pediatric and adult patients with ALL or lymphoblastic lymphoma, or LBL,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products, and expect to submit a biologics license application to the FDA for JZP-458 as early as the fourth quarter of 2020.</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20" w:hanging="327"/>
        <w:spacing w:after="0" w:line="286"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20" w:hanging="327"/>
        <w:spacing w:after="0" w:line="308"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Maximizing the value of our products and product candidates by continuing to implement our comprehensive global development plans, including through generating additional clinical data and seeking regulatory approval for new indications and new geographies.</w:t>
      </w:r>
    </w:p>
    <w:p>
      <w:pPr>
        <w:spacing w:after="0" w:line="3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total net product sales increased by 14% in 2019 compared to 2018, primarily due to an increase in Xyrem net product sales. We expect total net product sales to increase in 2020 over 2019, primarily due to expected growth in sales of Xyrem and Sunosi.</w:t>
      </w:r>
    </w:p>
    <w:p>
      <w:pPr>
        <w:spacing w:after="0" w:line="62"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2019, consistent with our strategy, we continued to expand and advance our research and development pipeline in our sleep/neuroscience and hematology/oncology therapeutic areas, both by conducting activities internally and by leveraging partnerships with third parties.</w:t>
      </w:r>
    </w:p>
    <w:p>
      <w:pPr>
        <w:spacing w:after="0" w:line="16" w:lineRule="exact"/>
        <w:rPr>
          <w:sz w:val="20"/>
          <w:szCs w:val="20"/>
          <w:color w:val="auto"/>
        </w:rPr>
      </w:pPr>
    </w:p>
    <w:p>
      <w:pPr>
        <w:ind w:firstLine="432"/>
        <w:spacing w:after="0" w:line="218" w:lineRule="exact"/>
        <w:rPr>
          <w:sz w:val="20"/>
          <w:szCs w:val="20"/>
          <w:color w:val="auto"/>
        </w:rPr>
      </w:pPr>
      <w:r>
        <w:rPr>
          <w:rFonts w:ascii="Arial" w:cs="Arial" w:eastAsia="Arial" w:hAnsi="Arial"/>
          <w:sz w:val="16"/>
          <w:szCs w:val="16"/>
          <w:color w:val="auto"/>
        </w:rPr>
        <w:t>While we are focused on opportunities within our sleep/neuroscience and hematology/oncology therapeutic areas, such as our recent expansion into movement disorders and solid tumors, we are also exploring and investing in adjacent therapeutic areas that could further diversify our portfolio. 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A summary of our ongoing development activities is provided under “Business— Research and Development”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In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2019 Highlights and Recent Developments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Regulatory Approvals and Launches</w:t>
      </w:r>
    </w:p>
    <w:p>
      <w:pPr>
        <w:spacing w:after="0" w:line="117" w:lineRule="exact"/>
        <w:rPr>
          <w:sz w:val="20"/>
          <w:szCs w:val="20"/>
          <w:color w:val="auto"/>
        </w:rPr>
      </w:pPr>
    </w:p>
    <w:p>
      <w:pPr>
        <w:ind w:left="740" w:right="200" w:hanging="327"/>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2019, we launched Xyrem for the treatment of cataplexy and EDS in pediatric patients with narcolepsy, after completing the implementation of the related approved risk evaluation and mitigation strategy, or REMS, modification. In May 2019, the FDA confirmed that as the first sponsor to obtain marketing approval for use of Xyrem to treat cataplexy and EDS in pediatric narcolepsy patients aged seven years and older, we are entitled to seven years of orphan drug exclusivity for the pediatric indication.</w:t>
      </w:r>
    </w:p>
    <w:p>
      <w:pPr>
        <w:spacing w:after="0" w:line="78" w:lineRule="exact"/>
        <w:rPr>
          <w:rFonts w:ascii="Arial" w:cs="Arial" w:eastAsia="Arial" w:hAnsi="Arial"/>
          <w:sz w:val="18"/>
          <w:szCs w:val="18"/>
          <w:color w:val="auto"/>
        </w:rPr>
      </w:pPr>
    </w:p>
    <w:p>
      <w:pPr>
        <w:ind w:left="740" w:right="300" w:hanging="327"/>
        <w:spacing w:after="0" w:line="286"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March 2019, the FDA approved our NDA for Sunosi as a treatment to improve wakefulness in adult patients with EDS associated with narcolepsy or OSA, and recommended that solriamfetol be scheduled by the U.S. Drug Enforcement Administration, or DEA. In June 2019, the DEA designated solriamfetol as a Schedule IV controlled substance, and, in July 2019, we launched Sunosi in the U.S.</w:t>
      </w:r>
    </w:p>
    <w:p>
      <w:pPr>
        <w:spacing w:after="0" w:line="57" w:lineRule="exact"/>
        <w:rPr>
          <w:rFonts w:ascii="Arial" w:cs="Arial" w:eastAsia="Arial" w:hAnsi="Arial"/>
          <w:sz w:val="17"/>
          <w:szCs w:val="17"/>
          <w:color w:val="auto"/>
        </w:rPr>
      </w:pPr>
    </w:p>
    <w:p>
      <w:pPr>
        <w:ind w:left="740" w:right="460" w:hanging="327"/>
        <w:spacing w:after="0" w:line="342"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June 2019, our partner, Nippon Shinyaku Co., Ltd, announced that Japan's Ministry of Health, Labour and Welfare approved the marketing authorization of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injection 200mg (defibrotide sodium) for the treatment of sinusoidal obstruction syndrome/hepatic VOD.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260" w:hanging="327"/>
        <w:spacing w:after="0" w:line="308"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November 2019, the European Medicines Agency recommended the marketing authorization application for Sunosi in Europe, and in January 2020, the EC approved Sunosi to improve wakefulness in adult patients with EDS associated with narcolepsy or OSA.</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Regulatory Submissions</w:t>
      </w:r>
    </w:p>
    <w:p>
      <w:pPr>
        <w:spacing w:after="0" w:line="117" w:lineRule="exact"/>
        <w:rPr>
          <w:sz w:val="20"/>
          <w:szCs w:val="20"/>
          <w:color w:val="auto"/>
        </w:rPr>
      </w:pPr>
    </w:p>
    <w:p>
      <w:pPr>
        <w:ind w:left="740" w:right="40" w:hanging="327"/>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March 2019, we announced positive top-line results from our Phase 3 study evaluating the efficacy and safety of JZP-258 for the treatment of cataplexy and EDS in adult patients with narcolepsy and presented additional results from this study publicly at an international medical conference in September 2019. We submitted an NDA for this product in January 2020 and redeemed our priority review voucher, or PRV, in connection with this submission.</w:t>
      </w:r>
    </w:p>
    <w:p>
      <w:pPr>
        <w:spacing w:after="0" w:line="78" w:lineRule="exact"/>
        <w:rPr>
          <w:rFonts w:ascii="Arial" w:cs="Arial" w:eastAsia="Arial" w:hAnsi="Arial"/>
          <w:sz w:val="18"/>
          <w:szCs w:val="18"/>
          <w:color w:val="auto"/>
        </w:rPr>
      </w:pPr>
    </w:p>
    <w:p>
      <w:pPr>
        <w:ind w:left="740" w:hanging="327"/>
        <w:spacing w:after="0" w:line="297"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December 2019, we entered into an exclusive license agreement with Pharma Mar, S.A., or PharmaMar, pursuant to which we obtained exclusive U.S. development and commercialization rights to lurbinectedin, a product candidate under clinical investigation for the treatment of patients with relapsed SCLC. Lurbinectedin was granted orphan drug designation for SCLC by the FDA in August 2018. In December 2019, PharmaMar submitted an NDA to the FDA for accelerated approval of lurbinectedin for relapsed SCLC based on data from a Phase 2 trial, and in February 2020, the FDA accepted the NDA for filing with priority review with a Prescription Drug User Fee Act, or PDUFA, date of August 16, 2020.</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&amp; Development</w:t>
      </w:r>
    </w:p>
    <w:p>
      <w:pPr>
        <w:spacing w:after="0" w:line="117" w:lineRule="exact"/>
        <w:rPr>
          <w:sz w:val="20"/>
          <w:szCs w:val="20"/>
          <w:color w:val="auto"/>
        </w:rPr>
      </w:pPr>
    </w:p>
    <w:p>
      <w:pPr>
        <w:ind w:left="740" w:right="560" w:hanging="32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July 2019, we announced that we are pursuing development activities for Sunosi for the potential treatment of EDS in patients with major depressive disorder. We expect to initiate a Phase 3 study in mid-2020.</w:t>
      </w:r>
    </w:p>
    <w:p>
      <w:pPr>
        <w:spacing w:after="0" w:line="62" w:lineRule="exact"/>
        <w:rPr>
          <w:rFonts w:ascii="Arial" w:cs="Arial" w:eastAsia="Arial" w:hAnsi="Arial"/>
          <w:sz w:val="18"/>
          <w:szCs w:val="18"/>
          <w:color w:val="auto"/>
        </w:rPr>
      </w:pPr>
    </w:p>
    <w:p>
      <w:pPr>
        <w:ind w:left="740" w:right="420" w:hanging="32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October 2019, the FDA granted Fast Track designation to JZP-458, a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product candidate, for the potential treatment of ALL and LBL and in December 2019, we announced enrollment of the first patient in this study.</w:t>
      </w:r>
    </w:p>
    <w:p>
      <w:pPr>
        <w:spacing w:after="0" w:line="62" w:lineRule="exact"/>
        <w:rPr>
          <w:rFonts w:ascii="Arial" w:cs="Arial" w:eastAsia="Arial" w:hAnsi="Arial"/>
          <w:sz w:val="18"/>
          <w:szCs w:val="18"/>
          <w:color w:val="auto"/>
        </w:rPr>
      </w:pPr>
    </w:p>
    <w:p>
      <w:pPr>
        <w:ind w:left="740" w:right="80" w:hanging="327"/>
        <w:spacing w:after="0" w:line="30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October 2019, we announced enrollment of the first patient in an exploratory Phase 2 clinical trial evaluating the ability of defibrotide to prevent neurotoxicity in patients with relapsed or refractory diffuse large B-cell lymphoma receiving chimeric antigen receptor T-cell therapy.</w:t>
      </w:r>
    </w:p>
    <w:p>
      <w:pPr>
        <w:spacing w:after="0" w:line="38" w:lineRule="exact"/>
        <w:rPr>
          <w:rFonts w:ascii="Arial" w:cs="Arial" w:eastAsia="Arial" w:hAnsi="Arial"/>
          <w:sz w:val="17"/>
          <w:szCs w:val="17"/>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October 2019, we completed enrollment in a Phase 2 study for defibrotide in the prevention of acute graft-vs-host disease.</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December 2019, we activated sites for a Phase 1b master trial of Vyxeos in combination with various targeted agents in first-line, fit AML.</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Significant Developments</w:t>
      </w:r>
    </w:p>
    <w:p>
      <w:pPr>
        <w:spacing w:after="0" w:line="117" w:lineRule="exact"/>
        <w:rPr>
          <w:sz w:val="20"/>
          <w:szCs w:val="20"/>
          <w:color w:val="auto"/>
        </w:rPr>
      </w:pPr>
    </w:p>
    <w:p>
      <w:pPr>
        <w:ind w:left="740" w:right="460" w:hanging="327"/>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January 2019, we entered into a strategic collaboration agreement with Codiak BioSciences, Inc. focused on the research, development and commercialization of exosome therapeutics to treat cancer.</w:t>
      </w:r>
    </w:p>
    <w:p>
      <w:pPr>
        <w:spacing w:after="0" w:line="62" w:lineRule="exact"/>
        <w:rPr>
          <w:rFonts w:ascii="Arial" w:cs="Arial" w:eastAsia="Arial" w:hAnsi="Arial"/>
          <w:sz w:val="18"/>
          <w:szCs w:val="18"/>
          <w:color w:val="auto"/>
        </w:rPr>
      </w:pPr>
    </w:p>
    <w:p>
      <w:pPr>
        <w:ind w:left="740" w:right="20" w:hanging="327"/>
        <w:spacing w:after="0" w:line="273"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February 2019, we received a contract termination notice from Porton Biopharma Limited, or PBL, the sole manufacturer of Erwinaze. As a result of our receipt of the contract termination notice, our license and supply agreement with PBL, which includes an exclusive right to market, sell or distribute Erwinaze, an exclusive license to Erwinaze trademarks, and a non-exclusive license to PBL’s manufacturing know-how, will expire on December 31, 2020. Unless we and PBL enter into a new agreement, we will lose our licensed rights to exclusively market Erwinaze effective December 31, 2020, other than our right to sell certain Erwinaze inventory for a post-termination sales period of 12 months and certain other post-termination rights, including but not limited to intellectual property and data ownership.</w:t>
      </w:r>
    </w:p>
    <w:p>
      <w:pPr>
        <w:spacing w:after="0" w:line="70" w:lineRule="exact"/>
        <w:rPr>
          <w:rFonts w:ascii="Arial" w:cs="Arial" w:eastAsia="Arial" w:hAnsi="Arial"/>
          <w:sz w:val="17"/>
          <w:szCs w:val="17"/>
          <w:color w:val="auto"/>
        </w:rPr>
      </w:pPr>
    </w:p>
    <w:p>
      <w:pPr>
        <w:ind w:left="740" w:right="160" w:hanging="327"/>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2019, we finalized a settlement agreement with the U.S. Department of Justice, or DOJ, and the Office of Inspector General of the Department of Health and Human Services, or OIG, and we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w:t>
      </w:r>
    </w:p>
    <w:p>
      <w:pPr>
        <w:spacing w:after="0" w:line="78" w:lineRule="exact"/>
        <w:rPr>
          <w:rFonts w:ascii="Arial" w:cs="Arial" w:eastAsia="Arial" w:hAnsi="Arial"/>
          <w:sz w:val="18"/>
          <w:szCs w:val="18"/>
          <w:color w:val="auto"/>
        </w:rPr>
      </w:pPr>
    </w:p>
    <w:p>
      <w:pPr>
        <w:ind w:left="740" w:right="80" w:hanging="327"/>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June 2019, we received notice from ImmunoGen, Inc., or ImmunoGen, that, as a result of portfolio prioritization and restructuring initiatives, ImmunoGen will be discontinuing development of its IMGN779 antibody-drug conjugate, or ADC, product candidate, for which we possess opt-in rights, as well as the programs from which a third opt-in candidate was to be selected. IMGN632, a CD123-targeted ADC product candidate for which we possess opt-in rights, remains under development by ImmunoGen.</w:t>
      </w:r>
    </w:p>
    <w:p>
      <w:pPr>
        <w:spacing w:after="0" w:line="78"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July 2019, we acquired from Redx Pharma plc, or Redx, a pan-RAF inhibitor program for the potential treatment of RAF and RAS mutant tumors. Under the terms of our agreement with Redx, we paid Redx $3.5 million at closing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160"/>
        <w:spacing w:after="0" w:line="277" w:lineRule="auto"/>
        <w:rPr>
          <w:sz w:val="20"/>
          <w:szCs w:val="20"/>
          <w:color w:val="auto"/>
        </w:rPr>
      </w:pPr>
      <w:r>
        <w:rPr>
          <w:rFonts w:ascii="Arial" w:cs="Arial" w:eastAsia="Arial" w:hAnsi="Arial"/>
          <w:sz w:val="18"/>
          <w:szCs w:val="18"/>
          <w:color w:val="auto"/>
        </w:rPr>
        <w:t>and Redx is eligible to receive up to $203 million in development, regulatory and commercial milestone payments from us, as well as incremental tiered royalties in mid-single digit percentage based on any future net sales.</w:t>
      </w:r>
    </w:p>
    <w:p>
      <w:pPr>
        <w:spacing w:after="0" w:line="62" w:lineRule="exact"/>
        <w:rPr>
          <w:sz w:val="20"/>
          <w:szCs w:val="20"/>
          <w:color w:val="auto"/>
        </w:rPr>
      </w:pPr>
    </w:p>
    <w:p>
      <w:pPr>
        <w:ind w:left="740" w:right="60" w:hanging="327"/>
        <w:spacing w:after="0" w:line="27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August 2019, we announced the acquisition of Cavion, Inc., a clinical-stage biotechnology company, or Cavion, for an upfront payment of $52.5 million with the potential for additional payments of up to $260.0 million upon the achievement of certain clinical, regulatory and commercial milestones, for a total potential consideration of $312.5 million. As a result of the acquisition, we added CX-8998, now named JZP-385, a modulator of T-type calcium channels, for the potential treatment of essential tremor, to our clinical pipeline.</w:t>
      </w:r>
    </w:p>
    <w:p>
      <w:pPr>
        <w:spacing w:after="0" w:line="63" w:lineRule="exact"/>
        <w:rPr>
          <w:rFonts w:ascii="Arial" w:cs="Arial" w:eastAsia="Arial" w:hAnsi="Arial"/>
          <w:sz w:val="17"/>
          <w:szCs w:val="17"/>
          <w:color w:val="auto"/>
        </w:rPr>
      </w:pPr>
    </w:p>
    <w:p>
      <w:pPr>
        <w:ind w:left="740" w:right="200" w:hanging="327"/>
        <w:spacing w:after="0" w:line="30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Beginning in the third quarter of 2019, we have been entering into agreements with commercial payor organizations, including pharmacy benefit managers, or PBMs, to ensure patient access for our products, Sunosi and Xyrem, and to support the long-term success of our sleep and neuroscience therapeutic area. These agreements include terms related to the payment of rebates and/or administrative fees on these products. We expect to enter into additional agreements in 2020 to continue to ensure patient access to and coverage for our products.</w:t>
      </w:r>
    </w:p>
    <w:p>
      <w:pPr>
        <w:spacing w:after="0" w:line="46" w:lineRule="exact"/>
        <w:rPr>
          <w:rFonts w:ascii="Arial" w:cs="Arial" w:eastAsia="Arial" w:hAnsi="Arial"/>
          <w:sz w:val="16"/>
          <w:szCs w:val="16"/>
          <w:color w:val="auto"/>
        </w:rPr>
      </w:pPr>
    </w:p>
    <w:p>
      <w:pPr>
        <w:ind w:left="740" w:hanging="327"/>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October 2019, our board of directors authorized the additional repurchase of our ordinary shares having an aggregate purchase price of up to</w:t>
      </w:r>
    </w:p>
    <w:p>
      <w:pPr>
        <w:spacing w:after="0" w:line="46" w:lineRule="exact"/>
        <w:rPr>
          <w:rFonts w:ascii="Arial" w:cs="Arial" w:eastAsia="Arial" w:hAnsi="Arial"/>
          <w:sz w:val="16"/>
          <w:szCs w:val="16"/>
          <w:color w:val="auto"/>
        </w:rPr>
      </w:pPr>
    </w:p>
    <w:p>
      <w:pPr>
        <w:ind w:left="740"/>
        <w:spacing w:after="0" w:line="261" w:lineRule="auto"/>
        <w:rPr>
          <w:rFonts w:ascii="Arial" w:cs="Arial" w:eastAsia="Arial" w:hAnsi="Arial"/>
          <w:sz w:val="16"/>
          <w:szCs w:val="16"/>
          <w:color w:val="auto"/>
        </w:rPr>
      </w:pPr>
      <w:r>
        <w:rPr>
          <w:rFonts w:ascii="Arial" w:cs="Arial" w:eastAsia="Arial" w:hAnsi="Arial"/>
          <w:sz w:val="18"/>
          <w:szCs w:val="18"/>
          <w:color w:val="auto"/>
        </w:rPr>
        <w:t>$500.0 million, exclusive of any brokerage commissions, under our share repurchase program. During 2019, we repurchased an aggregate of $301.5 million of our ordinary shares under our share repurchase program at an average price of $133.97 per share.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Challenges, Risks and Trends Related to Our Business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business is substantially dependent on Xyrem. Our future plans assume that sales of Xyrem will increase, but there is no guarantee that we can maintain sales of Xyrem at or near current levels, or that Xyrem sales will continue to grow. We have periodically increased the price of Xyrem, most recently in January 2020, and there is no guarantee that we will be able to make similar price adjustments in the future or that price adjustments we have taken or may take in the future will not negatively affect Xyrem sales volumes and revenues from Xyrem. In the future, we expect Xyrem to face competition from generic and authorized generic versions of sodium oxybate pursuant to the settlement agreements we have entered into with multiple abbreviated new drug application filers. Generic competition can decrease the prices at which Xyrem is sold and the number of prescriptions written for Xyrem. Xyrem may also face competition from other branded sodium oxybate products and other new and existing branded market entrants.</w:t>
      </w:r>
    </w:p>
    <w:p>
      <w:pPr>
        <w:spacing w:after="0" w:line="178"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As for other products and product candidates in our sleep and neuroscience therapeutic area, we obtained approval of Sunosi in the U.S. and EU, and in January 2020, we submitted an NDA for marketing approval of JZP-258. Our future plans assume that, if approved, JZP-258 may be prescribed to patients as a safer and clinically superior alternative to Xyrem as well as being prescribed to patients who may otherwise be ineligible to take Xyrem based on its high sodium content. We are aware that Avadel Pharmaceuticals plc, or Avadel, is conducting a Phase 3 clinical trial of a once-nightly formulation of sodium oxybate which uses its proprietary technology for the treatment of EDS and cataplexy in patients with narcolepsy, and that Avadel has indicated that it intends to seek approval using the Section 505(b)(2) approval pathway referencing the safety and efficacy data for Xyrem. If the FDA approves Avadel’s product and grants it orphan drug exclusivity before we obtain approval for JZP-258, there is a risk that JZP-258 will not be approvable for a narcolepsy indication for seven years unless it can establish clinical superiority to Avadel’s product. We cannot predict the timing of Avadel’s submission or how the FDA will evaluate any clinical superiority arguments that either company may make, but a delay in approval or inability to obtain approval for JZP-258 could materially and adversely affect our business, financial condition, results of operations and growth prospects. For example, the FDA could determine that our application is not sufficient to support approval with the label we have requested, and require amendments or additional data, which could delay or preclude the approval of our NDA. If we are unable to successfully commercialize Sunosi and/or JZP-258 (if approved), or if sales of Sunosi and JZP-258 do not reach the levels we expect, our anticipated revenue from our sleep therapeutic area will be negatively affected, which would have a material adverse effect on our business, financial condition, results of operations and growth prospects.</w:t>
      </w:r>
    </w:p>
    <w:p>
      <w:pPr>
        <w:spacing w:after="0" w:line="185"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In addition to our sleep and neuroscience products and product candidates, we are commercializing a portfolio of hematology/oncology products, including Defitelio, Erwinaze and Vyxeos. An inability to effectively commercialize Defitelio and Vyxeos and to maximize their potential where possible through successful research and development activities could have a material adverse effect on our business, financial condition, results of operations and growth prospects. Our license and supply agreement with PBL, which includes an exclusive right to market, sell or distribute Erwinaze, an exclusive license to Erwinaze trademarks, and a non-exclusive license to PBL’s manufacturing know-how, will expire on December 31, 2020. If we are unable to enter into a new agreement with PBL for our marketing rights to Erwinaze and are unable to replace the product sales we would lose from Erwinaze, our business, financial condition, results of operations and growth prospects would be materially adversely affected.</w:t>
      </w:r>
    </w:p>
    <w:p>
      <w:pPr>
        <w:spacing w:after="0" w:line="191" w:lineRule="exact"/>
        <w:rPr>
          <w:sz w:val="20"/>
          <w:szCs w:val="20"/>
          <w:color w:val="auto"/>
        </w:rPr>
      </w:pPr>
    </w:p>
    <w:p>
      <w:pPr>
        <w:ind w:firstLine="405"/>
        <w:spacing w:after="0" w:line="279" w:lineRule="auto"/>
        <w:rPr>
          <w:sz w:val="20"/>
          <w:szCs w:val="20"/>
          <w:color w:val="auto"/>
        </w:rPr>
      </w:pPr>
      <w:r>
        <w:rPr>
          <w:rFonts w:ascii="Arial" w:cs="Arial" w:eastAsia="Arial" w:hAnsi="Arial"/>
          <w:sz w:val="18"/>
          <w:szCs w:val="18"/>
          <w:color w:val="auto"/>
        </w:rPr>
        <w:t>A key aspect of our growth strategy is our continued investment in our evolving and expanding research and development activities. In neuroscience, we are developing JZP-385 for the treatment of essential tremor and expect to initiate a Phase 2b study of JZP-385 in the fourth quarter of 2020. In our hematology/oncology, we are developing JZP-458, a</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 xml:space="preserve">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and we expect to submit a BLA to the FDA for JZP-458 as early as the fourth quarter of 2020.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154"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For example, we entered into an exclusive license agreement for U.S. commercialization rights to lurbinectedin with PharmaMar, who had submitted an NDA to the FDA in December 2019 for accelerated approval of lurbinectedin, and the NDA was accepted for filing with priority review in February 2020 with a PDUFA date of August 16, 2020.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could have a material adverse effect on our business, results of operations and financial condition.</w:t>
      </w:r>
    </w:p>
    <w:p>
      <w:pPr>
        <w:spacing w:after="0" w:line="19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are increasingly experiencing pressure from third party payors to agree to discounts, rebates or restrictive pricing terms for Xyrem. We also need to obtain adequate formulary positions and reimbursement coverage for newly-launched products such as Sunosi and future products, if approved, such as JZP-258, JZP-458 and lurbinectedin. Entering into agreements with payors or PBMs to ensure patient access has and will likely continue to result in higher gross to net deductions for future periods for these products. We cannot guarantee we will be able to agree to commercially reasonable terms with PBMs and other third party payors, or that we will be able to ensure patient access to our existing and future products. In addition to increasing pricing pressure from, and restrictions on reimbursement imposed by payors, healthcare cost containment has received global attention, and drug pricing by pharmaceutical companies is currently, and is expected to continue to be, subject to close scrutiny by both federal and state governments.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w:t>
      </w:r>
    </w:p>
    <w:p>
      <w:pPr>
        <w:spacing w:after="0" w:line="178" w:lineRule="exact"/>
        <w:rPr>
          <w:sz w:val="20"/>
          <w:szCs w:val="20"/>
          <w:color w:val="auto"/>
        </w:rPr>
      </w:pPr>
    </w:p>
    <w:p>
      <w:pPr>
        <w:ind w:firstLine="405"/>
        <w:spacing w:after="0" w:line="218" w:lineRule="exact"/>
        <w:rPr>
          <w:sz w:val="20"/>
          <w:szCs w:val="20"/>
          <w:color w:val="auto"/>
        </w:rPr>
      </w:pPr>
      <w:r>
        <w:rPr>
          <w:rFonts w:ascii="Arial" w:cs="Arial" w:eastAsia="Arial" w:hAnsi="Arial"/>
          <w:sz w:val="18"/>
          <w:szCs w:val="18"/>
          <w:color w:val="auto"/>
        </w:rPr>
        <w:t>Finally, business practices by pharmaceutical companies, including product formulation improvements, patent settlements,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Xyrem REMS, the launch of JZP-258, our patent settlements or otherwise, we could incur significant expense and could be distracted from operation of our business and execution of our strategy. Any of these risks and uncertainties could have a material adverse effect on our business, financial condition, results of operations and growth prospects. All of these risks are discussed in greater detail, along with other risks, in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revenues and expenses for the years ended December 31, 2019, 2018 and 2017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2,135,601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1,601,399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26,160</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21,449</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17,294</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Cost of product sales (excluding amortization of acquired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121,544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110,188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736,942</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683,530</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544,156</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299,726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198,442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354,814</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201,498</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152,065</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42,896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109,975</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85,000</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77,756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Foreign exchange loss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9,969</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and modification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80,162</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(47,740)</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investees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r>
      <w:tr>
        <w:trPr>
          <w:trHeight w:val="202"/>
        </w:trPr>
        <w:tc>
          <w:tcPr>
            <w:tcW w:w="4500" w:type="dxa"/>
            <w:vAlign w:val="bottom"/>
          </w:tcPr>
          <w:p>
            <w:pPr>
              <w:ind w:left="60"/>
              <w:spacing w:after="0" w:line="201" w:lineRule="exact"/>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8"/>
                <w:szCs w:val="18"/>
                <w:color w:val="auto"/>
              </w:rPr>
              <w:t>(1) Comparison to prior period is not meaningful.</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product sales, royalties and contract revenues, and total revenues for the years ended December 31, 2019, 2018 and 2017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1,642,525</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1,404,866</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1,186,699</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177,465</w:t>
            </w: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174,739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197,340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172,938</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149,448</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133,650</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Vyxeos</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121,407</w:t>
            </w: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100,835</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33,790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17,552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39,585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49,920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2,135,601</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1,869,473</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1,601,399</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26,160</w:t>
            </w: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21,449</w:t>
            </w:r>
          </w:p>
        </w:tc>
        <w:tc>
          <w:tcPr>
            <w:tcW w:w="148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17,294</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2,161,761</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1,890,922</w:t>
            </w:r>
          </w:p>
        </w:tc>
        <w:tc>
          <w:tcPr>
            <w:tcW w:w="14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1,618,693</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(1) Comparison to prior period is not meaningful.</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Xyrem product sales increased by 17% in 2019 compared to 2018 primarily due to a higher average net selling price and, to a lesser extent, an increase in sales volume. Price increases were instituted in January and July 2019, January 2018 and in January and July 2017. Xyrem product sales volume increased by 6% in 2019 compared to 2018 primarily driven by an increase in the average number of patients on Xyrem. Xyrem product sales increased by 18% in 2018 compared to 2017 primarily due to an increase in sales volume and, to a lesser extent, a higher average net selling price. Xyrem product sales volume increased by 9% in 2018 compared to 2017 primarily driven by an increase in the average number of patients on Xyrem. Erwinaze/Erwinase product sales increased in 2019 compared to 2018 primarily due to higher sales volume as a result of availability of supply from the manufacturer. Erwinaze/Erwinase product sales decreased in 2018 compared to 2017 primarily due to lower sales volume as a result of limited supply from the manufacturer. Ongoing supply challenges continue to negatively impact our ability to supply the market. We experienced limited product availability of Erwinaze and supply disruptions globally in 2019 and may experience continued supply disruptions in 2020. Defitelio/defibrotide product sales increased in 2019 compared to 2018, primarily due to higher sales volumes, partially offset by the negative impact of foreign exchange rates. Defitelio/defibrotide product sales increased in 2018 compared to 2017, primarily due to higher sales volumes</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to a lesser extent, the positive impact of foreign exchange rates. Vyxeos product sales increased in 2019 compared to 2018 primarily due to volumes following the commercial launch in Europe in September 2018. Vyxeos product sales were $33.8 million in 2017 following its launch in the U.S. in August 2017. Other product sales decreased in 2019 and in 2018 compared to the immediately preceding years, primarily due to the sale of our rights to Prialt to TerSera Therapeutics LLC, or TerSera, in September 2018. We expect total product sales will increase in 2020 over 2019, primarily due to expected growth in sales of Xyrem and Sunosi.</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Royalties and contract revenues increased in 2019 and in 2018 compared to the immediately preceding years, primarily due to higher contract revenues from out-licensing agreements. We expect royalties and contract revenues to decrease in 2020 compared to 2019 primarily due to lower milestone revenues from out-licensing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Cost of product sales increased in 2019 and in 2018 compared to the immediately preceding years, primarily due to changes in product mix and increases in net product sales. Gross margin as a percentage of net product sales was 94.0%, 93.5% and 93.1% in 2019, 2018 and 2017, respectively. The increase in the gross margin percentage in 2019 and in 2018 compared to the immediately preceding years was primarily due to changes in product mix. We expect that our gross margin as a percentage of net product sales will not change materially in 2020 compared to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Selling, general and administrative expenses increased in 2019 compared to 2018 primarily due to higher expenses related to the launch of Sunosi in the U.S., an increase in compensation-related expenses driven by higher headcount, and an increase in other expenses related to the expansion and support of our business, partially offset by the recognition of a loss contingency including related interest of $58.2 million recorded in 2018 resulting from a settlement agreement with the U.S. Department of Justice and the Office of Inspector General. For a further description of this matter, see the risk factors under the heading “Other Risks Related to Our Business and Industry” in Part I, Item 1A of this Annual Report on Form 10-K. Selling, general and administrative expenses increased in 2018 compared to 2017 primarily due to the recognition of a loss contingency and related interest recorded in 2018, increased expenses related to the commercial launch of Sunosi in the U.S. and the rolling launch of Vyxeos in Europe, and an increase in compensation-related expenses driven by higher headcount compared to 2017. We expect selling, general and administrative expenses in 2020 to increase compared to 2019, primarily due to an increase in compensation-related expenses driven by higher headcount and other expenses related to the expansion and support of our business including an increase in expenses related to the continuation of the commercial launch of Sunosi in the U.S., the commercial launch of Sunosi in Europe and the planned commercial launch of both lurbinectedin and JZP-258 in the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2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93,317</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2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71,158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63,941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 expense</w:t>
            </w:r>
          </w:p>
        </w:tc>
        <w:tc>
          <w:tcPr>
            <w:tcW w:w="2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40,594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299,726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226,616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198,442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Research and development expenses increased by $73.1 million in 2019 compared to 2018. Clinical studies and outside services costs increased in 2019 compared to 2018 primarily due to an increase in expenses related to our ongoing preclinical and clinical development programs and support of partner programs. Personnel expenses increased by $28.9 million in 2019 compared to 2018, primarily due to increased headcount in support of our development programs. Milestone expense of $26.0 million in 2019 related to milestone payments made under our license and option agreement with Pfenex. Research and development expenses increased by $28.2 million in 2018 compared to 2017. Clinical studies and outside services costs increased in 2018 compared to 2017 primarily due to an increase in expenses related to our ongoing preclinical and clinical development programs and support of partner programs, partially offset by lower clinical trial costs following the completion of three Phase 3 clinical trials for Sunosi. Personnel expenses increased by $7.2 million in 2018 compared to 2017, primarily due to increased headcount in support of our development programs. Milestone expense of $11.0 million in 2018 related to milestone payments following FDA acceptance of our NDA for Sunosi in March 2018.</w:t>
      </w:r>
    </w:p>
    <w:p>
      <w:pPr>
        <w:spacing w:after="0" w:line="74" w:lineRule="exact"/>
        <w:rPr>
          <w:sz w:val="20"/>
          <w:szCs w:val="20"/>
          <w:color w:val="auto"/>
        </w:rPr>
      </w:pPr>
    </w:p>
    <w:p>
      <w:pPr>
        <w:ind w:right="100" w:firstLine="432"/>
        <w:spacing w:after="0" w:line="219" w:lineRule="exact"/>
        <w:rPr>
          <w:sz w:val="20"/>
          <w:szCs w:val="20"/>
          <w:color w:val="auto"/>
        </w:rPr>
      </w:pPr>
      <w:r>
        <w:rPr>
          <w:rFonts w:ascii="Arial" w:cs="Arial" w:eastAsia="Arial" w:hAnsi="Arial"/>
          <w:sz w:val="16"/>
          <w:szCs w:val="16"/>
          <w:color w:val="auto"/>
        </w:rPr>
        <w:t>For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Intangible asset amortization increased in 2019 compared to 2018 primarily due to the amortization of the cost of the PRV of $111.1 million in full following the notification to the FDA of our intention to redeem it in the NDA submission for JZP-258 and the reduction in the estimated remaining useful life of the Erwinaze intangible asset resulting from the contract termination notice we received from PBL in February 2019. Intangible asset amortization increased in 2018 compared to 2017 primarily due to the commencement of amortization of the Vyxeos intangible asset upon FDA approval in August 2017. Intangible asset amortization is expected to decrease in 2020 compared to 2019 as a result of the amortization in full of our PRV intangible asset in the fourth quarter of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June 2018, we entered into an asset purchase agreement, or APA, with TerSera, pursuant to which TerSera agreed to purchase substantially all of the assets held by us related to Prialt. In connection with the entry into the APA, which was subsequently amended, we reclassified the Prialt assets to be transferred to TerSera as assets held for sale and recorded these assets at fair value, less estimated sales costs, resulting in the recognition of an impairment charge of $42.9 million in 2018. The transaction closed in September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 2019, acquired in-process research and development, or IPR&amp;D expense primarily related to an upfront payment of $56.0 million to Codiak in connection with our strategic collaboration agreement and the value attributed to JZP-385 in the acquisition of Cavion.</w:t>
      </w:r>
    </w:p>
    <w:p>
      <w:pPr>
        <w:spacing w:after="0" w:line="6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2017, IPR&amp;D expense was primarily related to an upfront payment of $75.0 million in connection with our collaboration and option agreement with ImmunoGen.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Interest expense, net decreased by $4.8 million in 2019 compared to 2018, primarily due to higher interest income. Interest expense, net decreased by $0.7 million in 2018 compared to 2017, primarily due to higher interest income, partially offset by the interest expense on our 1.50% exchangeable senior notes due 2024, or the 2024 Notes, which were issued in August 2017. We expect interest expense, net will not change materially in 2020 compared to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117"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2018, we recorded a loss of $1.4 million in connection with the second amendment of our 2015 credit agreement, related to unamortized debt issuance costs and original issue discount associated with extinguished debt and new third party fees associated with modified debt.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income tax benefit was $73.2 million and $47.7 million in 2019 and 2017, respectively, and our income tax provision was $80.2 million in 2018. The income tax benefit for 2019 includes a discrete tax benefit of $112.3 million resulting from an intra-entity intellectual property asset transfer. The income tax benefit, which represents a deferred future benefit, was recorded as a deferred tax asset. The income tax benefit in 2017 included a benefit of $148.8 million relating to the enactment of the U.S. Tax Cuts and Jobs Act, or the U.S. Tax Act. The effective tax rates for 2019, 2018 and 2017 were (16.1)%,</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15.1% and (10.8)%, respectively. The effective tax rate for 2019 was lower than the Irish statutory rate of 12.5% primarily due to the impact of the intra-entity intellectual property asset transfer. The effective tax rate for 2018 was higher than the Irish statutory rate of 12.5%, primarily due to income taxable at a rate higher than the Irish statutory rate and unrecognized tax benefits, partially offset by the release of reserves related to unrecognized tax benefits upon the expiration of a statute of limitation, originating tax credits and the release of a valuation allowance held primarily against certain foreign net operating losses or NOLs. The effective tax rate for 2017 was lower than the Irish statutory rate of 12.5%, primarily due to the impact of the enactment of the U.S. Tax Act. The decrease in the effective tax rate for 2019 compared to 2018 was primarily due to the impact of the intra-entity intellectual property asset transfer. Excluding this effect, the decrease in the effective tax rate for 2019 compared to 2018 was primarily due to the benefit from the application of the Italian patent box incentive regime. The increase in the effective tax rate for 2018 compared to 2017 was primarily due to the impact of the enactment of the U.S. Tax Act. Excluding this effect, the effective rate in 2018 would have decreased compared to 2017 primarily due to a decrease in the U.S. corporate income tax 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Equity in loss of investees relates to our share in the net loss of companies in which we have made investments accounted for under the equity method of accounting.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2019, we had cash, cash equivalents and investments of $1.1 billion, borrowing availability under our revolving credit facility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$1.6 billion and a long-term debt principal balance of $1.8 billion. Our long-term debt included $617.7 million aggregate principal amount term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$575.0 million principal amount of our 1.875% exchangeable senior notes due 2021 and $575.0 million principal amount of our 1.50% exchangeable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During 2019, 2018 and 2017, we generated cash flows from operations of $776.4 million, $798.9 million and $693.1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we expect to continue to generate positive cash flow from operations.</w:t>
      </w:r>
    </w:p>
    <w:p>
      <w:pPr>
        <w:spacing w:after="0" w:line="103" w:lineRule="exact"/>
        <w:rPr>
          <w:sz w:val="20"/>
          <w:szCs w:val="20"/>
          <w:color w:val="auto"/>
        </w:rPr>
      </w:pPr>
    </w:p>
    <w:p>
      <w:pPr>
        <w:ind w:right="40" w:firstLine="405"/>
        <w:spacing w:after="0" w:line="218" w:lineRule="exact"/>
        <w:rPr>
          <w:sz w:val="20"/>
          <w:szCs w:val="20"/>
          <w:color w:val="auto"/>
        </w:rPr>
      </w:pPr>
      <w:r>
        <w:rPr>
          <w:rFonts w:ascii="Arial" w:cs="Arial" w:eastAsia="Arial" w:hAnsi="Arial"/>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under the headings “Risks Related to our Lead Products and Product Candidates” and </w:t>
      </w:r>
      <w:r>
        <w:rPr>
          <w:rFonts w:ascii="Arial" w:cs="Arial" w:eastAsia="Arial" w:hAnsi="Arial"/>
          <w:sz w:val="18"/>
          <w:szCs w:val="18"/>
          <w:i w:val="1"/>
          <w:iCs w:val="1"/>
          <w:color w:val="auto"/>
        </w:rPr>
        <w:t>“To continue to grow our business, we will need to commit substantial resources, which could result in future losses or otherwise limit our opportunities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affect our ability to operate our business.” </w:t>
      </w:r>
      <w:r>
        <w:rPr>
          <w:rFonts w:ascii="Arial" w:cs="Arial" w:eastAsia="Arial" w:hAnsi="Arial"/>
          <w:sz w:val="18"/>
          <w:szCs w:val="18"/>
          <w:color w:val="auto"/>
        </w:rPr>
        <w:t>Our assumptions may prove to be wrong or other factors may adversely affect our business, and as a result we</w:t>
      </w:r>
      <w:r>
        <w:rPr>
          <w:rFonts w:ascii="Arial" w:cs="Arial" w:eastAsia="Arial" w:hAnsi="Arial"/>
          <w:sz w:val="18"/>
          <w:szCs w:val="18"/>
          <w:i w:val="1"/>
          <w:iCs w:val="1"/>
          <w:color w:val="auto"/>
        </w:rPr>
        <w:t xml:space="preserve"> </w:t>
      </w:r>
      <w:r>
        <w:rPr>
          <w:rFonts w:ascii="Arial" w:cs="Arial" w:eastAsia="Arial" w:hAnsi="Arial"/>
          <w:sz w:val="18"/>
          <w:szCs w:val="18"/>
          <w:color w:val="auto"/>
        </w:rPr>
        <w:t>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9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Any equity financing would be dilutive to our shareholders, and the consent of the lenders under the amended credit agreement could be required for certain financings.</w:t>
      </w:r>
    </w:p>
    <w:p>
      <w:pPr>
        <w:spacing w:after="0" w:line="7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November 2016, our board of directors authorized a share repurchase program pursuant to which we were authorized to repurchase a number of ordinary shares having an aggregate purchase price of up to $300 million, exclusive of any brokerage commissions. In November and December 2018, our board of directors increased the existing share repurchase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program authorization by $320.0 million and $400.0 million, respectively. In October 2019, our board of directors authorized the additional repurchase of shares having an aggregate purchase price of up to $500.0 million,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repurchase program may be modified, suspended or discontinued at any time without prior notice. In 2019, we spent a total of $301.5 million to purchase 2.3 million of our ordinary shares under the share repurchase program at an average total purchase price, including brokerage commissions, of $133.97 per share. In 2018, we spent a total of $523.7 million to repurchase 3.5 million of our ordinary shares at an average total purchase price, including brokerage commissions, of $148.33 per share. All ordinary shares repurchased were canceled. As of December 31, 2019, the remaining amount authorized under the share repurchase program was $577.7 million.</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776,401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693,087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(155,300)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(394,487)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(268,950)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5,046</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327,722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20,072</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84" w:lineRule="auto"/>
        <w:rPr>
          <w:sz w:val="20"/>
          <w:szCs w:val="20"/>
          <w:color w:val="auto"/>
        </w:rPr>
      </w:pPr>
      <w:r>
        <w:rPr>
          <w:rFonts w:ascii="Arial" w:cs="Arial" w:eastAsia="Arial" w:hAnsi="Arial"/>
          <w:sz w:val="16"/>
          <w:szCs w:val="16"/>
          <w:color w:val="auto"/>
        </w:rPr>
        <w:t>Net cash provided by operating activities of $776.4 million in 2019 related to net income of $523.4 million, adjusted for acquired IPR&amp;D expense of $110.0 million and non-cash items of $293.1 million primarily related to intangible asset amortization, share-based compensation expense, amortization of debt discount and deferred financing costs and deferred income taxes, partially offset by a net cash outflow of $150.1 million related to changes in operating assets and liabilities. Net cash provided by operating activities of $798.9 million in 2018 related to net income of $447.1 million, adjusted for non-cash items of $328.5 million primarily related to intangible asset amortization, share-based compensation expense, impairment charges, amortization of debt discount and deferred financing costs and deferred income taxes and a net cash inflow of $23.3 million related to changes in operating assets and liabilities. Net cash provided by operating activities of $693.1 million in 2017 related to net income of $487.8 million, adjusted for acquired IPR&amp;D expense totaling</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$85.0 million and non-cash items of $93.5 million primarily related to intangible asset amortization, share-based compensation expense, amortization of debt discount and deferred financing costs and deferred income taxes and a net cash inflow of $26.8 million related to changes in operating assets and liabilities.</w:t>
      </w:r>
    </w:p>
    <w:p>
      <w:pPr>
        <w:spacing w:after="0" w:line="3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Net cash used in investing activities in 2019 related to milestone payments of $80.5 million triggered by FDA approval of Sunosi in March 2019 and subsequent U.S. Drug Enforcement Agency scheduling in June 2019, upfront payments for acquired IPR&amp;D of $61.7 million primarily related to our strategic collaboration agreement with Codiak, consideration, net of cash acquired, of $55.1 million related to our acquisition of Cavion and purchases of property, plant and equipment of $40.1 million, partially offset by the net proceeds on maturity of investments of $67.9 million and net proceeds from the sale of assets of $14.2 million related to the sale of our rights to Prialt to TerSera in September 2018. Net cash used in investing activities in 2018 primarily related to the net acquisition of investments of $310.9 million, acquisition of intangible assets of $111.1 million, related to the purchase of a PRV, and purchases of property, plant and equipment of $20.4 million, partially offset by net proceeds of $47.9 million from the sale of our rights to Prialt to TerSera. Net cash used in investing activities in 2017 primarily related to the net acquisition of investments of $155.0 million, upfront payments for acquired IPR&amp;D of $85.0 million primarily related to our collaboration and option agreement with ImmunoGen and purchases of property, plant and equipment of $29.0 million.</w:t>
      </w:r>
    </w:p>
    <w:p>
      <w:pPr>
        <w:spacing w:after="0" w:line="5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Net cash used in financing activities in 2019 primarily related to repurchase of ordinary shares under our share repurchase program of $301.5 million, repayment of our term loan principal of $33.4 million and payment of employee withholding taxes of $16.7 million related to share-based awards, partially offset by proceeds from employee equity incentive and purchase plans of $57.8 million. Net cash used in financing activities in 2018 primarily related to repurchase of ordinary shares under our share repurchase program of $523.7 million, repayment of our term loan principal of $25.7 million, payment of employee withholding taxes of $17.9 million related to share-based awards and payment of debt modification costs of $6.4 million, partially offset by proceeds from employee equity incentive and purchase plans of $93.3 million. Net cash used in financing activities in 2017 primarily related to repayment of borrowings under our revolving credit facility of $850.0 million, repurchase of ordinary shares under our share repurchase program of $98.8 million, repayment of our term loan principal of $36.1 million and payment of employee withholding taxes of $18.6 million related to share-based awards, partially offset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proceeds from issuance of debt of $559.4 million, proceeds from employee equity incentive and purchase plans of $31.8 million and proceeds from a tenant improvement allowance on a build-to-suit lease of $3.2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6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June 18, 2015, Jazz Pharmaceuticals plc, as guarantor, and certain of our wholly owned subsidiaries, as borrowers, entered into the 2015 credit agreement that provided for a $750.0 million principal amount term loan, which was drawn in full 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a previous credit agreement, and to pay related fees and expenses. The previous credit agreement was terminated upon repayment of the term loans outstanding thereunder.</w:t>
      </w:r>
    </w:p>
    <w:p>
      <w:pPr>
        <w:spacing w:after="0" w:line="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July 12, 2016, Jazz Pharmaceuticals plc, as guarantor, and certain of our wholly owned subsidiaries, as borrowers, entered into Amendment No. 1 to our 2015 credit agreement to provide for a revolving credit facility of $1.25 billion and a $750.0 million term loan facility. We used the proceeds of $1.0 billion of loans under the revolving credit facility, together with cash on hand, to fund the Celator Acquisition.</w:t>
      </w:r>
    </w:p>
    <w:p>
      <w:pPr>
        <w:spacing w:after="0" w:line="12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On June 7, 2018, we entered into the second amendment to the 2015 credit agreement to provide for a revolving credit facility of $1.6 billion, which replaced the existing revolving credit facility of $1.25 billion, and a new $667.7 million term loan facility, which replaced the $750.0 million term loan facility, of which $617.7 million principal amount was outstanding as of December 31, 2019. We refer to the 2015 credit agreement as amended by the first and second amendments as the amended credit agreement in this report. We expect to use the proceeds from future loans under the revolving credit facility, if any, for permitted capital expenditures and acquisitions, to provide for ongoing working capital requirements and for other general corporate purposes.</w:t>
      </w:r>
    </w:p>
    <w:p>
      <w:pPr>
        <w:spacing w:after="0" w:line="5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Under the amended credit agreement, the term loan matures on June 7, 2023 and the revolving credit facility terminates, and any loans outstanding thereunder become due and payable, on June 7, 2023.</w:t>
      </w:r>
    </w:p>
    <w:p>
      <w:pPr>
        <w:spacing w:after="0" w:line="62"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1.375% to 1.750% per annum, based upon our secured leverage ratio, or (b) the prime lending rate, plus an applicable margin ranging from 0.375% to 0.750% per annum, based upon our secured leverage ratio. The revolving credit facility has a commitment fee payable on the undrawn amount ranging from 0.25% to 0.35% per annum based upon our secured leverage ratio.</w:t>
      </w:r>
    </w:p>
    <w:p>
      <w:pPr>
        <w:spacing w:after="0" w:line="79" w:lineRule="exact"/>
        <w:rPr>
          <w:sz w:val="20"/>
          <w:szCs w:val="20"/>
          <w:color w:val="auto"/>
        </w:rPr>
      </w:pPr>
    </w:p>
    <w:p>
      <w:pPr>
        <w:jc w:val="both"/>
        <w:ind w:right="320" w:firstLine="432"/>
        <w:spacing w:after="0" w:line="277" w:lineRule="auto"/>
        <w:rPr>
          <w:sz w:val="20"/>
          <w:szCs w:val="20"/>
          <w:color w:val="auto"/>
        </w:rPr>
      </w:pPr>
      <w:r>
        <w:rPr>
          <w:rFonts w:ascii="Arial" w:cs="Arial" w:eastAsia="Arial" w:hAnsi="Arial"/>
          <w:sz w:val="18"/>
          <w:szCs w:val="18"/>
          <w:color w:val="auto"/>
        </w:rPr>
        <w:t>As of December 31, 2019, the interest rate on the term loan was 3.17% and the effective interest rate was 3.66%. As of December 31, 2019, we had undrawn amounts under our revolving credit facility totaling $1.6 billion.</w:t>
      </w:r>
    </w:p>
    <w:p>
      <w:pPr>
        <w:spacing w:after="0" w:line="62" w:lineRule="exact"/>
        <w:rPr>
          <w:sz w:val="20"/>
          <w:szCs w:val="20"/>
          <w:color w:val="auto"/>
        </w:rPr>
      </w:pPr>
    </w:p>
    <w:p>
      <w:pPr>
        <w:jc w:val="both"/>
        <w:ind w:right="80" w:firstLine="432"/>
        <w:spacing w:after="0" w:line="302" w:lineRule="auto"/>
        <w:rPr>
          <w:sz w:val="20"/>
          <w:szCs w:val="20"/>
          <w:color w:val="auto"/>
        </w:rPr>
      </w:pPr>
      <w:r>
        <w:rPr>
          <w:rFonts w:ascii="Arial" w:cs="Arial" w:eastAsia="Arial" w:hAnsi="Arial"/>
          <w:sz w:val="16"/>
          <w:szCs w:val="16"/>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our subsidiaries (including the issuer of the 2021 Notes and the 2024 Notes, together referred to as the Exchangeable Senior Notes as described below) and are secured by substantially all of Jazz Pharmaceuticals plc’s, the borrowers’ and the guarantor subsidiaries’ assets.</w:t>
      </w:r>
    </w:p>
    <w:p>
      <w:pPr>
        <w:spacing w:after="0" w:line="46"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other exceptions), (2) net cash proceeds from issuances of debt (other than certain permitted debt), and (3) casualty proceeds and condemnation awards (subject to other exceptions).</w:t>
      </w:r>
    </w:p>
    <w:p>
      <w:pPr>
        <w:spacing w:after="0" w:line="3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June 7, 2018 of $667.7 million, with any remaining balance payable on the maturity date.</w:t>
      </w:r>
    </w:p>
    <w:p>
      <w:pPr>
        <w:spacing w:after="0" w:line="6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our restricted subsidiaries to not (a) exceed a maximum secured net leverage ratio or (b) fall below a cash interest coverage ratio. As of December 31, 2019, we were in compliance with these financial covenants.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12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2024 Notes. </w:t>
      </w:r>
      <w:r>
        <w:rPr>
          <w:rFonts w:ascii="Arial" w:cs="Arial" w:eastAsia="Arial" w:hAnsi="Arial"/>
          <w:sz w:val="17"/>
          <w:szCs w:val="17"/>
          <w:color w:val="auto"/>
        </w:rPr>
        <w:t>In the third quarter of 2017, our wholly owned subsidiary Jazz Investments I Limited, completed a private placement of $575.0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2024 Notes. We used the net proceeds from this offering to repay $500.0 million in outstanding loans under the revolving credit facility under the amended credit agreement and to pay related fees and expenses. We used the remainder of the net proceeds for general corporate purposes. The 2024 Notes are senior unsecured obligations of Jazz Investments I Limited and are fully and unconditionally guaranteed on a senior unsecured basis by Jazz Pharmaceuticals plc and will rank pari passu in right of payment with the existing 2021 Notes. Interest on the 2024 Notes is payable semi-annually in cash in arrears on February 15 and August 15 of each year, beginning on February 15, 2018,</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 xml:space="preserve">2021 Notes. </w:t>
      </w:r>
      <w:r>
        <w:rPr>
          <w:rFonts w:ascii="Arial" w:cs="Arial" w:eastAsia="Arial" w:hAnsi="Arial"/>
          <w:sz w:val="17"/>
          <w:szCs w:val="17"/>
          <w:color w:val="auto"/>
        </w:rPr>
        <w:t>In August 2014, Jazz Investments I Limited completed a private placement of $575.0 million principal amount of the 2021 Notes. The</w:t>
      </w:r>
    </w:p>
    <w:p>
      <w:pPr>
        <w:spacing w:after="0" w:line="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2021 Notes are senior unsecured obligations of Jazz Investments I Limited and are fully and unconditionally guaranteed on a senior unsecured basis by Jazz Pharmaceuticals plc.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13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we undergo certain fundamental changes, such as specified change of control transactions, our liquidation or dissolution or the delisting of our ordinary shares from The Nasdaq Global Select Market.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113"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December 31,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w w:val="89"/>
              </w:rPr>
              <w:t>Payments Due by Period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Contractual Obligations (1)</w:t>
            </w:r>
          </w:p>
        </w:tc>
        <w:tc>
          <w:tcPr>
            <w:tcW w:w="28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 principal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617,654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 loan - interest (2)</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 - principal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Exchangeable Senior Notes - interest (3)</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64,688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28,031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 commitment fee (4)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 to equity method investees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and other obligations (5)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 (6)</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213,578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104,655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2,238,871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180,304</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783,543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1,170,282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0" w:hanging="336"/>
        <w:spacing w:after="0" w:line="283"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In December 2019, we entered into an exclusive license agreement with PharmaMar, for development and U.S. commercialization of lurbinectedin, a product candidate under clinical investigation for the treatment of patients with relapsed SCLC. The agreement became effective in January 2020 and we made an upfront payment of $200.0 million. PharmaMar is also eligible to receive milestone payments totaling up to $800.0 million based on regulatory and commercial milestones. PharmaMar is also eligible to receive incremental tiered royalties on future net sales of lurbinectedin ranging from the high teens up to 30 percent. In January 2019, we entered into a strategic collaboration agreement with Codiak for an exclusive, worldwide, royalty-bearing license to develop, manufacture and commercialize potential therapeutic candidates directed at five targets to be developed using Codiak’s engEx™ precision engineering platform for exosome therapeutics. Codiak is eligible to receive up to $20 million in preclinical development milestone payments. Codiak is also eligible to receive milestone payments totaling up to $200 million per target based on investigational NDA acceptance, clinical and regulatory milestones, including approvals in the U.S., the EU and Japan, and certain sales milestones. Codiak is also eligible to receive tiered royalties on net sales of each approved product. In August 2019, we announced the acquisition of Cavion, for an upfront payment of $52.5 million with the potential for additional payments of up to $260.0 million upon the achievement of certain clinical, regulatory and commercial milestones, for a total potential consideration of $312.5 million. In July 2019, we acquired a pan-RAF inhibitor program for the potential treatment of RAF and RAS mutant tumors from Redx. Redx is eligible to receive up to $203 million in development, regulatory and commercial milestone payments from us, as well as incremental tiered royalties in mid-single digit percentage based on any future net sales. In 2014, we acquired worldwide development, manufacturing and commercial rights to Sunosi from Aerial (other than in certain jurisdictions in Asia where SK Biopharmaceuticals Co., Ltd, or SK, retains rights). In January 2020, we received approval of Sunosi by the EC, triggering regulatory milestones of $10.0 million and $3.0 million to Aerial and SK, respectively. Aerial and SK are currently eligible to receive milestone payments up to an aggregate of $165 million based on sales milestones and tiered royalties from high single digits to mid-teens based on potential future sales of Sunosi. In July 2016, we entered into an agreement with Pfenex, which was subsequently amended in December 2017, that granted us worldwide rights to develop and commercialize multiple early-stage hematology product candidates and an option for us to negotiate a license for a recombinant pegaspargase product candidate with Pfenex. Under the amended agreement, Pfenex is eligible to receive future payments of up to $163 million based on the achievement of development, regulatory and sales milestones. Potential future milestone payments to other third parties under other agreements could be up to an aggregate of $123 million. These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192" w:lineRule="exact"/>
        <w:rPr>
          <w:rFonts w:ascii="Arial" w:cs="Arial" w:eastAsia="Arial" w:hAnsi="Arial"/>
          <w:sz w:val="16"/>
          <w:szCs w:val="16"/>
          <w:color w:val="auto"/>
        </w:rPr>
      </w:pPr>
    </w:p>
    <w:p>
      <w:pPr>
        <w:ind w:left="540" w:hanging="316"/>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interest for variable rate debt was calculated based on the interest rates in effect as of December 31, 2019. The interest rate for our term loan borrowing was 3.17% as of December 31, 2019. Interest that is fixed, associated with our interest rate swaps, is calculated based on the fixed interest swap rate as of December 31, 2019.</w:t>
      </w:r>
    </w:p>
    <w:p>
      <w:pPr>
        <w:spacing w:after="0" w:line="1" w:lineRule="exact"/>
        <w:rPr>
          <w:rFonts w:ascii="Arial" w:cs="Arial" w:eastAsia="Arial" w:hAnsi="Arial"/>
          <w:sz w:val="18"/>
          <w:szCs w:val="18"/>
          <w:color w:val="auto"/>
        </w:rPr>
      </w:pPr>
    </w:p>
    <w:p>
      <w:pPr>
        <w:ind w:left="540" w:right="220" w:hanging="316"/>
        <w:spacing w:after="0" w:line="261"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used the fixed interest rates of 1.875% on the 2021 Notes and 1.50% on the 2024 Notes to estimate interest owed as of December 31, 2019 until the respective final maturity dates of these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40" w:right="80" w:hanging="316"/>
        <w:spacing w:after="0" w:line="25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revolving credit facility has a commitment fee payable on the undrawn amount ranging from 0.25% to 0.35% per annum based upon our secured leverage ratio. In the table above, we used a rate of 0.25% and assumed undrawn amounts of $1.6 billion as of December 31, 2019 to estimate commitment fees owed.</w:t>
      </w:r>
    </w:p>
    <w:p>
      <w:pPr>
        <w:ind w:left="540" w:right="12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 and to ImmunoGen under our amended collaboration and option agreement.</w:t>
      </w:r>
    </w:p>
    <w:p>
      <w:pPr>
        <w:ind w:left="540" w:right="300" w:hanging="316"/>
        <w:spacing w:after="0" w:line="26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and automobile lease payments for our sales force. Operating expenses associated with our leased office buildings are not included in table above.</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Cumulative unremitted earnings of our foreign subsidiaries totaled approximately $1.6 billion at December 31, 2019. In the event of the distribution of those earnings in the form of dividends or otherwise, we may be liable for income taxes, subject to an adjustment, if any, for foreign tax credits and foreign withholding taxes payable to certain foreign tax authorities. As of December 31, 2019, it is not practicable to determine the amount of the income tax liability related to these undistributed earnings due to a variety of factors.</w:t>
      </w:r>
    </w:p>
    <w:p>
      <w:pPr>
        <w:spacing w:after="0" w:line="8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our liability for unrecognized tax benefits has been excluded from the above contractual obligations table as the nature and timing of future payments, if any, cannot be reasonably estimated. As of December 31, 2019, our liability for gross unrecognized tax benefits amounted to $124.3 million (excluding interest and penalties). We do not anticipate that the amount of our existing liability for unrecognized tax benefits will significantly change in the next twelve months.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firstLine="432"/>
        <w:spacing w:after="0" w:line="220" w:lineRule="exact"/>
        <w:rPr>
          <w:sz w:val="20"/>
          <w:szCs w:val="20"/>
          <w:color w:val="auto"/>
        </w:rPr>
      </w:pPr>
      <w:r>
        <w:rPr>
          <w:rFonts w:ascii="Arial" w:cs="Arial" w:eastAsia="Arial" w:hAnsi="Arial"/>
          <w:sz w:val="16"/>
          <w:szCs w:val="16"/>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believe the following accounting estimates and policies to be critical.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significant portion of our net product revenues is derived from sales of Xyrem. We sell Xyrem in the U.S. to a single central pharmacy, Express Scripts Specialty Distribution Services, Inc., or ESSDS. In 2019, sales of Xyrem to Express Scripts accounted for 76% of our net product sales. We recognize revenues from sales of Xyrem within the U.S. when control has transferred to the customer, which occurs when ESSDS removes product from our consigned inventory location at its facility for shipment directly to a patient. We do not accept returns of Xyrem from ESSDS.</w:t>
      </w:r>
    </w:p>
    <w:p>
      <w:pPr>
        <w:spacing w:after="0" w:line="6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Items Deducted from Gross Product Sales</w:t>
      </w:r>
      <w:r>
        <w:rPr>
          <w:rFonts w:ascii="Arial" w:cs="Arial" w:eastAsia="Arial" w:hAnsi="Arial"/>
          <w:sz w:val="17"/>
          <w:szCs w:val="17"/>
          <w:color w:val="auto"/>
        </w:rPr>
        <w:t>. Revenues from sales of products are recorded net of government rebates and rebates under managed care</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a significant portion of our revenues from sales of Xyrem in the U.S. to one specialty pharmacy customer, ESSDS, we have a much higher level of knowledge about each prescription than if we sold the product through the normal pharmaceutical wholesaler channel as we do with most of our other products. The most significant items deducted from gross product sales where we exercise judgment are rebates, sales returns and chargebacks.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Sales Returns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144,596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36,642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223,625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77,162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88,785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(245,490)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net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153,930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257,354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(245,273)</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82,853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101,570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60" w:firstLine="378"/>
        <w:spacing w:after="0" w:line="312" w:lineRule="auto"/>
        <w:rPr>
          <w:sz w:val="20"/>
          <w:szCs w:val="20"/>
          <w:color w:val="auto"/>
        </w:rPr>
      </w:pPr>
      <w:r>
        <w:rPr>
          <w:rFonts w:ascii="Arial" w:cs="Arial" w:eastAsia="Arial" w:hAnsi="Arial"/>
          <w:sz w:val="16"/>
          <w:szCs w:val="16"/>
          <w:color w:val="auto"/>
        </w:rPr>
        <w:t>Total items deducted from gross product sales were $257.4 million, $246.2 million and $223.6 million, or 10.8%, 11.6% and 12.3% as a percentage of gross product sales, in 2019, 2018 and 2017, respectively. Included in these amounts are immaterial adjustments related to prior-year sales due to changes in estimates. Such amounts represented less than 1% of net product sales for each of the years ended December 31, 2019, 2018 and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subject to rebates on sales made under governmental and managed-care pricing programs and commercial payor contracts in the U.S.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U.S. wholesalers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Rebates were $153.9 million, $160.6 million and $144.6 million, or 6.5%, 7.6% and 7.9% as a percentage of gross product sales, in 2019, 2018 and 2017, respectively. Rebates as a percentage of gross product sales decreased in 2019 compared to 2018 primarily due to a decrease in the Tricare per unit rebate amount. Rebates as a percentage of gross product sales did not change materially in 2018 compared to 2017. We expect that rebates will continue to significantly impact our reported net sales. Rebates as a percentage of gross product sales are expected to increase in 2020 compared to 2019, primarily due to the entry into additional contracts with commercial payors.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80"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Sales returns were $5.5 million, $1.2 million and $0.4 million, or 0.2%, 0.1% and 0% as a percentage of gross product sales in 2019, 2018 and 2017, respectively. Sales returns as a percentage of gross product sales did not change materially in 2019 and 2018 compared to the immediately preceding years. Sales returns as a percentage of gross product sales are not expected to change materially in 2020 compared to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participate in chargeback programs with a number of entities, principally the U.S. Department of Defense, the U.S. Department of Veterans Affairs and other public parties, under which pricing on products below wholesalers’ list prices is provided to participating entities. These entities purchase product through wholesalers at the lower negotiated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Chargebacks were $41.9 million, $41.4 million and $41.9 million, or 1.8%, 2.0% and 2.3% as a percentage of gross product sales in 2019, 2018 and 2017, respectively. Chargebacks as a percentage of gross product sales did not change materially in 2019 and 2018 compared to the immediately preceding years. We expect that chargebacks will continue to significantly impact our reported net product sales. Chargebacks as a percentage of gross product sales are not expected to change materially in 2020 compared to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distributor fees</w:t>
      </w:r>
    </w:p>
    <w:p>
      <w:pPr>
        <w:spacing w:after="0" w:line="11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Discounts and distributor fees were $56.0 million, $43.0 million and $36.6 million, or 2.4%, 2.0% and 2.0% as a percentage of gross product sales in 2019, 2018 and 2017, respectively. Discounts and distributor fees as a percentage of gross product sales did not change materially in 2019 and 2018 compared to the immediately preceding years. We expect that discounts and distributor fees as a whole will continue to significantly impact our reported net product sales. Discounts and distributor fees as a percentage of gross product sales are not expected to change materially in 2020 compared to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2019 and concluded that goodwill was not impaired as the fair value of the reporting unit significantly exceeded its carrying amount, including goodwill. As of December 31, 2019, we had $920.0 million of goodwill resulting from acquisitions accounted for as business combinations.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have acquired a number of intangible assets, including intangible assets related to currently marketed products (developed technology) and intangible assets related to product candidates (IPR&amp;D).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63"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79"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Finite-lived intangible assets consist primarily of purchased developed technology and are amortized on a straight-line basis over their estimated useful lives, which range from two to 18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59"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1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As of December 31, 2019, we had $2.3 billion of finite-lived intangible assets and $0.1 billion of IPR&amp;D assets. In relation to the sale of our rights to Prialt to TerSera in 2018, we adjusted the carrying value of the assets held for sale to fair value less costs to sell, which resulted in an impairment charge of $42.9 million in our consolidated statements of income in 2018, primarily related to the carrying balances of intangible assets. We did not recognize an impairment charge related to our intangible assets in 2019 and 2017.</w:t>
      </w:r>
    </w:p>
    <w:p>
      <w:pPr>
        <w:spacing w:after="0" w:line="79" w:lineRule="exact"/>
        <w:rPr>
          <w:sz w:val="20"/>
          <w:szCs w:val="20"/>
          <w:color w:val="auto"/>
        </w:rPr>
      </w:pPr>
    </w:p>
    <w:p>
      <w:pPr>
        <w:ind w:right="140" w:firstLine="432"/>
        <w:spacing w:after="0" w:line="224" w:lineRule="exact"/>
        <w:rPr>
          <w:sz w:val="20"/>
          <w:szCs w:val="20"/>
          <w:color w:val="auto"/>
        </w:rPr>
      </w:pPr>
      <w:r>
        <w:rPr>
          <w:rFonts w:ascii="Arial" w:cs="Arial" w:eastAsia="Arial" w:hAnsi="Arial"/>
          <w:sz w:val="16"/>
          <w:szCs w:val="16"/>
          <w:color w:val="auto"/>
        </w:rPr>
        <w:t>Please refer to Note 9, Goodwill and Intangible assets, of the Notes to Consolidated Financial Statements included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further information about our intangible assets and the remaining useful lives of our finite-lived intangible assets as of December 31,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most significant tax jurisdictions are Ireland and the U.S. Significant estimates are required in determining our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8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and are consistent with the plans and estimates that we are using to manage our underlying business.</w:t>
      </w:r>
    </w:p>
    <w:p>
      <w:pPr>
        <w:spacing w:after="0" w:line="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provision in that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provision (benefit).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have elected to use the Black-Scholes option pricing model to calculate the fair value of share option grants under our equity incentive plans and grants under our employee stock purchase plan, or ESPP, and we are using the straight-line method to allocate compensation cost to reporting periods. The fair value of share options was estimated using the following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164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4.3</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risk-free rates</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1.6-2.1%</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inputs which require the greatest judgment and have a large impact on fair values are volatility and expected term.</w:t>
      </w:r>
    </w:p>
    <w:p>
      <w:pPr>
        <w:spacing w:after="0" w:line="11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rely only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We estimated the weighted-average expected term based on historical exercise data.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432"/>
        <w:spacing w:after="0" w:line="223" w:lineRule="exact"/>
        <w:rPr>
          <w:sz w:val="20"/>
          <w:szCs w:val="20"/>
          <w:color w:val="auto"/>
        </w:rPr>
      </w:pPr>
      <w:r>
        <w:rPr>
          <w:rFonts w:ascii="Arial" w:cs="Arial" w:eastAsia="Arial" w:hAnsi="Arial"/>
          <w:sz w:val="18"/>
          <w:szCs w:val="18"/>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primary objectives of our investment policy, in order of priority, are as follows: safety and preservation of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2019 consisted of time deposits and money market funds which are not subject to significant interest rate risk.</w:t>
      </w:r>
    </w:p>
    <w:p>
      <w:pPr>
        <w:spacing w:after="0" w:line="8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are exposed to risks associated with changes in interest rates in connection with our term loan borrowings. On June 7, 2018, we entered into the amended credit agreement to provide for a revolving credit facility of $1.6 billion,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replaced the existing revolving credit facility of $1.25 billion, and a new $667.7 million term loan facility, which replaced the $750.0 million term loan facility, of which $617.7 million principal amount was outstanding as of December 31, 2019. There were no borrowings outstanding under the revolving credit facility as of December 31, 2019. To achieve a desired mix of floating and fixed interest rates on our term loan, we entered into interest rate swap agreements in March 2017 that are designated as cash flow hedges. These derivative instruments are utilized for risk management purposes, and we do not use these derivatives for speculative trading purposes. The interest rate swap agreements have a notional amount of $300.0 million and are effective from March 3, 2017 through July 12, 2021 and convert the floating rate on a portion of our term loan to a fixed rate of 1.895%, plus the borrowing spread. The impact of a hypothetical increase or decrease in interest rates on the fair value of our interest rate swap contracts would be offset by a change in the value of the underlying liability. If interest rates were to increase or decrease by 100 basis points, interest expense for 2020 would increase or decrease by approximately $2.8 million, based on the unhedged portion of our outstanding variable rate borrowings.</w:t>
      </w:r>
    </w:p>
    <w:p>
      <w:pPr>
        <w:spacing w:after="0" w:line="5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August 2014, we completed a private placement of $575.0 million aggregate principal amount of the 2021 Notes. In the third quarter of 2017, we completed another private placement of $575.0 million aggregate principal amount of the 2024 Notes. The 2021 Notes and 2024 Notes have fixed annual interest rates of 1.875% and 1.50%, respectively, and we, therefore, do not have economic interest rate exposure on the Exchangeable Senior Notes. However, the fair values of the Exchangeable Senior Notes are exposed to interest rate risk. Generally, the fair values of the Exchangeable Senior Notes will increase as interest rates fall and decrease as interest rates rise. The fair values of the Exchangeable Senior Notes are also affected by volatility in our ordinary share price. As of December 31, 2019, the fair values of the 2021 Notes and the 2024 Notes were estimated to be $592 million and $579 million, respectively.</w:t>
      </w:r>
    </w:p>
    <w:p>
      <w:pPr>
        <w:spacing w:after="0" w:line="5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July 2017, the Financial Conduct Authority, the authority that regulates LIBOR, announced it intended to stop compelling banks to submit rates for the calculation of LIBOR after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 wide and company specific transition plans as it relates to derivatives and cash markets exposed to USD LIBOR. We have certain financial contracts, including the amended credit agreement and our interest rate swaps, that are indexed to USD LIBOR and are monitoring this activity and evaluating the related risks.</w:t>
      </w:r>
    </w:p>
    <w:p>
      <w:pPr>
        <w:spacing w:after="0" w:line="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Foreign Exchange Risk</w:t>
      </w:r>
      <w:r>
        <w:rPr>
          <w:rFonts w:ascii="Arial" w:cs="Arial" w:eastAsia="Arial" w:hAnsi="Arial"/>
          <w:sz w:val="17"/>
          <w:szCs w:val="17"/>
          <w:color w:val="auto"/>
        </w:rPr>
        <w:t>. We have significant operations in Europe as well as in the U.S. The functional currency of each foreign subsidiary is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the euro. A hypothetical 10% strengthening or weakening in the rates used to translate the results of our foreign subsidiaries that have functional currencies denominated in euro would have increased or decreased net income for the year ended December 31, 2019 by approximately $14 million.</w:t>
      </w:r>
    </w:p>
    <w:p>
      <w:pPr>
        <w:spacing w:after="0" w:line="7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As of December 31, 2019, our primary exposure to transaction risk related to euro net monetary liabilities, including intercompany loans, held by subsidiaries with a U.S. dollar functional currency. We have entered into foreign exchange forward contracts to manage this currency risk. These foreign exchange forward contracts are not designated as hedges; gains and losses on these derivative instruments are designed to offset gains and losses on the underlying balance sheet exposures. As of December 31, 2019, we held foreign exchange forward contracts with notional amounts totaling $180.9 million. The net asset fair value of outstanding foreign exchange forward contracts was $2.3 million as of December 31, 2019. Based on our foreign currency exchange rate exposures as of December 31, 2019, a hypothetical 10% adverse fluctuation in exchange rates would decrease the fair value of our foreign exchange forward contracts by approximately $15 million as of December 31, 2019. The resulting loss on these forward contracts would be offset by a positive impact on the underlying monetary assets and liabilities.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08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77"/>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4"/>
                <w:szCs w:val="24"/>
                <w:color w:val="auto"/>
              </w:rPr>
            </w:pPr>
          </w:p>
        </w:tc>
      </w:tr>
      <w:tr>
        <w:trPr>
          <w:trHeight w:val="324"/>
        </w:trPr>
        <w:tc>
          <w:tcPr>
            <w:tcW w:w="10860" w:type="dxa"/>
            <w:vAlign w:val="bottom"/>
            <w:gridSpan w:val="3"/>
          </w:tcPr>
          <w:p>
            <w:pPr>
              <w:ind w:left="440"/>
              <w:spacing w:after="0" w:line="207" w:lineRule="exact"/>
              <w:rPr>
                <w:sz w:val="20"/>
                <w:szCs w:val="20"/>
                <w:color w:val="auto"/>
              </w:rPr>
            </w:pPr>
            <w:r>
              <w:rPr>
                <w:rFonts w:ascii="Arial" w:cs="Arial" w:eastAsia="Arial" w:hAnsi="Arial"/>
                <w:sz w:val="18"/>
                <w:szCs w:val="18"/>
                <w:color w:val="auto"/>
              </w:rPr>
              <w:t>Our consolidated financial statements as listed below are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pages F-1 through F-44.</w:t>
            </w:r>
          </w:p>
        </w:tc>
        <w:tc>
          <w:tcPr>
            <w:tcW w:w="560" w:type="dxa"/>
            <w:vAlign w:val="bottom"/>
          </w:tcPr>
          <w:p>
            <w:pPr>
              <w:spacing w:after="0"/>
              <w:rPr>
                <w:sz w:val="24"/>
                <w:szCs w:val="24"/>
                <w:color w:val="auto"/>
              </w:rPr>
            </w:pPr>
          </w:p>
        </w:tc>
      </w:tr>
      <w:tr>
        <w:trPr>
          <w:trHeight w:val="331"/>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860" w:type="dxa"/>
            <w:vAlign w:val="bottom"/>
            <w:gridSpan w:val="3"/>
          </w:tcPr>
          <w:p>
            <w:pPr>
              <w:ind w:left="40"/>
              <w:spacing w:after="0"/>
              <w:rPr>
                <w:sz w:val="20"/>
                <w:szCs w:val="20"/>
                <w:color w:val="auto"/>
              </w:rPr>
            </w:pPr>
            <w:r>
              <w:rPr>
                <w:rFonts w:ascii="Arial" w:cs="Arial" w:eastAsia="Arial" w:hAnsi="Arial"/>
                <w:sz w:val="18"/>
                <w:szCs w:val="18"/>
                <w:b w:val="1"/>
                <w:bCs w:val="1"/>
                <w:color w:val="auto"/>
              </w:rPr>
              <w:t>Jazz Pharmaceuticals plc</w:t>
            </w:r>
          </w:p>
        </w:tc>
        <w:tc>
          <w:tcPr>
            <w:tcW w:w="560" w:type="dxa"/>
            <w:vAlign w:val="bottom"/>
          </w:tcPr>
          <w:p>
            <w:pPr>
              <w:spacing w:after="0"/>
              <w:rPr>
                <w:sz w:val="19"/>
                <w:szCs w:val="19"/>
                <w:color w:val="auto"/>
              </w:rPr>
            </w:pPr>
          </w:p>
        </w:tc>
      </w:tr>
      <w:tr>
        <w:trPr>
          <w:trHeight w:val="284"/>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Pr>
          <w:p>
            <w:pPr>
              <w:ind w:left="20"/>
              <w:spacing w:after="0"/>
              <w:rPr>
                <w:sz w:val="20"/>
                <w:szCs w:val="20"/>
                <w:color w:val="auto"/>
              </w:rPr>
            </w:pPr>
            <w:r>
              <w:rPr>
                <w:rFonts w:ascii="Arial" w:cs="Arial" w:eastAsia="Arial" w:hAnsi="Arial"/>
                <w:sz w:val="18"/>
                <w:szCs w:val="18"/>
                <w:color w:val="auto"/>
              </w:rPr>
              <w:t>F-1</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Consolidated Balance Sheets</w:t>
            </w:r>
          </w:p>
        </w:tc>
        <w:tc>
          <w:tcPr>
            <w:tcW w:w="560" w:type="dxa"/>
            <w:vAlign w:val="bottom"/>
          </w:tcPr>
          <w:p>
            <w:pPr>
              <w:ind w:left="20"/>
              <w:spacing w:after="0"/>
              <w:rPr>
                <w:sz w:val="20"/>
                <w:szCs w:val="20"/>
                <w:color w:val="auto"/>
              </w:rPr>
            </w:pPr>
            <w:r>
              <w:rPr>
                <w:rFonts w:ascii="Arial" w:cs="Arial" w:eastAsia="Arial" w:hAnsi="Arial"/>
                <w:sz w:val="18"/>
                <w:szCs w:val="18"/>
                <w:color w:val="auto"/>
              </w:rPr>
              <w:t>F-3</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Consolidated Statements of Income</w:t>
            </w:r>
          </w:p>
        </w:tc>
        <w:tc>
          <w:tcPr>
            <w:tcW w:w="560" w:type="dxa"/>
            <w:vAlign w:val="bottom"/>
          </w:tcPr>
          <w:p>
            <w:pPr>
              <w:ind w:left="20"/>
              <w:spacing w:after="0"/>
              <w:rPr>
                <w:sz w:val="20"/>
                <w:szCs w:val="20"/>
                <w:color w:val="auto"/>
              </w:rPr>
            </w:pPr>
            <w:r>
              <w:rPr>
                <w:rFonts w:ascii="Arial" w:cs="Arial" w:eastAsia="Arial" w:hAnsi="Arial"/>
                <w:sz w:val="18"/>
                <w:szCs w:val="18"/>
                <w:color w:val="auto"/>
              </w:rPr>
              <w:t>F-4</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Consolidated Statements of Comprehensive Income</w:t>
            </w:r>
          </w:p>
        </w:tc>
        <w:tc>
          <w:tcPr>
            <w:tcW w:w="560" w:type="dxa"/>
            <w:vAlign w:val="bottom"/>
          </w:tcPr>
          <w:p>
            <w:pPr>
              <w:ind w:left="20"/>
              <w:spacing w:after="0"/>
              <w:rPr>
                <w:sz w:val="20"/>
                <w:szCs w:val="20"/>
                <w:color w:val="auto"/>
              </w:rPr>
            </w:pPr>
            <w:r>
              <w:rPr>
                <w:rFonts w:ascii="Arial" w:cs="Arial" w:eastAsia="Arial" w:hAnsi="Arial"/>
                <w:sz w:val="18"/>
                <w:szCs w:val="18"/>
                <w:color w:val="auto"/>
              </w:rPr>
              <w:t>F-5</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Consolidated Statements of Shareholders’ Equity</w:t>
            </w:r>
          </w:p>
        </w:tc>
        <w:tc>
          <w:tcPr>
            <w:tcW w:w="560" w:type="dxa"/>
            <w:vAlign w:val="bottom"/>
          </w:tcPr>
          <w:p>
            <w:pPr>
              <w:ind w:left="20"/>
              <w:spacing w:after="0"/>
              <w:rPr>
                <w:sz w:val="20"/>
                <w:szCs w:val="20"/>
                <w:color w:val="auto"/>
              </w:rPr>
            </w:pPr>
            <w:r>
              <w:rPr>
                <w:rFonts w:ascii="Arial" w:cs="Arial" w:eastAsia="Arial" w:hAnsi="Arial"/>
                <w:sz w:val="18"/>
                <w:szCs w:val="18"/>
                <w:color w:val="auto"/>
              </w:rPr>
              <w:t>F-6</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tcPr>
          <w:p>
            <w:pPr>
              <w:ind w:left="20"/>
              <w:spacing w:after="0"/>
              <w:rPr>
                <w:sz w:val="20"/>
                <w:szCs w:val="20"/>
                <w:color w:val="auto"/>
              </w:rPr>
            </w:pPr>
            <w:r>
              <w:rPr>
                <w:rFonts w:ascii="Arial" w:cs="Arial" w:eastAsia="Arial" w:hAnsi="Arial"/>
                <w:sz w:val="18"/>
                <w:szCs w:val="18"/>
                <w:color w:val="auto"/>
              </w:rPr>
              <w:t>F-8</w:t>
            </w:r>
          </w:p>
        </w:tc>
      </w:tr>
      <w:tr>
        <w:trPr>
          <w:trHeight w:val="270"/>
        </w:trPr>
        <w:tc>
          <w:tcPr>
            <w:tcW w:w="10860" w:type="dxa"/>
            <w:vAlign w:val="bottom"/>
            <w:gridSpan w:val="3"/>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ind w:left="20"/>
              <w:spacing w:after="0"/>
              <w:rPr>
                <w:sz w:val="20"/>
                <w:szCs w:val="20"/>
                <w:color w:val="auto"/>
              </w:rPr>
            </w:pPr>
            <w:r>
              <w:rPr>
                <w:rFonts w:ascii="Arial" w:cs="Arial" w:eastAsia="Arial" w:hAnsi="Arial"/>
                <w:sz w:val="18"/>
                <w:szCs w:val="18"/>
                <w:color w:val="auto"/>
              </w:rPr>
              <w:t>F-10</w:t>
            </w:r>
          </w:p>
        </w:tc>
      </w:tr>
      <w:tr>
        <w:trPr>
          <w:trHeight w:val="567"/>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0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560" w:type="dxa"/>
            <w:vAlign w:val="bottom"/>
          </w:tcPr>
          <w:p>
            <w:pPr>
              <w:spacing w:after="0"/>
              <w:rPr>
                <w:sz w:val="24"/>
                <w:szCs w:val="24"/>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120" w:firstLine="432"/>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who is both our principal executive officer and interim principal financial officer, of our disclosure controls and procedures (as defined in Rule 13a-15(e) of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Based on his evaluation, our chief executive officer, who is both our principal executive officer and interim principal financial officer concluded that our disclosure controls and procedures were effective as of December 31, 2019.</w:t>
      </w:r>
    </w:p>
    <w:p>
      <w:pPr>
        <w:spacing w:after="0" w:line="9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A control system, no matter how well conceived and operated, can provide only reasonable, not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chief executive officer, who is both our principal executive officer and interim principal financial officer has concluded, based on his evaluation as of the end of the period covered by this report, that our disclosure controls and procedures were effective to provide reasonable assurance that the objectives of our disclosure control system were met.</w:t>
      </w:r>
    </w:p>
    <w:p>
      <w:pPr>
        <w:spacing w:after="0" w:line="8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December 31, 2019, there were no changes to our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that have materially affected, or are reasonably likely to materially affect, our internal control over financial reporting.</w:t>
      </w:r>
    </w:p>
    <w:p>
      <w:pPr>
        <w:spacing w:after="0" w:line="3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defined in Rule 13a-15(f) of the Exchange Act):</w:t>
      </w:r>
    </w:p>
    <w:p>
      <w:pPr>
        <w:spacing w:after="0" w:line="62"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117" w:lineRule="exact"/>
        <w:rPr>
          <w:rFonts w:ascii="Arial" w:cs="Arial" w:eastAsia="Arial" w:hAnsi="Arial"/>
          <w:sz w:val="18"/>
          <w:szCs w:val="18"/>
          <w:color w:val="auto"/>
        </w:rPr>
      </w:pPr>
    </w:p>
    <w:p>
      <w:pPr>
        <w:ind w:left="820" w:right="20" w:hanging="326"/>
        <w:spacing w:after="0" w:line="255"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85" w:lineRule="exact"/>
        <w:rPr>
          <w:rFonts w:ascii="Arial" w:cs="Arial" w:eastAsia="Arial" w:hAnsi="Arial"/>
          <w:sz w:val="18"/>
          <w:szCs w:val="18"/>
          <w:color w:val="auto"/>
        </w:rPr>
      </w:pPr>
    </w:p>
    <w:p>
      <w:pPr>
        <w:ind w:left="820" w:right="60" w:hanging="326"/>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2019 and has concluded that such internal control over financial reporting was effective. There were no material weaknesses in internal control over financial reporting identified by management.</w:t>
      </w:r>
    </w:p>
    <w:p>
      <w:pPr>
        <w:spacing w:after="0" w:line="73" w:lineRule="exact"/>
        <w:rPr>
          <w:rFonts w:ascii="Arial" w:cs="Arial" w:eastAsia="Arial" w:hAnsi="Arial"/>
          <w:sz w:val="18"/>
          <w:szCs w:val="18"/>
          <w:color w:val="auto"/>
        </w:rPr>
      </w:pPr>
    </w:p>
    <w:p>
      <w:pPr>
        <w:ind w:left="820" w:right="40" w:hanging="326"/>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2019, included herein, and has issued an audit report on our internal control over financial reporting, which is included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8"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Jazz Pharmaceuticals plc’s and subsidiaries’ (the ‘Company’) internal control over financial reporting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the Committee of Sponsoring Organizations of the Treadway Commission.</w:t>
      </w:r>
    </w:p>
    <w:p>
      <w:pPr>
        <w:spacing w:after="0" w:line="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and the related consolidated statements of income, comprehensive income, shareholders’ equity, and cash flows for each of the years in the three-year period ended December 31, 2019, and the related notes and financial statement schedule at Item 15(a)2 (collectively, the “consolidated financial statements”), and our report dated February 25, 2020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60" w:firstLine="432"/>
        <w:spacing w:after="0" w:line="219" w:lineRule="exact"/>
        <w:rPr>
          <w:sz w:val="20"/>
          <w:szCs w:val="20"/>
          <w:color w:val="auto"/>
        </w:rPr>
      </w:pPr>
      <w:r>
        <w:rPr>
          <w:rFonts w:ascii="Arial" w:cs="Arial" w:eastAsia="Arial" w:hAnsi="Arial"/>
          <w:sz w:val="18"/>
          <w:szCs w:val="18"/>
          <w:color w:val="auto"/>
        </w:rPr>
        <w:t>Certain information required by Part III is omitted from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incorporated by reference to our definitive proxy statement for our 2020 annual general meeting of shareholders, or our 2020 Proxy Statement, to be filed pursuant to Regulation 14A of the Securities Exchange Act of 1934, as amended, or Exchange Act. If our 2020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31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to be included in our 2020 Proxy Statement as follows:</w:t>
      </w:r>
    </w:p>
    <w:p>
      <w:pPr>
        <w:spacing w:after="0" w:line="117" w:lineRule="exact"/>
        <w:rPr>
          <w:sz w:val="20"/>
          <w:szCs w:val="20"/>
          <w:color w:val="auto"/>
        </w:rPr>
      </w:pPr>
    </w:p>
    <w:p>
      <w:pPr>
        <w:ind w:left="720" w:hanging="320"/>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relating to our directors and nominees for director is to be included in the section entitled “Proposal 1—Election of Directors;”</w:t>
      </w:r>
    </w:p>
    <w:p>
      <w:pPr>
        <w:spacing w:after="0" w:line="128" w:lineRule="exact"/>
        <w:rPr>
          <w:rFonts w:ascii="Arial" w:cs="Arial" w:eastAsia="Arial" w:hAnsi="Arial"/>
          <w:sz w:val="17"/>
          <w:szCs w:val="17"/>
          <w:color w:val="auto"/>
        </w:rPr>
      </w:pPr>
    </w:p>
    <w:p>
      <w:pPr>
        <w:ind w:left="720" w:hanging="320"/>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relating to our executive officers is to be included in the section entitled “Executive Officers;”</w:t>
      </w:r>
    </w:p>
    <w:p>
      <w:pPr>
        <w:spacing w:after="0" w:line="117" w:lineRule="exact"/>
        <w:rPr>
          <w:rFonts w:ascii="Arial" w:cs="Arial" w:eastAsia="Arial" w:hAnsi="Arial"/>
          <w:sz w:val="18"/>
          <w:szCs w:val="18"/>
          <w:color w:val="auto"/>
        </w:rPr>
      </w:pPr>
    </w:p>
    <w:p>
      <w:pPr>
        <w:ind w:left="720" w:right="20" w:hanging="320"/>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38" w:lineRule="exact"/>
        <w:rPr>
          <w:rFonts w:ascii="Arial" w:cs="Arial" w:eastAsia="Arial" w:hAnsi="Arial"/>
          <w:sz w:val="17"/>
          <w:szCs w:val="17"/>
          <w:color w:val="auto"/>
        </w:rPr>
      </w:pPr>
    </w:p>
    <w:p>
      <w:pPr>
        <w:ind w:left="720" w:right="300" w:hanging="320"/>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regarding compliance with Section 16(a) of the Exchange Act is to be included in the section entitled “Section 16(a) Beneficial Ownership Reporting Compliance.”</w:t>
      </w:r>
    </w:p>
    <w:p>
      <w:pPr>
        <w:spacing w:after="0" w:line="62" w:lineRule="exact"/>
        <w:rPr>
          <w:sz w:val="20"/>
          <w:szCs w:val="20"/>
          <w:color w:val="auto"/>
        </w:rPr>
      </w:pPr>
    </w:p>
    <w:p>
      <w:pPr>
        <w:ind w:right="440" w:firstLine="432"/>
        <w:spacing w:after="0" w:line="221" w:lineRule="exact"/>
        <w:rPr>
          <w:sz w:val="20"/>
          <w:szCs w:val="20"/>
          <w:color w:val="auto"/>
        </w:rPr>
      </w:pPr>
      <w:r>
        <w:rPr>
          <w:rFonts w:ascii="Arial" w:cs="Arial" w:eastAsia="Arial" w:hAnsi="Arial"/>
          <w:sz w:val="18"/>
          <w:szCs w:val="18"/>
          <w:color w:val="auto"/>
        </w:rPr>
        <w:t>Such information is incorporated herein by reference to our 2020 Proxy Statement, provided that if the 2020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“Corporate Ethics.”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29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432"/>
        <w:spacing w:after="0" w:line="219" w:lineRule="exact"/>
        <w:rPr>
          <w:sz w:val="20"/>
          <w:szCs w:val="20"/>
          <w:color w:val="auto"/>
        </w:rPr>
      </w:pPr>
      <w:r>
        <w:rPr>
          <w:rFonts w:ascii="Arial" w:cs="Arial" w:eastAsia="Arial" w:hAnsi="Arial"/>
          <w:sz w:val="18"/>
          <w:szCs w:val="18"/>
          <w:color w:val="auto"/>
        </w:rPr>
        <w:t>The information required by this item is to be included in our 2020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 provided that if the 2020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31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80" w:firstLine="432"/>
        <w:spacing w:after="0" w:line="219" w:lineRule="exact"/>
        <w:rPr>
          <w:sz w:val="20"/>
          <w:szCs w:val="20"/>
          <w:color w:val="auto"/>
        </w:rPr>
      </w:pPr>
      <w:r>
        <w:rPr>
          <w:rFonts w:ascii="Arial" w:cs="Arial" w:eastAsia="Arial" w:hAnsi="Arial"/>
          <w:sz w:val="18"/>
          <w:szCs w:val="18"/>
          <w:color w:val="auto"/>
        </w:rPr>
        <w:t>The information required by this item with respect to equity compensation plans is to be included in our 2020 Proxy Statement under the section entitled “Equity Compensation Plan Information” and the information required by this item with respect to security ownership of certain beneficial owners and management is to be included in our 2020 Proxy Statement under the section entitled “Security Ownership of Certain Beneficial Owners and Management” and in each case is incorporated herein by reference, provided that if the 2020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380" w:firstLine="432"/>
        <w:spacing w:after="0" w:line="220" w:lineRule="exact"/>
        <w:rPr>
          <w:sz w:val="20"/>
          <w:szCs w:val="20"/>
          <w:color w:val="auto"/>
        </w:rPr>
      </w:pPr>
      <w:r>
        <w:rPr>
          <w:rFonts w:ascii="Arial" w:cs="Arial" w:eastAsia="Arial" w:hAnsi="Arial"/>
          <w:sz w:val="16"/>
          <w:szCs w:val="16"/>
          <w:color w:val="auto"/>
        </w:rPr>
        <w:t>The information required by this item is to be included in our 2020 Proxy Statement under the sections entitled “Certain Relationships and Related Party Transactions” and “Corporate Governance and Board Matters—Independence of the Board of Directors” and is incorporated herein by reference, provided that if the 2020 Proxy Statement is not filed within 120 days after the end of the fiscal year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omitted information will be included in an amendment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not later than the end of such 120-day period.</w:t>
      </w:r>
    </w:p>
    <w:p>
      <w:pPr>
        <w:spacing w:after="0" w:line="3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firstLine="432"/>
        <w:spacing w:after="0" w:line="219" w:lineRule="exact"/>
        <w:rPr>
          <w:sz w:val="20"/>
          <w:szCs w:val="20"/>
          <w:color w:val="auto"/>
        </w:rPr>
      </w:pPr>
      <w:r>
        <w:rPr>
          <w:rFonts w:ascii="Arial" w:cs="Arial" w:eastAsia="Arial" w:hAnsi="Arial"/>
          <w:sz w:val="17"/>
          <w:szCs w:val="17"/>
          <w:color w:val="auto"/>
        </w:rPr>
        <w:t>The information required by this item is to be included in our 2020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 provided that if the 2020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not later than the end of such 120-day period.</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700" w:hanging="260"/>
        <w:spacing w:after="0" w:line="207" w:lineRule="exact"/>
        <w:tabs>
          <w:tab w:leader="none" w:pos="700" w:val="left"/>
        </w:tabs>
        <w:numPr>
          <w:ilvl w:val="1"/>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17" w:lineRule="exact"/>
        <w:rPr>
          <w:rFonts w:ascii="Arial" w:cs="Arial" w:eastAsia="Arial" w:hAnsi="Arial"/>
          <w:sz w:val="18"/>
          <w:szCs w:val="18"/>
          <w:i w:val="1"/>
          <w:iCs w:val="1"/>
          <w:color w:val="auto"/>
        </w:rPr>
      </w:pPr>
    </w:p>
    <w:p>
      <w:pPr>
        <w:ind w:left="420" w:hanging="412"/>
        <w:spacing w:after="0"/>
        <w:tabs>
          <w:tab w:leader="none" w:pos="42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117"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See Index to Consolidated Financial Statements in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7"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firstLine="432"/>
        <w:spacing w:after="0" w:line="223" w:lineRule="exact"/>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page F-44 and should be read in conjunction with the consolidated financial statements of Jazz Pharmaceuticals plc.</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ectPr>
          <w:pgSz w:w="11900" w:h="16838" w:orient="portrait"/>
          <w:cols w:equalWidth="0" w:num="1">
            <w:col w:w="11380"/>
          </w:cols>
          <w:pgMar w:left="240" w:top="125" w:right="279" w:bottom="1440" w:gutter="0" w:footer="0" w:header="0"/>
        </w:sectPr>
      </w:pP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Number</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23495</wp:posOffset>
            </wp:positionV>
            <wp:extent cx="687768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582930"/>
                    </a:xfrm>
                    <a:prstGeom prst="rect">
                      <a:avLst/>
                    </a:prstGeom>
                    <a:noFill/>
                  </pic:spPr>
                </pic:pic>
              </a:graphicData>
            </a:graphic>
          </wp:anchor>
        </w:drawing>
      </w:r>
    </w:p>
    <w:p>
      <w:pPr>
        <w:spacing w:after="0" w:line="30" w:lineRule="exact"/>
        <w:rPr>
          <w:sz w:val="20"/>
          <w:szCs w:val="20"/>
          <w:color w:val="auto"/>
        </w:rPr>
      </w:pPr>
    </w:p>
    <w:p>
      <w:pPr>
        <w:ind w:right="760"/>
        <w:spacing w:after="0" w:line="279" w:lineRule="auto"/>
        <w:rPr>
          <w:rFonts w:ascii="Arial" w:cs="Arial" w:eastAsia="Arial" w:hAnsi="Arial"/>
          <w:sz w:val="17"/>
          <w:szCs w:val="17"/>
          <w:u w:val="single" w:color="auto"/>
          <w:color w:val="0000FF"/>
        </w:rPr>
      </w:pPr>
      <w:hyperlink r:id="rId10">
        <w:r>
          <w:rPr>
            <w:rFonts w:ascii="Arial" w:cs="Arial" w:eastAsia="Arial" w:hAnsi="Arial"/>
            <w:sz w:val="17"/>
            <w:szCs w:val="17"/>
            <w:u w:val="single" w:color="auto"/>
            <w:color w:val="0000FF"/>
          </w:rPr>
          <w:t>Agreement and Plan of Merger and Reorganization, dated as of September 19, 2011, by and among Azur Pharma Limited (now</w:t>
        </w:r>
      </w:hyperlink>
      <w:r>
        <w:rPr>
          <w:rFonts w:ascii="Arial" w:cs="Arial" w:eastAsia="Arial" w:hAnsi="Arial"/>
          <w:sz w:val="17"/>
          <w:szCs w:val="17"/>
          <w:u w:val="single" w:color="auto"/>
          <w:color w:val="0000FF"/>
        </w:rPr>
        <w:t xml:space="preserve"> </w:t>
      </w:r>
      <w:hyperlink r:id="rId10">
        <w:r>
          <w:rPr>
            <w:rFonts w:ascii="Arial" w:cs="Arial" w:eastAsia="Arial" w:hAnsi="Arial"/>
            <w:sz w:val="17"/>
            <w:szCs w:val="17"/>
            <w:u w:val="single" w:color="auto"/>
            <w:color w:val="0000FF"/>
          </w:rPr>
          <w:t>Jazz Pharmaceuticals plc), Jaguar Merger Sub Inc., Jazz Pharmaceuticals, Inc. and Seamus Mulligan, solely in his capacity as</w:t>
        </w:r>
      </w:hyperlink>
      <w:r>
        <w:rPr>
          <w:rFonts w:ascii="Arial" w:cs="Arial" w:eastAsia="Arial" w:hAnsi="Arial"/>
          <w:sz w:val="17"/>
          <w:szCs w:val="17"/>
          <w:u w:val="single" w:color="auto"/>
          <w:color w:val="0000FF"/>
        </w:rPr>
        <w:t xml:space="preserve"> </w:t>
      </w:r>
      <w:hyperlink r:id="rId10">
        <w:r>
          <w:rPr>
            <w:rFonts w:ascii="Arial" w:cs="Arial" w:eastAsia="Arial" w:hAnsi="Arial"/>
            <w:sz w:val="17"/>
            <w:szCs w:val="17"/>
            <w:u w:val="single" w:color="auto"/>
            <w:color w:val="0000FF"/>
          </w:rPr>
          <w:t>the Indemnitors’ Representative (incorporated herein by reference to Exhibit 2.1 in Jazz Pharmaceuticals, Inc.’s Current Report</w:t>
        </w:r>
      </w:hyperlink>
      <w:r>
        <w:rPr>
          <w:rFonts w:ascii="Arial" w:cs="Arial" w:eastAsia="Arial" w:hAnsi="Arial"/>
          <w:sz w:val="17"/>
          <w:szCs w:val="17"/>
          <w:u w:val="single" w:color="auto"/>
          <w:color w:val="0000FF"/>
        </w:rPr>
        <w:t xml:space="preserve"> </w:t>
      </w:r>
      <w:hyperlink r:id="rId10">
        <w:r>
          <w:rPr>
            <w:rFonts w:ascii="Arial" w:cs="Arial" w:eastAsia="Arial" w:hAnsi="Arial"/>
            <w:sz w:val="17"/>
            <w:szCs w:val="17"/>
            <w:u w:val="single" w:color="auto"/>
            <w:color w:val="0000FF"/>
          </w:rPr>
          <w:t>on Form 8-K (File No. 001-33500) filed with the SEC on September 19, 2011).</w:t>
        </w:r>
      </w:hyperlink>
    </w:p>
    <w:p>
      <w:pPr>
        <w:spacing w:after="0" w:line="1" w:lineRule="exact"/>
        <w:rPr>
          <w:rFonts w:ascii="Arial" w:cs="Arial" w:eastAsia="Arial" w:hAnsi="Arial"/>
          <w:sz w:val="17"/>
          <w:szCs w:val="17"/>
          <w:u w:val="single" w:color="auto"/>
          <w:color w:val="0000FF"/>
        </w:rPr>
      </w:pPr>
    </w:p>
    <w:p>
      <w:pPr>
        <w:sectPr>
          <w:pgSz w:w="11900" w:h="16838" w:orient="portrait"/>
          <w:cols w:equalWidth="0" w:num="2">
            <w:col w:w="740" w:space="720"/>
            <w:col w:w="9920"/>
          </w:cols>
          <w:pgMar w:left="240" w:top="125" w:right="27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1460" w:type="dxa"/>
            <w:vAlign w:val="bottom"/>
          </w:tcPr>
          <w:p>
            <w:pPr>
              <w:jc w:val="right"/>
              <w:ind w:right="1110"/>
              <w:spacing w:after="0" w:line="200" w:lineRule="exact"/>
              <w:rPr>
                <w:sz w:val="20"/>
                <w:szCs w:val="20"/>
                <w:color w:val="auto"/>
              </w:rPr>
            </w:pPr>
            <w:r>
              <w:rPr>
                <w:rFonts w:ascii="Arial" w:cs="Arial" w:eastAsia="Arial" w:hAnsi="Arial"/>
                <w:sz w:val="18"/>
                <w:szCs w:val="18"/>
                <w:color w:val="auto"/>
                <w:w w:val="95"/>
              </w:rPr>
              <w:t>2.2</w:t>
            </w:r>
          </w:p>
        </w:tc>
        <w:tc>
          <w:tcPr>
            <w:tcW w:w="9380" w:type="dxa"/>
            <w:vAlign w:val="bottom"/>
            <w:gridSpan w:val="10"/>
          </w:tcPr>
          <w:p>
            <w:pPr>
              <w:spacing w:after="0" w:line="200" w:lineRule="exact"/>
              <w:rPr>
                <w:rFonts w:ascii="Arial" w:cs="Arial" w:eastAsia="Arial" w:hAnsi="Arial"/>
                <w:sz w:val="18"/>
                <w:szCs w:val="18"/>
                <w:color w:val="0000FF"/>
                <w:w w:val="97"/>
              </w:rPr>
            </w:pPr>
            <w:hyperlink r:id="rId11">
              <w:r>
                <w:rPr>
                  <w:rFonts w:ascii="Arial" w:cs="Arial" w:eastAsia="Arial" w:hAnsi="Arial"/>
                  <w:sz w:val="18"/>
                  <w:szCs w:val="18"/>
                  <w:color w:val="0000FF"/>
                  <w:w w:val="97"/>
                </w:rPr>
                <w:t>Letter Agreement, dated as of January 17, 2012, by and among Jazz Pharmaceuticals plc, Jaguar Merger Sub Inc., Jazz</w:t>
              </w:r>
            </w:hyperlink>
          </w:p>
        </w:tc>
      </w:tr>
      <w:tr>
        <w:trPr>
          <w:trHeight w:val="20"/>
        </w:trPr>
        <w:tc>
          <w:tcPr>
            <w:tcW w:w="14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0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Pharmaceuticals, Inc. and Seamus Mulligan, solely in his capacity as the Indemnitors’ Representative (incorporated herein by</w:t>
              </w:r>
            </w:hyperlink>
          </w:p>
        </w:tc>
        <w:tc>
          <w:tcPr>
            <w:tcW w:w="320" w:type="dxa"/>
            <w:vAlign w:val="bottom"/>
            <w:gridSpan w:val="2"/>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1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reference to Exhibit 2.2 in Jazz Pharmaceuticals plc’s Current Report on Form 8-K (File No. 001-33500), as filed with the SEC</w:t>
              </w:r>
            </w:hyperlink>
          </w:p>
        </w:tc>
        <w:tc>
          <w:tcPr>
            <w:tcW w:w="2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380" w:type="dxa"/>
            <w:vAlign w:val="bottom"/>
            <w:gridSpan w:val="10"/>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on January 18, 2012).</w:t>
              </w:r>
            </w:hyperlink>
          </w:p>
        </w:tc>
      </w:tr>
      <w:tr>
        <w:trPr>
          <w:trHeight w:val="48"/>
        </w:trPr>
        <w:tc>
          <w:tcPr>
            <w:tcW w:w="1460" w:type="dxa"/>
            <w:vAlign w:val="bottom"/>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460" w:type="dxa"/>
            <w:vAlign w:val="bottom"/>
            <w:shd w:val="clear" w:color="auto" w:fill="CCEEFF"/>
          </w:tcPr>
          <w:p>
            <w:pPr>
              <w:jc w:val="right"/>
              <w:ind w:right="1110"/>
              <w:spacing w:after="0" w:line="202" w:lineRule="exact"/>
              <w:rPr>
                <w:sz w:val="20"/>
                <w:szCs w:val="20"/>
                <w:color w:val="auto"/>
              </w:rPr>
            </w:pPr>
            <w:r>
              <w:rPr>
                <w:rFonts w:ascii="Arial" w:cs="Arial" w:eastAsia="Arial" w:hAnsi="Arial"/>
                <w:sz w:val="18"/>
                <w:szCs w:val="18"/>
                <w:color w:val="auto"/>
                <w:w w:val="95"/>
              </w:rPr>
              <w:t>2.3</w:t>
            </w:r>
          </w:p>
        </w:tc>
        <w:tc>
          <w:tcPr>
            <w:tcW w:w="9380" w:type="dxa"/>
            <w:vAlign w:val="bottom"/>
            <w:gridSpan w:val="10"/>
            <w:shd w:val="clear" w:color="auto" w:fill="CCEEFF"/>
          </w:tcPr>
          <w:p>
            <w:pPr>
              <w:spacing w:after="0" w:line="202" w:lineRule="exact"/>
              <w:rPr>
                <w:rFonts w:ascii="Arial" w:cs="Arial" w:eastAsia="Arial" w:hAnsi="Arial"/>
                <w:sz w:val="18"/>
                <w:szCs w:val="18"/>
                <w:color w:val="0000FF"/>
                <w:w w:val="94"/>
              </w:rPr>
            </w:pPr>
            <w:hyperlink r:id="rId12">
              <w:r>
                <w:rPr>
                  <w:rFonts w:ascii="Arial" w:cs="Arial" w:eastAsia="Arial" w:hAnsi="Arial"/>
                  <w:sz w:val="18"/>
                  <w:szCs w:val="18"/>
                  <w:color w:val="0000FF"/>
                  <w:w w:val="94"/>
                </w:rPr>
                <w:t>Agreement and Plan of Merger, dated as of April 26, 2012, by and among Jazz Pharmaceuticals plc, Jewel Merger Sub Inc.,</w:t>
              </w:r>
            </w:hyperlink>
          </w:p>
        </w:tc>
      </w:tr>
      <w:tr>
        <w:trPr>
          <w:trHeight w:val="20"/>
        </w:trPr>
        <w:tc>
          <w:tcPr>
            <w:tcW w:w="1460" w:type="dxa"/>
            <w:vAlign w:val="bottom"/>
            <w:shd w:val="clear" w:color="auto" w:fill="CCEE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CCEEFF"/>
            </w:tcBorders>
            <w:shd w:val="clear" w:color="auto" w:fill="0000FF"/>
          </w:tcPr>
          <w:p>
            <w:pPr>
              <w:spacing w:after="0" w:line="20" w:lineRule="exact"/>
              <w:rPr>
                <w:sz w:val="1"/>
                <w:szCs w:val="1"/>
                <w:color w:val="auto"/>
              </w:rPr>
            </w:pPr>
          </w:p>
        </w:tc>
        <w:tc>
          <w:tcPr>
            <w:tcW w:w="400" w:type="dxa"/>
            <w:vAlign w:val="bottom"/>
            <w:tcBorders>
              <w:left w:val="single" w:sz="8" w:color="CCEEFF"/>
            </w:tcBorders>
            <w:gridSpan w:val="3"/>
            <w:shd w:val="clear" w:color="auto" w:fill="CCEEFF"/>
          </w:tcPr>
          <w:p>
            <w:pPr>
              <w:spacing w:after="0" w:line="20" w:lineRule="exact"/>
              <w:rPr>
                <w:sz w:val="1"/>
                <w:szCs w:val="1"/>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EUSA Pharma Inc., and Essex Woodlands Health Ventures, Inc., Mayflower L.P., and Bryan Morton, in their capacity as the</w:t>
              </w:r>
            </w:hyperlink>
          </w:p>
        </w:tc>
        <w:tc>
          <w:tcPr>
            <w:tcW w:w="400" w:type="dxa"/>
            <w:vAlign w:val="bottom"/>
            <w:tcBorders>
              <w:left w:val="single" w:sz="8" w:color="CCEEFF"/>
              <w:bottom w:val="single" w:sz="8" w:color="CCEEFF"/>
            </w:tcBorders>
            <w:gridSpan w:val="3"/>
            <w:shd w:val="clear" w:color="auto" w:fill="CCEEFF"/>
          </w:tcPr>
          <w:p>
            <w:pPr>
              <w:spacing w:after="0"/>
              <w:rPr>
                <w:sz w:val="17"/>
                <w:szCs w:val="17"/>
                <w:color w:val="auto"/>
              </w:rPr>
            </w:pPr>
          </w:p>
        </w:tc>
      </w:tr>
      <w:tr>
        <w:trPr>
          <w:trHeight w:val="196"/>
        </w:trPr>
        <w:tc>
          <w:tcPr>
            <w:tcW w:w="1460" w:type="dxa"/>
            <w:vAlign w:val="bottom"/>
            <w:shd w:val="clear" w:color="auto" w:fill="CCEEFF"/>
          </w:tcPr>
          <w:p>
            <w:pPr>
              <w:spacing w:after="0"/>
              <w:rPr>
                <w:sz w:val="17"/>
                <w:szCs w:val="17"/>
                <w:color w:val="auto"/>
              </w:rPr>
            </w:pPr>
          </w:p>
        </w:tc>
        <w:tc>
          <w:tcPr>
            <w:tcW w:w="9380" w:type="dxa"/>
            <w:vAlign w:val="bottom"/>
            <w:gridSpan w:val="10"/>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representatives of the equity holders of EUSA Pharma Inc. (incorporated herein by reference to Exhibit 2.1 in Jazz</w:t>
              </w:r>
            </w:hyperlink>
          </w:p>
        </w:tc>
      </w:tr>
      <w:tr>
        <w:trPr>
          <w:trHeight w:val="20"/>
        </w:trPr>
        <w:tc>
          <w:tcPr>
            <w:tcW w:w="1460" w:type="dxa"/>
            <w:vAlign w:val="bottom"/>
            <w:shd w:val="clear" w:color="auto" w:fill="CCEE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060" w:type="dxa"/>
            <w:vAlign w:val="bottom"/>
            <w:tcBorders>
              <w:right w:val="single" w:sz="8" w:color="CCEEFF"/>
            </w:tcBorders>
            <w:shd w:val="clear" w:color="auto" w:fill="0000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gridSpan w:val="3"/>
            <w:shd w:val="clear" w:color="auto" w:fill="CCEEFF"/>
          </w:tcPr>
          <w:p>
            <w:pPr>
              <w:spacing w:after="0" w:line="20" w:lineRule="exact"/>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9380" w:type="dxa"/>
            <w:vAlign w:val="bottom"/>
            <w:gridSpan w:val="10"/>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Pharmaceuticals plc’s Current Report on Form 8-K (File No. 001-33500), as filed with the SEC on April 27, 2012).</w:t>
              </w:r>
            </w:hyperlink>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9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tcPr>
          <w:p>
            <w:pPr>
              <w:jc w:val="right"/>
              <w:ind w:right="1110"/>
              <w:spacing w:after="0" w:line="202" w:lineRule="exact"/>
              <w:rPr>
                <w:sz w:val="20"/>
                <w:szCs w:val="20"/>
                <w:color w:val="auto"/>
              </w:rPr>
            </w:pPr>
            <w:r>
              <w:rPr>
                <w:rFonts w:ascii="Arial" w:cs="Arial" w:eastAsia="Arial" w:hAnsi="Arial"/>
                <w:sz w:val="18"/>
                <w:szCs w:val="18"/>
                <w:color w:val="auto"/>
                <w:w w:val="95"/>
              </w:rPr>
              <w:t>2.4</w:t>
            </w:r>
          </w:p>
        </w:tc>
        <w:tc>
          <w:tcPr>
            <w:tcW w:w="9380" w:type="dxa"/>
            <w:vAlign w:val="bottom"/>
            <w:gridSpan w:val="10"/>
          </w:tcPr>
          <w:p>
            <w:pPr>
              <w:spacing w:after="0" w:line="202"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Assignment, dated as of June 11, 2012, by and among Jazz Pharmaceuticals plc and Jazz Pharmaceuticals, Inc. (incorporated</w:t>
              </w:r>
            </w:hyperlink>
          </w:p>
        </w:tc>
      </w:tr>
      <w:tr>
        <w:trPr>
          <w:trHeight w:val="20"/>
        </w:trPr>
        <w:tc>
          <w:tcPr>
            <w:tcW w:w="146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89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herein by reference to Exhibit 2.1B in Jazz Pharmaceuticals plc’s Current Report on Form 8-K (File No. 001-33500), as filed</w:t>
              </w:r>
            </w:hyperlink>
          </w:p>
        </w:tc>
        <w:tc>
          <w:tcPr>
            <w:tcW w:w="400" w:type="dxa"/>
            <w:vAlign w:val="bottom"/>
            <w:gridSpan w:val="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380" w:type="dxa"/>
            <w:vAlign w:val="bottom"/>
            <w:gridSpan w:val="10"/>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with the SEC on June 12, 2012).</w:t>
              </w:r>
            </w:hyperlink>
          </w:p>
        </w:tc>
      </w:tr>
      <w:tr>
        <w:trPr>
          <w:trHeight w:val="48"/>
        </w:trPr>
        <w:tc>
          <w:tcPr>
            <w:tcW w:w="1460" w:type="dxa"/>
            <w:vAlign w:val="bottom"/>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460" w:type="dxa"/>
            <w:vAlign w:val="bottom"/>
            <w:shd w:val="clear" w:color="auto" w:fill="CCEEFF"/>
          </w:tcPr>
          <w:p>
            <w:pPr>
              <w:jc w:val="right"/>
              <w:ind w:right="1110"/>
              <w:spacing w:after="0" w:line="202" w:lineRule="exact"/>
              <w:rPr>
                <w:sz w:val="20"/>
                <w:szCs w:val="20"/>
                <w:color w:val="auto"/>
              </w:rPr>
            </w:pPr>
            <w:r>
              <w:rPr>
                <w:rFonts w:ascii="Arial" w:cs="Arial" w:eastAsia="Arial" w:hAnsi="Arial"/>
                <w:sz w:val="18"/>
                <w:szCs w:val="18"/>
                <w:color w:val="auto"/>
                <w:w w:val="95"/>
              </w:rPr>
              <w:t>2.5</w:t>
            </w:r>
          </w:p>
        </w:tc>
        <w:tc>
          <w:tcPr>
            <w:tcW w:w="9380" w:type="dxa"/>
            <w:vAlign w:val="bottom"/>
            <w:gridSpan w:val="10"/>
            <w:shd w:val="clear" w:color="auto" w:fill="CCEEFF"/>
          </w:tcPr>
          <w:p>
            <w:pPr>
              <w:spacing w:after="0" w:line="202"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Tender Offer Agreement, dated December 19, 2013, by and among Jazz Pharmaceuticals Public Limited Company, Jazz</w:t>
              </w:r>
            </w:hyperlink>
          </w:p>
        </w:tc>
      </w:tr>
      <w:tr>
        <w:trPr>
          <w:trHeight w:val="20"/>
        </w:trPr>
        <w:tc>
          <w:tcPr>
            <w:tcW w:w="1460" w:type="dxa"/>
            <w:vAlign w:val="bottom"/>
            <w:shd w:val="clear" w:color="auto" w:fill="CCEEFF"/>
          </w:tcPr>
          <w:p>
            <w:pPr>
              <w:spacing w:after="0" w:line="20" w:lineRule="exact"/>
              <w:rPr>
                <w:sz w:val="1"/>
                <w:szCs w:val="1"/>
                <w:color w:val="auto"/>
              </w:rPr>
            </w:pPr>
          </w:p>
        </w:tc>
        <w:tc>
          <w:tcPr>
            <w:tcW w:w="7240" w:type="dxa"/>
            <w:vAlign w:val="bottom"/>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gridSpan w:val="3"/>
            <w:shd w:val="clear" w:color="auto" w:fill="CCEEFF"/>
          </w:tcPr>
          <w:p>
            <w:pPr>
              <w:spacing w:after="0" w:line="20" w:lineRule="exact"/>
              <w:rPr>
                <w:sz w:val="1"/>
                <w:szCs w:val="1"/>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Pharmaceuticals Italy S.r.l. and Gentium S.p.A. (incorporated herein by reference to Exhibit 2.1 in Jazz Pharmaceuticals plc’s</w:t>
              </w:r>
            </w:hyperlink>
          </w:p>
        </w:tc>
        <w:tc>
          <w:tcPr>
            <w:tcW w:w="400" w:type="dxa"/>
            <w:vAlign w:val="bottom"/>
            <w:tcBorders>
              <w:left w:val="single" w:sz="8" w:color="CCEEFF"/>
              <w:bottom w:val="single" w:sz="8" w:color="CCEEFF"/>
            </w:tcBorders>
            <w:gridSpan w:val="3"/>
            <w:shd w:val="clear" w:color="auto" w:fill="CCEEFF"/>
          </w:tcPr>
          <w:p>
            <w:pPr>
              <w:spacing w:after="0"/>
              <w:rPr>
                <w:sz w:val="17"/>
                <w:szCs w:val="17"/>
                <w:color w:val="auto"/>
              </w:rPr>
            </w:pPr>
          </w:p>
        </w:tc>
      </w:tr>
      <w:tr>
        <w:trPr>
          <w:trHeight w:val="244"/>
        </w:trPr>
        <w:tc>
          <w:tcPr>
            <w:tcW w:w="1460" w:type="dxa"/>
            <w:vAlign w:val="bottom"/>
            <w:shd w:val="clear" w:color="auto" w:fill="CCEEFF"/>
          </w:tcPr>
          <w:p>
            <w:pPr>
              <w:spacing w:after="0"/>
              <w:rPr>
                <w:sz w:val="21"/>
                <w:szCs w:val="21"/>
                <w:color w:val="auto"/>
              </w:rPr>
            </w:pPr>
          </w:p>
        </w:tc>
        <w:tc>
          <w:tcPr>
            <w:tcW w:w="9380" w:type="dxa"/>
            <w:vAlign w:val="bottom"/>
            <w:gridSpan w:val="10"/>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Current Report on Form 8-K/A (File No. 001-33500), as filed with the SEC on December 20, 2013).</w:t>
              </w:r>
            </w:hyperlink>
          </w:p>
        </w:tc>
      </w:tr>
      <w:tr>
        <w:trPr>
          <w:trHeight w:val="432"/>
        </w:trPr>
        <w:tc>
          <w:tcPr>
            <w:tcW w:w="1460" w:type="dxa"/>
            <w:vAlign w:val="bottom"/>
            <w:tcBorders>
              <w:top w:val="single" w:sz="8" w:color="CCEEFF"/>
            </w:tcBorders>
          </w:tcPr>
          <w:p>
            <w:pPr>
              <w:spacing w:after="0"/>
              <w:rPr>
                <w:sz w:val="24"/>
                <w:szCs w:val="24"/>
                <w:color w:val="auto"/>
              </w:rPr>
            </w:pPr>
          </w:p>
        </w:tc>
        <w:tc>
          <w:tcPr>
            <w:tcW w:w="7240" w:type="dxa"/>
            <w:vAlign w:val="bottom"/>
            <w:tcBorders>
              <w:top w:val="single" w:sz="8" w:color="0000FF"/>
            </w:tcBorders>
            <w:gridSpan w:val="3"/>
          </w:tcPr>
          <w:p>
            <w:pPr>
              <w:ind w:left="4160"/>
              <w:spacing w:after="0"/>
              <w:rPr>
                <w:sz w:val="20"/>
                <w:szCs w:val="20"/>
                <w:color w:val="auto"/>
              </w:rPr>
            </w:pPr>
            <w:r>
              <w:rPr>
                <w:rFonts w:ascii="Arial" w:cs="Arial" w:eastAsia="Arial" w:hAnsi="Arial"/>
                <w:sz w:val="18"/>
                <w:szCs w:val="18"/>
                <w:color w:val="auto"/>
              </w:rPr>
              <w:t>80</w:t>
            </w: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ectPr>
          <w:pgSz w:w="11900" w:h="16838" w:orient="portrait"/>
          <w:cols w:equalWidth="0" w:num="1">
            <w:col w:w="11380"/>
          </w:cols>
          <w:pgMar w:left="240" w:top="125" w:right="279" w:bottom="1440" w:gutter="0" w:footer="0" w:header="0"/>
          <w:type w:val="continuous"/>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9380" w:type="dxa"/>
            <w:vAlign w:val="bottom"/>
            <w:gridSpan w:val="31"/>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Asset Purchase Agreement, dated January 13, 2014, by and among Jazz Pharmaceuticals International III Limited, Aerial</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BioPharma, LLC and Jazz Pharmaceuticals plc (incorporated herein by reference to Exhibit 2.1 in Jazz Pharmaceuticals plc’s</w:t>
              </w:r>
            </w:hyperlink>
          </w:p>
        </w:tc>
        <w:tc>
          <w:tcPr>
            <w:tcW w:w="36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Current Report on Form 8-K (File No. 001-33500), as filed with the SEC on January 13, 2014).</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2.7†</w:t>
            </w:r>
          </w:p>
        </w:tc>
        <w:tc>
          <w:tcPr>
            <w:tcW w:w="842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Assignment Agreement, dated July 1, 2014, by and among Jazz Pharmaceuticals International II Limited, Sigma-Tau</w:t>
              </w:r>
            </w:hyperlink>
          </w:p>
        </w:tc>
        <w:tc>
          <w:tcPr>
            <w:tcW w:w="96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Pharmaceuticals, Inc., Jazz Pharmaceuticals plc and Gentium S.p.A. (incorporated herein by reference to Exhibit 2.1 in Jazz</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360" w:type="dxa"/>
            <w:vAlign w:val="bottom"/>
            <w:tcBorders>
              <w:top w:val="single" w:sz="8" w:color="0000FF"/>
              <w:bottom w:val="single" w:sz="8" w:color="0000FF"/>
            </w:tcBorders>
            <w:gridSpan w:val="14"/>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Pharmaceuticals plc’s Current Report on Form 8-K (File No. 001-33500), as filed with the SEC on August 5, 2014).</w:t>
              </w:r>
            </w:hyperlink>
          </w:p>
        </w:tc>
        <w:tc>
          <w:tcPr>
            <w:tcW w:w="56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12"/>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9380" w:type="dxa"/>
            <w:vAlign w:val="bottom"/>
            <w:gridSpan w:val="31"/>
          </w:tcPr>
          <w:p>
            <w:pPr>
              <w:spacing w:after="0" w:line="202"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Amended and Restated Agreement for the Acquisition of the Topaz Portfolio Business of Jazz Pharmaceuticals plc, dated</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March 20, 2015, between Jazz Pharmaceuticals plc and Essex Bidco Limited (incorporated herein by reference to Exhibit 2.1 in</w:t>
              </w:r>
            </w:hyperlink>
          </w:p>
        </w:tc>
        <w:tc>
          <w:tcPr>
            <w:tcW w:w="1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Jazz Pharmaceuticals plc’s Current Report on Form 8-K (File No. 001-33500), as filed with the SEC on March 23, 2015).</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17"/>
                <w:szCs w:val="17"/>
                <w:color w:val="auto"/>
              </w:rPr>
            </w:pPr>
          </w:p>
        </w:tc>
        <w:tc>
          <w:tcPr>
            <w:tcW w:w="9140" w:type="dxa"/>
            <w:vAlign w:val="bottom"/>
            <w:tcBorders>
              <w:bottom w:val="single" w:sz="8" w:color="0000FF"/>
            </w:tcBorders>
            <w:gridSpan w:val="28"/>
            <w:shd w:val="clear" w:color="auto" w:fill="CCEEFF"/>
          </w:tcPr>
          <w:p>
            <w:pPr>
              <w:spacing w:after="0" w:line="202"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Agreement and Plan of Merger, dated as of May 27, 2016, by and among Jazz Pharmaceuticals plc, Plex Merger Sub, Inc., and</w:t>
              </w:r>
            </w:hyperlink>
          </w:p>
        </w:tc>
        <w:tc>
          <w:tcPr>
            <w:tcW w:w="24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2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Celator Pharmaceuticals, Inc. (incorporated herein by reference to Exhibit 2.1 in Jazz Pharmaceuticals plc’s Current Report on</w:t>
              </w:r>
            </w:hyperlink>
          </w:p>
        </w:tc>
        <w:tc>
          <w:tcPr>
            <w:tcW w:w="2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Form 8-K (File No. 001-33500), as filed with the SEC on May 31, 2016).</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9380" w:type="dxa"/>
            <w:vAlign w:val="bottom"/>
            <w:gridSpan w:val="31"/>
          </w:tcPr>
          <w:p>
            <w:pPr>
              <w:spacing w:after="0" w:line="202"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Amended and Restated Memorandum and Articles of Association of Jazz Pharmaceuticals plc, as amended on August 4, 2016</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(incorporated herein by reference to Exhibit 3.1 in Jazz Pharmaceuticals plc’s Quarterly Report on Form 10-Q (File No. 001-</w:t>
              </w:r>
            </w:hyperlink>
          </w:p>
        </w:tc>
        <w:tc>
          <w:tcPr>
            <w:tcW w:w="80" w:type="dxa"/>
            <w:vAlign w:val="bottom"/>
            <w:tcBorders>
              <w:top w:val="single" w:sz="8" w:color="0000FF"/>
            </w:tcBorders>
            <w:gridSpan w:val="4"/>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33500) for the period ended June 30, 2016, as filed with the SEC on August 9, 2016).</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Reference is made to Exhibit 3.1.</w:t>
              </w:r>
            </w:hyperlink>
          </w:p>
        </w:tc>
        <w:tc>
          <w:tcPr>
            <w:tcW w:w="6980" w:type="dxa"/>
            <w:vAlign w:val="bottom"/>
            <w:tcBorders>
              <w:bottom w:val="single" w:sz="8" w:color="CCEEFF"/>
            </w:tcBorders>
            <w:gridSpan w:val="29"/>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4.3A</w:t>
            </w:r>
          </w:p>
        </w:tc>
        <w:tc>
          <w:tcPr>
            <w:tcW w:w="9060" w:type="dxa"/>
            <w:vAlign w:val="bottom"/>
            <w:tcBorders>
              <w:bottom w:val="single" w:sz="8" w:color="0000FF"/>
            </w:tcBorders>
            <w:gridSpan w:val="24"/>
          </w:tcPr>
          <w:p>
            <w:pPr>
              <w:spacing w:after="0" w:line="202"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Investor Rights Agreement, dated July 7, 2009 by and between Jazz Pharmaceuticals, Inc. and the other parties named therein</w:t>
              </w:r>
            </w:hyperlink>
          </w:p>
        </w:tc>
        <w:tc>
          <w:tcPr>
            <w:tcW w:w="32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(incorporated herein by reference to Exhibit 10.88 in Jazz Pharmaceuticals, Inc.’s Current Report on Form 8-K (File No. 001-</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July 7, 2009).</w:t>
              </w:r>
            </w:hyperlink>
          </w:p>
        </w:tc>
        <w:tc>
          <w:tcPr>
            <w:tcW w:w="340" w:type="dxa"/>
            <w:vAlign w:val="bottom"/>
            <w:gridSpan w:val="8"/>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4.3B</w:t>
            </w:r>
          </w:p>
        </w:tc>
        <w:tc>
          <w:tcPr>
            <w:tcW w:w="9380" w:type="dxa"/>
            <w:vAlign w:val="bottom"/>
            <w:gridSpan w:val="31"/>
            <w:shd w:val="clear" w:color="auto" w:fill="CCEEFF"/>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Assignment, Assumption and Amendment Agreement, dated as of January 18, 2012, by and among Jazz Pharmaceuticals, Inc.,</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000" w:type="dxa"/>
            <w:vAlign w:val="bottom"/>
            <w:tcBorders>
              <w:top w:val="single" w:sz="8" w:color="0000FF"/>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Jazz Pharmaceuticals plc and the other parties named therein (incorporated herein by reference to Exhibit 4.7B in the Annual</w:t>
              </w:r>
            </w:hyperlink>
          </w:p>
        </w:tc>
        <w:tc>
          <w:tcPr>
            <w:tcW w:w="140" w:type="dxa"/>
            <w:vAlign w:val="bottom"/>
            <w:tcBorders>
              <w:top w:val="single" w:sz="8" w:color="0000FF"/>
              <w:bottom w:val="single" w:sz="8" w:color="CCEEFF"/>
            </w:tcBorders>
            <w:gridSpan w:val="7"/>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Report on Form 10-K (File No. 001-33500) for the period ended December 31, 2011, as filed by Jazz Pharmaceuticals plc on</w:t>
              </w:r>
            </w:hyperlink>
          </w:p>
        </w:tc>
        <w:tc>
          <w:tcPr>
            <w:tcW w:w="38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behalf of and as successor to Jazz Pharmaceuticals, Inc. with the SEC on February 28, 2012).</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4.4A</w:t>
            </w:r>
          </w:p>
        </w:tc>
        <w:tc>
          <w:tcPr>
            <w:tcW w:w="8880" w:type="dxa"/>
            <w:vAlign w:val="bottom"/>
            <w:tcBorders>
              <w:bottom w:val="single" w:sz="8" w:color="0000FF"/>
            </w:tcBorders>
            <w:gridSpan w:val="18"/>
          </w:tcPr>
          <w:p>
            <w:pPr>
              <w:spacing w:after="0" w:line="202"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Indenture, dated as of August 13, 2014, by and among Jazz Pharmaceuticals plc, Jazz Investments I Limited and U.S. Bank</w:t>
              </w:r>
            </w:hyperlink>
          </w:p>
        </w:tc>
        <w:tc>
          <w:tcPr>
            <w:tcW w:w="5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National Association (incorporated herein by reference to Exhibit 4.1 in Jazz Pharmaceuticals plc’s Current Report on Form 8-</w:t>
              </w:r>
            </w:hyperlink>
          </w:p>
        </w:tc>
        <w:tc>
          <w:tcPr>
            <w:tcW w:w="24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K (File No. 001-33500), as filed with the SEC on August 13, 2014).</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4.4B</w:t>
            </w:r>
          </w:p>
        </w:tc>
        <w:tc>
          <w:tcPr>
            <w:tcW w:w="9120" w:type="dxa"/>
            <w:vAlign w:val="bottom"/>
            <w:tcBorders>
              <w:bottom w:val="single" w:sz="8" w:color="0000FF"/>
            </w:tcBorders>
            <w:gridSpan w:val="27"/>
            <w:shd w:val="clear" w:color="auto" w:fill="CCEEFF"/>
          </w:tcPr>
          <w:p>
            <w:pPr>
              <w:spacing w:after="0" w:line="202"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Form of 1.875% Exchangeable Senior Note due 2021 (incorporated herein by reference to Exhibit 4.2 in Jazz Pharmaceuticals</w:t>
              </w:r>
            </w:hyperlink>
          </w:p>
        </w:tc>
        <w:tc>
          <w:tcPr>
            <w:tcW w:w="260" w:type="dxa"/>
            <w:vAlign w:val="bottom"/>
            <w:tcBorders>
              <w:bottom w:val="single" w:sz="8" w:color="CCEEFF"/>
            </w:tcBorders>
            <w:gridSpan w:val="4"/>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plc’s Current Report on Form 8-K (File No. 001-33500), as filed with the SEC on August 13, 2014).</w:t>
              </w:r>
            </w:hyperlink>
          </w:p>
        </w:tc>
        <w:tc>
          <w:tcPr>
            <w:tcW w:w="216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4.5A</w:t>
            </w:r>
          </w:p>
        </w:tc>
        <w:tc>
          <w:tcPr>
            <w:tcW w:w="9380" w:type="dxa"/>
            <w:vAlign w:val="bottom"/>
            <w:gridSpan w:val="31"/>
          </w:tcPr>
          <w:p>
            <w:pPr>
              <w:spacing w:after="0" w:line="202"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Indenture, dated as of August 23, 2017, among Jazz Pharmaceuticals Public Limited Company, Jazz Investments I Limited and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U.S. Bank National Association (incorporated herein by reference to Exhibit 4.1 in Jazz Pharmaceuticals plc’s Current Report</w:t>
              </w:r>
            </w:hyperlink>
          </w:p>
        </w:tc>
        <w:tc>
          <w:tcPr>
            <w:tcW w:w="80" w:type="dxa"/>
            <w:vAlign w:val="bottom"/>
            <w:tcBorders>
              <w:top w:val="single" w:sz="8" w:color="0000FF"/>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on Form 8-K (File No. 001-33500), as filed with the SEC on August 23, 2017).</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4.5B</w:t>
            </w:r>
          </w:p>
        </w:tc>
        <w:tc>
          <w:tcPr>
            <w:tcW w:w="9380" w:type="dxa"/>
            <w:vAlign w:val="bottom"/>
            <w:gridSpan w:val="31"/>
            <w:shd w:val="clear" w:color="auto" w:fill="CCEEFF"/>
          </w:tcPr>
          <w:p>
            <w:pPr>
              <w:spacing w:after="0" w:line="202"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Form of 1.50% Exchangeable Senior Note due 2024 (incorporated herein by reference to Exhibit 4.1 in Jazz Pharmaceuticals</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22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plc’s Current Report on Form 8-K (File No. 001-33500), as filed with the SEC on August 23, 2017).</w:t>
              </w:r>
            </w:hyperlink>
          </w:p>
        </w:tc>
        <w:tc>
          <w:tcPr>
            <w:tcW w:w="178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10"/>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9380" w:type="dxa"/>
            <w:vAlign w:val="bottom"/>
            <w:gridSpan w:val="31"/>
          </w:tcPr>
          <w:p>
            <w:pPr>
              <w:spacing w:after="0" w:line="202" w:lineRule="exact"/>
              <w:rPr>
                <w:rFonts w:ascii="Arial" w:cs="Arial" w:eastAsia="Arial" w:hAnsi="Arial"/>
                <w:sz w:val="18"/>
                <w:szCs w:val="18"/>
                <w:color w:val="0000FF"/>
              </w:rPr>
            </w:pPr>
            <w:hyperlink w:anchor="page135">
              <w:r>
                <w:rPr>
                  <w:rFonts w:ascii="Arial" w:cs="Arial" w:eastAsia="Arial" w:hAnsi="Arial"/>
                  <w:sz w:val="18"/>
                  <w:szCs w:val="18"/>
                  <w:color w:val="0000FF"/>
                </w:rPr>
                <w:t>Description of Share Capital</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202"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Settlement Agreement, dated as of April 5, 2017, by and between Jazz Pharmaceuticals, Inc. and Jazz Pharmaceuticals Ireland</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8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Limited, and Roxane Laboratories, Inc., West-Ward Pharmaceuticals Corp., Eurohealth (USA), Inc., and Hikma</w:t>
              </w:r>
            </w:hyperlink>
          </w:p>
        </w:tc>
        <w:tc>
          <w:tcPr>
            <w:tcW w:w="30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4340" w:type="dxa"/>
            <w:vAlign w:val="bottom"/>
            <w:gridSpan w:val="9"/>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gridSpan w:val="5"/>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0" w:type="dxa"/>
            <w:vAlign w:val="bottom"/>
            <w:tcBorders>
              <w:bottom w:val="single" w:sz="8" w:color="0000FF"/>
            </w:tcBorders>
            <w:gridSpan w:val="29"/>
            <w:shd w:val="clear" w:color="auto" w:fill="CCEEFF"/>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Pharmaceuticals PLC (incorporated herein by reference to Exhibit 10.1 in Jazz Pharmaceuticals plc’s Quarterly Report on Form</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10-Q (File No. 001-33500) for the period ended June 30, 2017, as filed with the SEC on August 8, 2017).</w:t>
              </w:r>
            </w:hyperlink>
          </w:p>
        </w:tc>
        <w:tc>
          <w:tcPr>
            <w:tcW w:w="1780" w:type="dxa"/>
            <w:vAlign w:val="bottom"/>
            <w:tcBorders>
              <w:bottom w:val="single" w:sz="8" w:color="CCEEFF"/>
            </w:tcBorders>
            <w:gridSpan w:val="19"/>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8880" w:type="dxa"/>
            <w:vAlign w:val="bottom"/>
            <w:tcBorders>
              <w:bottom w:val="single" w:sz="8" w:color="0000FF"/>
            </w:tcBorders>
            <w:gridSpan w:val="18"/>
          </w:tcPr>
          <w:p>
            <w:pPr>
              <w:spacing w:after="0" w:line="202"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Settlement Agreement, dated as of April 4, 2019, by and among United States of America, acting through the United States</w:t>
              </w:r>
            </w:hyperlink>
          </w:p>
        </w:tc>
        <w:tc>
          <w:tcPr>
            <w:tcW w:w="50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Department of Justice and on behalf of the Office of Inspector General of the Department of Health and Human Services, Jazz</w:t>
              </w:r>
            </w:hyperlink>
          </w:p>
        </w:tc>
        <w:tc>
          <w:tcPr>
            <w:tcW w:w="28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Pharmaceuticals plc, Jazz Pharmaceuticals, Inc., and Jazz Pharmaceuticals Ireland Ltd. (incorporated herein by reference to</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620" w:type="dxa"/>
            <w:vAlign w:val="bottom"/>
            <w:gridSpan w:val="1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Exhibit 10.7 in Jazz Pharmaceuticals plc’s Quarterly Report on Form 10-Q (File No. 001-33500) for the period ended March 31,</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2019, as filed with the SEC on May 7, 2019).</w:t>
              </w:r>
            </w:hyperlink>
          </w:p>
        </w:tc>
        <w:tc>
          <w:tcPr>
            <w:tcW w:w="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680" w:type="dxa"/>
            <w:vAlign w:val="bottom"/>
            <w:gridSpan w:val="1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1"/>
                <w:szCs w:val="21"/>
                <w:color w:val="auto"/>
              </w:rPr>
            </w:pPr>
          </w:p>
        </w:tc>
        <w:tc>
          <w:tcPr>
            <w:tcW w:w="9380" w:type="dxa"/>
            <w:vAlign w:val="bottom"/>
            <w:gridSpan w:val="31"/>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Corporate Integrity Agreement, dated as of April 3, 2019, by and between Jazz Pharmaceuticals plc and the Office of Inspector</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General of the United States Department of Health and Human Services (incorporated herein by reference to Exhibit 10.6 in</w:t>
              </w:r>
            </w:hyperlink>
          </w:p>
        </w:tc>
        <w:tc>
          <w:tcPr>
            <w:tcW w:w="200" w:type="dxa"/>
            <w:vAlign w:val="bottom"/>
            <w:tcBorders>
              <w:top w:val="single" w:sz="8" w:color="0000FF"/>
            </w:tcBorders>
            <w:gridSpan w:val="8"/>
          </w:tcPr>
          <w:p>
            <w:pPr>
              <w:spacing w:after="0"/>
              <w:rPr>
                <w:sz w:val="17"/>
                <w:szCs w:val="17"/>
                <w:color w:val="auto"/>
              </w:rPr>
            </w:pPr>
          </w:p>
        </w:tc>
        <w:tc>
          <w:tcPr>
            <w:tcW w:w="2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687768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extLst>
                    </a:blip>
                    <a:srcRect/>
                    <a:stretch>
                      <a:fillRect/>
                    </a:stretch>
                  </pic:blipFill>
                  <pic:spPr bwMode="auto">
                    <a:xfrm>
                      <a:off x="0" y="0"/>
                      <a:ext cx="6877685" cy="582930"/>
                    </a:xfrm>
                    <a:prstGeom prst="rect">
                      <a:avLst/>
                    </a:prstGeom>
                    <a:noFill/>
                  </pic:spPr>
                </pic:pic>
              </a:graphicData>
            </a:graphic>
          </wp:anchor>
        </w:drawing>
      </w:r>
    </w:p>
    <w:p>
      <w:pPr>
        <w:ind w:left="1460" w:right="240"/>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Jazz Pharmaceuticals plc’s Quarterly Report on Form 10-Q (File No. 001-33500) for the period ended March 31, 2019, as filed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with the SEC on May 7, 2019).</w:t>
        </w:r>
      </w:hyperlink>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40"/>
          </w:cols>
          <w:pgMar w:left="240" w:top="108" w:right="8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9380" w:type="dxa"/>
            <w:vAlign w:val="bottom"/>
            <w:gridSpan w:val="24"/>
          </w:tcPr>
          <w:p>
            <w:pPr>
              <w:spacing w:after="0"/>
              <w:rPr>
                <w:rFonts w:ascii="Arial" w:cs="Arial" w:eastAsia="Arial" w:hAnsi="Arial"/>
                <w:sz w:val="18"/>
                <w:szCs w:val="18"/>
                <w:color w:val="0000FF"/>
              </w:rPr>
            </w:pPr>
            <w:hyperlink r:id="rId28">
              <w:r>
                <w:rPr>
                  <w:rFonts w:ascii="Arial" w:cs="Arial" w:eastAsia="Arial" w:hAnsi="Arial"/>
                  <w:sz w:val="18"/>
                  <w:szCs w:val="18"/>
                  <w:color w:val="0000FF"/>
                </w:rPr>
                <w:t>Supply Agreement, dated as of April 1, 2010, by and between Jazz Pharmaceuticals, Inc. and Siegfried (USA) Inc.</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4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(incorporated herein by reference to Exhibit 10.54 in Jazz Pharmaceuticals, Inc.’s Quarterly Report on Form 10-Q</w:t>
              </w:r>
            </w:hyperlink>
          </w:p>
        </w:tc>
        <w:tc>
          <w:tcPr>
            <w:tcW w:w="114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(File No. 001-33500) for the period ended March 31, 2010, as filed with the SEC on May 6, 2010).</w:t>
              </w:r>
            </w:hyperlink>
          </w:p>
        </w:tc>
        <w:tc>
          <w:tcPr>
            <w:tcW w:w="1180" w:type="dxa"/>
            <w:vAlign w:val="bottom"/>
            <w:gridSpan w:val="12"/>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9380" w:type="dxa"/>
            <w:vAlign w:val="bottom"/>
            <w:gridSpan w:val="24"/>
            <w:shd w:val="clear" w:color="auto" w:fill="CCEEFF"/>
          </w:tcPr>
          <w:p>
            <w:pPr>
              <w:spacing w:after="0" w:line="202"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Royalty Bearing Licence Agreement and Supply Agreement Re Erwinia-Derived Asparaginase, dated July 22, 2005, between</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Public Health England (formerly Health Protection Agency) and EUSA Pharma SAS (formerly OPi, S.A.), as amended on each</w:t>
              </w:r>
            </w:hyperlink>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of December 22, 2009, March 23, 2012 and August 8, 2012 (incorporated herein by reference to Exhibit 10.11 in Jazz</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Pharmaceuticals plc’s Quarterly Report on Form 10-Q/A (File No. 001-33500) for the period ended June 30, 2012, as filed with</w:t>
              </w:r>
            </w:hyperlink>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the SEC on August 9, 2012).</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202"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Novation Agreement relating to Royalty Bearing Licence Agreement and Supply Agreement re Erwinia-Derived Asparaginase,</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dated as of May 13, 2015, by and among EUSA Pharma SAS, the Secretary of State for Health acting through Public Health</w:t>
              </w:r>
            </w:hyperlink>
          </w:p>
        </w:tc>
        <w:tc>
          <w:tcPr>
            <w:tcW w:w="3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England and Porton Biopharma Limited (incorporated herein by reference to Exhibit 10.3 in Jazz Pharmaceuticals plc’s</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Quarterly Report on Form 10-Q (File No. 001-33500) for the period ended June 30, 2015, as filed with the SEC on August 5,</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2015).</w:t>
              </w:r>
            </w:hyperlink>
          </w:p>
        </w:tc>
        <w:tc>
          <w:tcPr>
            <w:tcW w:w="4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202"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Contract Variation Agreement by and between Porton Biopharma Limited and Jazz Pharmaceuticals France SAS, dated as of</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December 20, 2018 (incorporated herein by reference to Exhibit 10.5 in Jazz Pharmaceuticals plc’s Annual Report on Form 10-</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K (File No. 001-33500) for the period ended December 31, 2018, as filed with the SEC on February 26, 2019).</w:t>
              </w:r>
            </w:hyperlink>
          </w:p>
        </w:tc>
        <w:tc>
          <w:tcPr>
            <w:tcW w:w="140" w:type="dxa"/>
            <w:vAlign w:val="bottom"/>
            <w:tcBorders>
              <w:top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4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10.8†</w:t>
            </w:r>
          </w:p>
        </w:tc>
        <w:tc>
          <w:tcPr>
            <w:tcW w:w="9240" w:type="dxa"/>
            <w:vAlign w:val="bottom"/>
            <w:tcBorders>
              <w:bottom w:val="single" w:sz="8" w:color="0000FF"/>
            </w:tcBorders>
            <w:gridSpan w:val="23"/>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Master Manufacturing Services Agreement, dated as of October 1, 2015, by and between Jazz Pharmaceuticals Ireland Limited</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2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and Patheon Pharmaceuticals Inc. (incorporated herein by reference to Exhibit 10.5 in Jazz Pharmaceuticals plc’s Annual</w:t>
              </w:r>
            </w:hyperlink>
          </w:p>
        </w:tc>
        <w:tc>
          <w:tcPr>
            <w:tcW w:w="6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Report on Form 10-K (File No. 001-33500) for the period ended December 31, 2015, as filed with the SEC on February 23,</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2016).</w:t>
              </w:r>
            </w:hyperlink>
          </w:p>
        </w:tc>
        <w:tc>
          <w:tcPr>
            <w:tcW w:w="4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10.9A†</w:t>
            </w:r>
          </w:p>
        </w:tc>
        <w:tc>
          <w:tcPr>
            <w:tcW w:w="822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Clinical and Commercial Manufacturing and Supply Agreement, dated as of December 22, 2010, between Celator</w:t>
              </w:r>
            </w:hyperlink>
          </w:p>
        </w:tc>
        <w:tc>
          <w:tcPr>
            <w:tcW w:w="116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Pharmaceuticals, Inc. and Baxter Oncology GmbH (incorporated herein by reference to Exhibit 10.8 in Jazz Pharmaceuticals</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76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plc’s Annual Report on Form 10-K (File No. 001-33500) for the year ended December 31, 2017, as filed with the SEC on</w:t>
              </w:r>
            </w:hyperlink>
          </w:p>
        </w:tc>
        <w:tc>
          <w:tcPr>
            <w:tcW w:w="240" w:type="dxa"/>
            <w:vAlign w:val="bottom"/>
            <w:tcBorders>
              <w:top w:val="single" w:sz="8" w:color="0000FF"/>
              <w:bottom w:val="single" w:sz="8" w:color="CCEEFF"/>
              <w:right w:val="single" w:sz="8" w:color="CCEEFF"/>
            </w:tcBorders>
            <w:gridSpan w:val="4"/>
            <w:shd w:val="clear" w:color="auto" w:fill="CCEEFF"/>
          </w:tcPr>
          <w:p>
            <w:pPr>
              <w:spacing w:after="0"/>
              <w:rPr>
                <w:sz w:val="17"/>
                <w:szCs w:val="17"/>
                <w:color w:val="auto"/>
              </w:rPr>
            </w:pPr>
          </w:p>
        </w:tc>
        <w:tc>
          <w:tcPr>
            <w:tcW w:w="38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February 27, 2018).</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10.9B†</w:t>
            </w:r>
          </w:p>
        </w:tc>
        <w:tc>
          <w:tcPr>
            <w:tcW w:w="9380" w:type="dxa"/>
            <w:vAlign w:val="bottom"/>
            <w:gridSpan w:val="24"/>
          </w:tcPr>
          <w:p>
            <w:pPr>
              <w:spacing w:after="0" w:line="202"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Amendment No. 1 Clinical and Commercial Manufacturing and Supply Agreement, dated as of January 18, 2018, by and</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between Jazz Pharmaceuticals Ireland Limited and Baxter Oncology GmbH (incorporated herein by reference to Exhibit 10.3 in</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Jazz Pharmaceuticals plc’s Quarterly Report on Form 10-Q (File No. 001-33500) for the period ended March 31, 2018, as filed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with the SEC on May 8, 2018).</w:t>
              </w:r>
            </w:hyperlink>
          </w:p>
        </w:tc>
        <w:tc>
          <w:tcPr>
            <w:tcW w:w="1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10.10‡</w:t>
            </w:r>
          </w:p>
        </w:tc>
        <w:tc>
          <w:tcPr>
            <w:tcW w:w="900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89"/>
              </w:rPr>
            </w:pPr>
            <w:hyperlink w:anchor="page147">
              <w:r>
                <w:rPr>
                  <w:rFonts w:ascii="Arial" w:cs="Arial" w:eastAsia="Arial" w:hAnsi="Arial"/>
                  <w:sz w:val="18"/>
                  <w:szCs w:val="18"/>
                  <w:color w:val="0000FF"/>
                  <w:w w:val="89"/>
                </w:rPr>
                <w:t>Contract Manufacturing Agreement, dated as of January 20, 2020, by and between Jazz Pharmaceuticals Ireland Limited and</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rPr>
            </w:pPr>
            <w:hyperlink w:anchor="page147">
              <w:r>
                <w:rPr>
                  <w:rFonts w:ascii="Arial" w:cs="Arial" w:eastAsia="Arial" w:hAnsi="Arial"/>
                  <w:sz w:val="18"/>
                  <w:szCs w:val="18"/>
                  <w:color w:val="0000FF"/>
                </w:rPr>
                <w:t>Siegfried AG.</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10.11A†</w:t>
            </w:r>
          </w:p>
        </w:tc>
        <w:tc>
          <w:tcPr>
            <w:tcW w:w="9380" w:type="dxa"/>
            <w:vAlign w:val="bottom"/>
            <w:gridSpan w:val="24"/>
          </w:tcPr>
          <w:p>
            <w:pPr>
              <w:spacing w:after="0" w:line="202"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Pharmacy Master Services Agreement, dated as of July 1, 2017, by and between Jazz Pharmaceuticals, Inc. and Express Scripts</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Specialty Distribution Services, Inc. (incorporated herein by reference to Exhibit 10.2 in Jazz Pharmaceuticals plc’s Quarterly</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7"/>
              </w:rPr>
            </w:pPr>
            <w:hyperlink r:id="rId35">
              <w:r>
                <w:rPr>
                  <w:rFonts w:ascii="Arial" w:cs="Arial" w:eastAsia="Arial" w:hAnsi="Arial"/>
                  <w:sz w:val="18"/>
                  <w:szCs w:val="18"/>
                  <w:color w:val="0000FF"/>
                  <w:w w:val="97"/>
                </w:rPr>
                <w:t>Report on Form 10-Q (File No. 001-33500) for the period ended June 30, 2017, as filed with the SEC on August 8, 2017).</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10.11B</w:t>
            </w:r>
          </w:p>
        </w:tc>
        <w:tc>
          <w:tcPr>
            <w:tcW w:w="806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Amendment No. 1 to Pharmacy Master Services Agreement, effective as of June 30, 2019, by and between Jazz</w:t>
              </w:r>
            </w:hyperlink>
          </w:p>
        </w:tc>
        <w:tc>
          <w:tcPr>
            <w:tcW w:w="132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Pharmaceuticals, Inc. and Express Scripts Specialty Distribution Services, Inc. (incorporated herein by reference to Exhibit 10.8</w:t>
              </w:r>
            </w:hyperlink>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in Jazz Pharmaceuticals plc’s Quarterly Report on Form 10-Q (File No. 001-33500) for the period ended March 31, 2019, as</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filed with the SEC on May 7, 2019).</w:t>
              </w:r>
            </w:hyperlink>
          </w:p>
        </w:tc>
        <w:tc>
          <w:tcPr>
            <w:tcW w:w="676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w:t>
            </w:r>
          </w:p>
        </w:tc>
        <w:tc>
          <w:tcPr>
            <w:tcW w:w="8820" w:type="dxa"/>
            <w:vAlign w:val="bottom"/>
            <w:tcBorders>
              <w:bottom w:val="single" w:sz="8" w:color="0000FF"/>
            </w:tcBorders>
            <w:gridSpan w:val="20"/>
          </w:tcPr>
          <w:p>
            <w:pPr>
              <w:spacing w:after="0" w:line="202"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License Agreement, dated as of December 19, 2019, between Pharma Mar, S.A. and Jazz Pharmaceuticals Ireland Limited</w:t>
              </w:r>
            </w:hyperlink>
          </w:p>
        </w:tc>
        <w:tc>
          <w:tcPr>
            <w:tcW w:w="5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7"/>
              </w:rPr>
            </w:pPr>
            <w:hyperlink r:id="rId37">
              <w:r>
                <w:rPr>
                  <w:rFonts w:ascii="Arial" w:cs="Arial" w:eastAsia="Arial" w:hAnsi="Arial"/>
                  <w:sz w:val="18"/>
                  <w:szCs w:val="18"/>
                  <w:color w:val="0000FF"/>
                  <w:w w:val="97"/>
                </w:rPr>
                <w:t>(incorporated herein by reference to Exhibit 2.1 in Jazz Pharmaceuticals plc’s Current Report on Form 8-K (File No. 001-</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January 22, 2020).</w:t>
              </w:r>
            </w:hyperlink>
          </w:p>
        </w:tc>
        <w:tc>
          <w:tcPr>
            <w:tcW w:w="620" w:type="dxa"/>
            <w:vAlign w:val="bottom"/>
            <w:gridSpan w:val="6"/>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10.13A</w:t>
            </w:r>
          </w:p>
        </w:tc>
        <w:tc>
          <w:tcPr>
            <w:tcW w:w="9380" w:type="dxa"/>
            <w:vAlign w:val="bottom"/>
            <w:gridSpan w:val="24"/>
            <w:shd w:val="clear" w:color="auto" w:fill="CCEEFF"/>
          </w:tcPr>
          <w:p>
            <w:pPr>
              <w:spacing w:after="0" w:line="202"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Credit Agreement, dated as of June 18, 2015, among Jazz Pharmaceuticals plc, Jazz Securities Limited, Jazz Pharmaceuticals,</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Inc., Jazz Financing I Limited, Jazz Pharmaceuticals Ireland Limited, the lenders party thereto and Bank of America, N.A., as</w:t>
              </w:r>
            </w:hyperlink>
          </w:p>
        </w:tc>
        <w:tc>
          <w:tcPr>
            <w:tcW w:w="140" w:type="dxa"/>
            <w:vAlign w:val="bottom"/>
            <w:tcBorders>
              <w:top w:val="single" w:sz="8" w:color="CCEEFF"/>
            </w:tcBorders>
            <w:shd w:val="clear" w:color="auto" w:fill="CCEEFF"/>
          </w:tcPr>
          <w:p>
            <w:pPr>
              <w:spacing w:after="0"/>
              <w:rPr>
                <w:sz w:val="17"/>
                <w:szCs w:val="17"/>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160" w:type="dxa"/>
            <w:vAlign w:val="bottom"/>
            <w:gridSpan w:val="8"/>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Collateral Agent, Administrative Agent, Swing Line Lender and L/C Issuer (incorporated herein by reference to Exhibit 10.1 in</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Jazz Pharmaceuticals plc’s Current Report on Form 8-K (File No. 001-33500), as filed with the SEC on June 18, 2015).</w:t>
              </w:r>
            </w:hyperlink>
          </w:p>
        </w:tc>
        <w:tc>
          <w:tcPr>
            <w:tcW w:w="140" w:type="dxa"/>
            <w:vAlign w:val="bottom"/>
            <w:tcBorders>
              <w:top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4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10.13B</w:t>
            </w:r>
          </w:p>
        </w:tc>
        <w:tc>
          <w:tcPr>
            <w:tcW w:w="9240" w:type="dxa"/>
            <w:vAlign w:val="bottom"/>
            <w:tcBorders>
              <w:bottom w:val="single" w:sz="8" w:color="0000FF"/>
            </w:tcBorders>
            <w:gridSpan w:val="23"/>
          </w:tcPr>
          <w:p>
            <w:pPr>
              <w:spacing w:after="0" w:line="202"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Amendment No. 1, dated as of July 12, 2016, to Credit Agreement, dated as of June 18, 2015, among Jazz Pharmaceuticals plc,</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Jazz Securities Limited, Jazz Pharmaceuticals, Inc., Jazz Financing I Limited, Jazz Pharmaceuticals Ireland Limited, the lenders</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2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party thereto and Bank of America, N.A., as Collateral Agent, Administrative Agent, Swing Line Lender and L/C Issuer</w:t>
              </w:r>
            </w:hyperlink>
          </w:p>
        </w:tc>
        <w:tc>
          <w:tcPr>
            <w:tcW w:w="6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(incorporated herein by reference to Exhibit 10.1 in Jazz Pharmaceuticals plc’s Quarterly Report on Form 10-Q (File No. 001-</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33500) for the period ended June 30, 2016, as filed with the SEC on August 9, 2016).</w:t>
              </w:r>
            </w:hyperlink>
          </w:p>
        </w:tc>
        <w:tc>
          <w:tcPr>
            <w:tcW w:w="14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tcBorders>
              <w:top w:val="single" w:sz="8" w:color="0000FF"/>
            </w:tcBorders>
            <w:gridSpan w:val="8"/>
          </w:tcPr>
          <w:p>
            <w:pPr>
              <w:ind w:left="416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840"/>
          </w:cols>
          <w:pgMar w:left="240" w:top="108" w:right="8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10.13C</w:t>
            </w:r>
          </w:p>
        </w:tc>
        <w:tc>
          <w:tcPr>
            <w:tcW w:w="86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Amendment No. 2, dated as of June 7, 2018, to Credit Agreement, dated as of June 18, 2015 (as previously amended by</w:t>
              </w:r>
            </w:hyperlink>
          </w:p>
        </w:tc>
        <w:tc>
          <w:tcPr>
            <w:tcW w:w="740" w:type="dxa"/>
            <w:vAlign w:val="bottom"/>
            <w:tcBorders>
              <w:bottom w:val="single" w:sz="8" w:color="CCEEFF"/>
            </w:tcBorders>
            <w:gridSpan w:val="21"/>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Amendment No. 1, dated as of July 12, 2016), among Jazz Pharmaceuticals plc, Jazz Securities Designated Activity Company,</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060" w:type="dxa"/>
            <w:vAlign w:val="bottom"/>
            <w:tcBorders>
              <w:top w:val="single" w:sz="8" w:color="0000FF"/>
              <w:bottom w:val="single" w:sz="8" w:color="0000FF"/>
            </w:tcBorders>
            <w:gridSpan w:val="30"/>
            <w:shd w:val="clear" w:color="auto" w:fill="CCEEFF"/>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Jazz Pharmaceuticals, Inc., Jazz Financing I Designated Activity Company, Jazz Pharmaceuticals Ireland Limited, the lenders</w:t>
              </w:r>
            </w:hyperlink>
          </w:p>
        </w:tc>
        <w:tc>
          <w:tcPr>
            <w:tcW w:w="6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7"/>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6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party thereto and Bank of America, N.A., as Collateral Agent, Administrative Agent, Swing Line Lender and L/C Issuer</w:t>
              </w:r>
            </w:hyperlink>
          </w:p>
        </w:tc>
        <w:tc>
          <w:tcPr>
            <w:tcW w:w="720" w:type="dxa"/>
            <w:vAlign w:val="bottom"/>
            <w:tcBorders>
              <w:bottom w:val="single" w:sz="8" w:color="CCEEFF"/>
            </w:tcBorders>
            <w:gridSpan w:val="20"/>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(incorporated herein by reference to Exhibit 10.4 in Jazz Pharmaceuticals plc’s Quarterly Report on Form 10-Q (File No. 001-</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16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33500) for the period ended June 30, 2018, as filed with the SEC on August 7, 2018).</w:t>
              </w:r>
            </w:hyperlink>
          </w:p>
        </w:tc>
        <w:tc>
          <w:tcPr>
            <w:tcW w:w="2920" w:type="dxa"/>
            <w:vAlign w:val="bottom"/>
            <w:tcBorders>
              <w:top w:val="single" w:sz="8" w:color="0000FF"/>
              <w:bottom w:val="single" w:sz="8" w:color="CCEEFF"/>
            </w:tcBorders>
            <w:gridSpan w:val="21"/>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10.14A</w:t>
            </w:r>
          </w:p>
        </w:tc>
        <w:tc>
          <w:tcPr>
            <w:tcW w:w="8760" w:type="dxa"/>
            <w:vAlign w:val="bottom"/>
            <w:tcBorders>
              <w:bottom w:val="single" w:sz="8" w:color="0000FF"/>
            </w:tcBorders>
            <w:gridSpan w:val="21"/>
          </w:tcPr>
          <w:p>
            <w:pPr>
              <w:spacing w:after="0" w:line="202"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Commercial Lease, dated as of June 2, 2004, by and between Jazz Pharmaceuticals, Inc. and The Board of Trustees of the</w:t>
              </w:r>
            </w:hyperlink>
          </w:p>
        </w:tc>
        <w:tc>
          <w:tcPr>
            <w:tcW w:w="62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bottom w:val="single" w:sz="8" w:color="0000FF"/>
            </w:tcBorders>
            <w:gridSpan w:val="3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Leland Stanford Junior University (incorporated herein by reference to Exhibit 10.52 in Jazz Pharmaceuticals, Inc.’s registration</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statement on Form S-1, as amended (File No. 333-141164), as filed with the SEC on March 27, 2007).</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7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10.14B</w:t>
            </w:r>
          </w:p>
        </w:tc>
        <w:tc>
          <w:tcPr>
            <w:tcW w:w="85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First Amendment of Lease, dated June 1, 2009, by and between Jazz Pharmaceuticals, Inc. and Wheatley-Fields, LLC,</w:t>
              </w:r>
            </w:hyperlink>
          </w:p>
        </w:tc>
        <w:tc>
          <w:tcPr>
            <w:tcW w:w="840" w:type="dxa"/>
            <w:vAlign w:val="bottom"/>
            <w:tcBorders>
              <w:bottom w:val="single" w:sz="8" w:color="CCEEFF"/>
            </w:tcBorders>
            <w:gridSpan w:val="2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900" w:type="dxa"/>
            <w:vAlign w:val="bottom"/>
            <w:tcBorders>
              <w:bottom w:val="single" w:sz="8" w:color="0000FF"/>
            </w:tcBorders>
            <w:gridSpan w:val="25"/>
            <w:shd w:val="clear" w:color="auto" w:fill="CCEEFF"/>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successor in interest to The Board of Trustees of the Leland Stanford Junior University (incorporated herein by reference to</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Exhibit 10.86 in Jazz Pharmaceuticals, Inc.’s Current Report on Form 8-K (File No. 001-33500), as filed with the SEC on June</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7"/>
              </w:rPr>
            </w:pPr>
            <w:hyperlink r:id="rId42">
              <w:r>
                <w:rPr>
                  <w:rFonts w:ascii="Arial" w:cs="Arial" w:eastAsia="Arial" w:hAnsi="Arial"/>
                  <w:sz w:val="18"/>
                  <w:szCs w:val="18"/>
                  <w:color w:val="0000FF"/>
                  <w:w w:val="87"/>
                </w:rPr>
                <w:t>4, 2009).</w:t>
              </w:r>
            </w:hyperlink>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60" w:type="dxa"/>
            <w:vAlign w:val="bottom"/>
            <w:tcBorders>
              <w:top w:val="single" w:sz="8" w:color="0000FF"/>
              <w:bottom w:val="single" w:sz="8" w:color="CCEEFF"/>
            </w:tcBorders>
            <w:shd w:val="clear" w:color="auto" w:fill="CCEEFF"/>
          </w:tcPr>
          <w:p>
            <w:pPr>
              <w:spacing w:after="0"/>
              <w:rPr>
                <w:sz w:val="21"/>
                <w:szCs w:val="21"/>
                <w:color w:val="auto"/>
              </w:rPr>
            </w:pPr>
          </w:p>
        </w:tc>
        <w:tc>
          <w:tcPr>
            <w:tcW w:w="2700" w:type="dxa"/>
            <w:vAlign w:val="bottom"/>
            <w:tcBorders>
              <w:top w:val="single" w:sz="8" w:color="0000FF"/>
              <w:bottom w:val="single" w:sz="8" w:color="CCEEFF"/>
            </w:tcBorders>
            <w:shd w:val="clear" w:color="auto" w:fill="CCEEFF"/>
          </w:tcPr>
          <w:p>
            <w:pPr>
              <w:spacing w:after="0"/>
              <w:rPr>
                <w:sz w:val="21"/>
                <w:szCs w:val="21"/>
                <w:color w:val="auto"/>
              </w:rPr>
            </w:pPr>
          </w:p>
        </w:tc>
        <w:tc>
          <w:tcPr>
            <w:tcW w:w="10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10.14C</w:t>
            </w:r>
          </w:p>
        </w:tc>
        <w:tc>
          <w:tcPr>
            <w:tcW w:w="9380" w:type="dxa"/>
            <w:vAlign w:val="bottom"/>
            <w:gridSpan w:val="39"/>
          </w:tcPr>
          <w:p>
            <w:pPr>
              <w:spacing w:after="0" w:line="202"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Second Amendment of Lease, dated February 28, 2012, by and between Jazz Pharmaceuticals, Inc. and Wheatley-Fields, LLC,</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successor in interest to The Board of Trustees of the Leland Stanford Junior University (incorporated herein by reference to</w:t>
              </w:r>
            </w:hyperlink>
          </w:p>
        </w:tc>
        <w:tc>
          <w:tcPr>
            <w:tcW w:w="240" w:type="dxa"/>
            <w:vAlign w:val="bottom"/>
            <w:tcBorders>
              <w:top w:val="single" w:sz="8" w:color="0000FF"/>
            </w:tcBorders>
            <w:gridSpan w:val="8"/>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Exhibit 10.31 in the Annual Report on Form 10-K (File No. 001-33500) for the period ended December 31, 2011, as filed by</w:t>
              </w:r>
            </w:hyperlink>
          </w:p>
        </w:tc>
        <w:tc>
          <w:tcPr>
            <w:tcW w:w="40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Jazz Pharmaceuticals plc on behalf of and as successor to Jazz Pharmaceuticals, Inc. with the SEC on February 28, 2012).</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7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202" w:lineRule="exact"/>
              <w:rPr>
                <w:rFonts w:ascii="Arial" w:cs="Arial" w:eastAsia="Arial" w:hAnsi="Arial"/>
                <w:sz w:val="18"/>
                <w:szCs w:val="18"/>
                <w:color w:val="0000FF"/>
              </w:rPr>
            </w:pPr>
            <w:hyperlink r:id="rId44">
              <w:r>
                <w:rPr>
                  <w:rFonts w:ascii="Arial" w:cs="Arial" w:eastAsia="Arial" w:hAnsi="Arial"/>
                  <w:sz w:val="18"/>
                  <w:szCs w:val="18"/>
                  <w:color w:val="0000FF"/>
                </w:rPr>
                <w:t>Lease, dated May 8, 2012, by and between John Ronan and Castle Cove Property Developments Limited and Jazz</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Pharmaceuticals plc (incorporated herein by reference to Exhibit 10.2 in Jazz Pharmaceuticals plc’s Quarterly Report on Form</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60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10-Q (File No. 001-33500) for the period ended June 30, 2012, as filed with the SEC on August 7, 2012).</w:t>
              </w:r>
            </w:hyperlink>
          </w:p>
        </w:tc>
        <w:tc>
          <w:tcPr>
            <w:tcW w:w="1480" w:type="dxa"/>
            <w:vAlign w:val="bottom"/>
            <w:tcBorders>
              <w:top w:val="single" w:sz="8" w:color="0000FF"/>
              <w:bottom w:val="single" w:sz="8" w:color="CCEEFF"/>
            </w:tcBorders>
            <w:gridSpan w:val="18"/>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10.16A</w:t>
            </w:r>
          </w:p>
        </w:tc>
        <w:tc>
          <w:tcPr>
            <w:tcW w:w="9380" w:type="dxa"/>
            <w:vAlign w:val="bottom"/>
            <w:gridSpan w:val="39"/>
          </w:tcPr>
          <w:p>
            <w:pPr>
              <w:spacing w:after="0" w:line="20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Commercial Lease, dated as of January 7, 2015, by and between The Board of Trustees of the Leland Stanford Junior</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University and Jazz Pharmaceuticals, Inc. (incorporated herein by reference to Exhibit 10.10 in Jazz Pharmaceuticals plc’s</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Annual Report on Form 10-K (File No. 001-33500) for the period ended December 31, 2014, as filed with the SEC on February</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24, 2015).</w:t>
              </w:r>
            </w:hyperlink>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10.16B</w:t>
            </w:r>
          </w:p>
        </w:tc>
        <w:tc>
          <w:tcPr>
            <w:tcW w:w="9380" w:type="dxa"/>
            <w:vAlign w:val="bottom"/>
            <w:gridSpan w:val="39"/>
            <w:shd w:val="clear" w:color="auto" w:fill="CCEEFF"/>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First Amendment, dated as of January 29, 2018, to Commercial Lease, dated as of January 7, 2015, by and between The Board</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FF"/>
            </w:tcBorders>
            <w:gridSpan w:val="37"/>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of Trustees of the Leland Stanford Junior University and Jazz Pharmaceuticals, Inc. (incorporated herein by reference to Exhibit</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80" w:type="dxa"/>
            <w:vAlign w:val="bottom"/>
            <w:tcBorders>
              <w:bottom w:val="single" w:sz="8" w:color="0000FF"/>
            </w:tcBorders>
            <w:gridSpan w:val="35"/>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w:t>
              </w:r>
              <w:r>
                <w:rPr>
                  <w:rFonts w:ascii="Arial" w:cs="Arial" w:eastAsia="Arial" w:hAnsi="Arial"/>
                  <w:sz w:val="18"/>
                  <w:szCs w:val="18"/>
                  <w:color w:val="0000FF"/>
                  <w:w w:val="90"/>
                </w:rPr>
                <w:t xml:space="preserve"> in Jazz Pharmaceuticals plc’s Quarterly Report on Form 10-Q (File No. 001-33500) for the period ended June 30, 2018, as</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filed with the SEC on August 7, 2018).</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10.16C</w:t>
            </w:r>
          </w:p>
        </w:tc>
        <w:tc>
          <w:tcPr>
            <w:tcW w:w="9380" w:type="dxa"/>
            <w:vAlign w:val="bottom"/>
            <w:gridSpan w:val="39"/>
          </w:tcPr>
          <w:p>
            <w:pPr>
              <w:spacing w:after="0" w:line="202"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Second Amendment, dated as of July 26, 2018, to Commercial Lease, dated as of January 7, 2015, by and between The Board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of Trustees of the Leland Stanford Junior University and Jazz Pharmaceuticals, Inc., as previously amended by the First</w:t>
              </w:r>
            </w:hyperlink>
          </w:p>
        </w:tc>
        <w:tc>
          <w:tcPr>
            <w:tcW w:w="440" w:type="dxa"/>
            <w:vAlign w:val="bottom"/>
            <w:tcBorders>
              <w:top w:val="single" w:sz="8" w:color="0000FF"/>
            </w:tcBorders>
            <w:gridSpan w:val="13"/>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2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Amendment to Lease, dated as of January 29, 2018 (incorporated herein by reference to Exhibit 10.1 in Jazz Pharmaceuticals</w:t>
              </w:r>
            </w:hyperlink>
          </w:p>
        </w:tc>
        <w:tc>
          <w:tcPr>
            <w:tcW w:w="36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plc’s Quarterly Report on Form 10-Q (File No. 001-33500) for the period ended September 30, 2018, as filed with the SEC on</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November 6, 2018).</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10.17A</w:t>
            </w:r>
          </w:p>
        </w:tc>
        <w:tc>
          <w:tcPr>
            <w:tcW w:w="9380" w:type="dxa"/>
            <w:vAlign w:val="bottom"/>
            <w:gridSpan w:val="39"/>
            <w:shd w:val="clear" w:color="auto" w:fill="CCEEFF"/>
          </w:tcPr>
          <w:p>
            <w:pPr>
              <w:spacing w:after="0" w:line="202"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Commercial Lease, dated as of September 22, 2017, by and between Jazz Pharmaceuticals, Inc. and The Board of Trustees of</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80" w:type="dxa"/>
            <w:vAlign w:val="bottom"/>
            <w:tcBorders>
              <w:bottom w:val="single" w:sz="8" w:color="0000FF"/>
            </w:tcBorders>
            <w:gridSpan w:val="35"/>
            <w:shd w:val="clear" w:color="auto" w:fill="CCEEFF"/>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the Leland Stanford Junior University (incorporated herein by reference to Exhibit 10.2 in Jazz Pharmaceuticals plc’s Quarterly</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Report on Form 10-Q (File No. 001-33500) for the period ended September 30, 2017, as filed with the SEC on November 7,</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48">
              <w:r>
                <w:rPr>
                  <w:rFonts w:ascii="Arial" w:cs="Arial" w:eastAsia="Arial" w:hAnsi="Arial"/>
                  <w:sz w:val="18"/>
                  <w:szCs w:val="18"/>
                  <w:color w:val="0000FF"/>
                  <w:w w:val="86"/>
                </w:rPr>
                <w:t>2017).</w:t>
              </w:r>
            </w:hyperlink>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60" w:type="dxa"/>
            <w:vAlign w:val="bottom"/>
            <w:tcBorders>
              <w:top w:val="single" w:sz="8" w:color="0000FF"/>
              <w:bottom w:val="single" w:sz="8" w:color="CCEEFF"/>
            </w:tcBorders>
            <w:shd w:val="clear" w:color="auto" w:fill="CCEEFF"/>
          </w:tcPr>
          <w:p>
            <w:pPr>
              <w:spacing w:after="0"/>
              <w:rPr>
                <w:sz w:val="21"/>
                <w:szCs w:val="21"/>
                <w:color w:val="auto"/>
              </w:rPr>
            </w:pPr>
          </w:p>
        </w:tc>
        <w:tc>
          <w:tcPr>
            <w:tcW w:w="2700" w:type="dxa"/>
            <w:vAlign w:val="bottom"/>
            <w:tcBorders>
              <w:top w:val="single" w:sz="8" w:color="0000FF"/>
              <w:bottom w:val="single" w:sz="8" w:color="CCEEFF"/>
            </w:tcBorders>
            <w:shd w:val="clear" w:color="auto" w:fill="CCEEFF"/>
          </w:tcPr>
          <w:p>
            <w:pPr>
              <w:spacing w:after="0"/>
              <w:rPr>
                <w:sz w:val="21"/>
                <w:szCs w:val="21"/>
                <w:color w:val="auto"/>
              </w:rPr>
            </w:pPr>
          </w:p>
        </w:tc>
        <w:tc>
          <w:tcPr>
            <w:tcW w:w="10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10.17B</w:t>
            </w:r>
          </w:p>
        </w:tc>
        <w:tc>
          <w:tcPr>
            <w:tcW w:w="8960" w:type="dxa"/>
            <w:vAlign w:val="bottom"/>
            <w:tcBorders>
              <w:bottom w:val="single" w:sz="8" w:color="0000FF"/>
            </w:tcBorders>
            <w:gridSpan w:val="27"/>
          </w:tcPr>
          <w:p>
            <w:pPr>
              <w:spacing w:after="0" w:line="202"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First Amendment, dated as of January 29, 2018, to Commercial Lease, dated as of September 22, 2017, by and between The</w:t>
              </w:r>
            </w:hyperlink>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Board of Trustees of the Leland Stanford Junior University and Jazz Pharmaceuticals, Inc. (incorporated herein by reference to</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top w:val="single" w:sz="8" w:color="0000FF"/>
            </w:tcBorders>
            <w:gridSpan w:val="32"/>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Exhibit 10.6 in Jazz Pharmaceuticals plc’s Quarterly Report on Form 10-Q (File No. 001-33500) for the period ended June 30,</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2018, as filed with the SEC on August 7, 2018).</w:t>
              </w:r>
            </w:hyperlink>
          </w:p>
        </w:tc>
        <w:tc>
          <w:tcPr>
            <w:tcW w:w="260" w:type="dxa"/>
            <w:vAlign w:val="bottom"/>
            <w:gridSpan w:val="7"/>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10.18+</w:t>
            </w:r>
          </w:p>
        </w:tc>
        <w:tc>
          <w:tcPr>
            <w:tcW w:w="180" w:type="dxa"/>
            <w:vAlign w:val="bottom"/>
            <w:tcBorders>
              <w:bottom w:val="single" w:sz="8" w:color="CCEEFF"/>
            </w:tcBorders>
            <w:shd w:val="clear" w:color="auto" w:fill="CCEEFF"/>
          </w:tcPr>
          <w:p>
            <w:pPr>
              <w:spacing w:after="0"/>
              <w:rPr>
                <w:sz w:val="17"/>
                <w:szCs w:val="17"/>
                <w:color w:val="auto"/>
              </w:rPr>
            </w:pPr>
          </w:p>
        </w:tc>
        <w:tc>
          <w:tcPr>
            <w:tcW w:w="894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Form of Indemnification Agreement between Jazz Pharmaceuticals plc and its officers and directors (incorporated herein by</w:t>
              </w:r>
            </w:hyperlink>
          </w:p>
        </w:tc>
        <w:tc>
          <w:tcPr>
            <w:tcW w:w="44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reference to Exhibit 10.1 in Jazz Pharmaceuticals plc’s Current Report on Form 8-K (File No. 001-33500), as filed with the</w:t>
              </w:r>
            </w:hyperlink>
          </w:p>
        </w:tc>
        <w:tc>
          <w:tcPr>
            <w:tcW w:w="500" w:type="dxa"/>
            <w:vAlign w:val="bottom"/>
            <w:tcBorders>
              <w:bottom w:val="single" w:sz="8" w:color="CCEEFF"/>
            </w:tcBorders>
            <w:gridSpan w:val="15"/>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SEC on January 18, 2012).</w:t>
              </w:r>
            </w:hyperlink>
          </w:p>
        </w:tc>
        <w:tc>
          <w:tcPr>
            <w:tcW w:w="7440" w:type="dxa"/>
            <w:vAlign w:val="bottom"/>
            <w:tcBorders>
              <w:bottom w:val="single" w:sz="8" w:color="CCEEFF"/>
            </w:tcBorders>
            <w:gridSpan w:val="33"/>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10.19+</w:t>
            </w:r>
          </w:p>
        </w:tc>
        <w:tc>
          <w:tcPr>
            <w:tcW w:w="180" w:type="dxa"/>
            <w:vAlign w:val="bottom"/>
          </w:tcPr>
          <w:p>
            <w:pPr>
              <w:spacing w:after="0"/>
              <w:rPr>
                <w:sz w:val="17"/>
                <w:szCs w:val="17"/>
                <w:color w:val="auto"/>
              </w:rPr>
            </w:pPr>
          </w:p>
        </w:tc>
        <w:tc>
          <w:tcPr>
            <w:tcW w:w="9380" w:type="dxa"/>
            <w:vAlign w:val="bottom"/>
            <w:gridSpan w:val="39"/>
          </w:tcPr>
          <w:p>
            <w:pPr>
              <w:spacing w:after="0" w:line="202"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Offer Letter from Jazz Pharmaceuticals, Inc. to Matthew Young (incorporated herein by reference to Exhibit 10.3 in Jazz</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Pharmaceuticals plc’s Quarterly Report on Form 10-Q (File No. 001-33500) for the period ended March 31, 2014, as filed with</w:t>
              </w:r>
            </w:hyperlink>
          </w:p>
        </w:tc>
        <w:tc>
          <w:tcPr>
            <w:tcW w:w="2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SEC on May 8, 2014).</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10.20+</w:t>
            </w:r>
          </w:p>
        </w:tc>
        <w:tc>
          <w:tcPr>
            <w:tcW w:w="18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Offer Letter from Jazz Pharmaceuticals, Inc. to Michael Miller (incorporated herein by reference to Exhibit 10.2 in Jazz</w:t>
              </w:r>
            </w:hyperlink>
          </w:p>
        </w:tc>
        <w:tc>
          <w:tcPr>
            <w:tcW w:w="760" w:type="dxa"/>
            <w:vAlign w:val="bottom"/>
            <w:tcBorders>
              <w:bottom w:val="single" w:sz="8" w:color="CCEEFF"/>
            </w:tcBorders>
            <w:gridSpan w:val="22"/>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Pharmaceuticals plc’s Quarterly Report on Form 10-Q (File No. 001-33500) for the period ended September 30, 2014, as filed</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with the SEC on November 4, 2014).</w:t>
              </w:r>
            </w:hyperlink>
          </w:p>
        </w:tc>
        <w:tc>
          <w:tcPr>
            <w:tcW w:w="6400" w:type="dxa"/>
            <w:vAlign w:val="bottom"/>
            <w:tcBorders>
              <w:top w:val="single" w:sz="8" w:color="0000FF"/>
              <w:bottom w:val="single" w:sz="8" w:color="CCEEFF"/>
            </w:tcBorders>
            <w:gridSpan w:val="24"/>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10.21+</w:t>
            </w:r>
          </w:p>
        </w:tc>
        <w:tc>
          <w:tcPr>
            <w:tcW w:w="180" w:type="dxa"/>
            <w:vAlign w:val="bottom"/>
          </w:tcPr>
          <w:p>
            <w:pPr>
              <w:spacing w:after="0"/>
              <w:rPr>
                <w:sz w:val="17"/>
                <w:szCs w:val="17"/>
                <w:color w:val="auto"/>
              </w:rPr>
            </w:pPr>
          </w:p>
        </w:tc>
        <w:tc>
          <w:tcPr>
            <w:tcW w:w="8960" w:type="dxa"/>
            <w:vAlign w:val="bottom"/>
            <w:tcBorders>
              <w:bottom w:val="single" w:sz="8" w:color="0000FF"/>
            </w:tcBorders>
            <w:gridSpan w:val="27"/>
          </w:tcPr>
          <w:p>
            <w:pPr>
              <w:spacing w:after="0" w:line="202"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Transition and Termination Agreement, dated as of November 2, 2019, by and between Jazz Pharmaceuticals, Inc. and Mike</w:t>
              </w:r>
            </w:hyperlink>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9"/>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Miller (incorporated herein by reference to Exhibit 10.6 in Jazz Pharmaceuticals plc’s Quarterly Report on Form 10-Q (File No.</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001-33500) for the period ended September 30, 2019, as filed with the SEC on November 5, 2019).</w:t>
              </w:r>
            </w:hyperlink>
          </w:p>
        </w:tc>
        <w:tc>
          <w:tcPr>
            <w:tcW w:w="18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08" w:right="819" w:bottom="1440" w:gutter="0" w:footer="0" w:header="0"/>
        </w:sectPr>
      </w:pPr>
    </w:p>
    <w:p>
      <w:pPr>
        <w:spacing w:after="0" w:line="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840"/>
          </w:cols>
          <w:pgMar w:left="240" w:top="108" w:right="8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10.22+</w:t>
            </w:r>
          </w:p>
        </w:tc>
        <w:tc>
          <w:tcPr>
            <w:tcW w:w="18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0000FF"/>
              <w:right w:val="single" w:sz="8" w:color="CCEEFF"/>
            </w:tcBorders>
            <w:gridSpan w:val="23"/>
            <w:shd w:val="clear" w:color="auto" w:fill="CCEEFF"/>
          </w:tcPr>
          <w:p>
            <w:pPr>
              <w:spacing w:after="0" w:line="202" w:lineRule="exact"/>
              <w:rPr>
                <w:rFonts w:ascii="Arial" w:cs="Arial" w:eastAsia="Arial" w:hAnsi="Arial"/>
                <w:sz w:val="18"/>
                <w:szCs w:val="18"/>
                <w:color w:val="0000FF"/>
                <w:w w:val="89"/>
              </w:rPr>
            </w:pPr>
            <w:hyperlink w:anchor="page184">
              <w:r>
                <w:rPr>
                  <w:rFonts w:ascii="Arial" w:cs="Arial" w:eastAsia="Arial" w:hAnsi="Arial"/>
                  <w:sz w:val="18"/>
                  <w:szCs w:val="18"/>
                  <w:color w:val="0000FF"/>
                  <w:w w:val="89"/>
                </w:rPr>
                <w:t>Compromise Agreement, dated as of October 5, 2019, by and between Jazz Pharmaceuticals Ireland Limited and Paul Treacy.</w:t>
              </w:r>
            </w:hyperlink>
          </w:p>
        </w:tc>
        <w:tc>
          <w:tcPr>
            <w:tcW w:w="340" w:type="dxa"/>
            <w:vAlign w:val="bottom"/>
            <w:tcBorders>
              <w:left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10.23+</w:t>
            </w:r>
          </w:p>
        </w:tc>
        <w:tc>
          <w:tcPr>
            <w:tcW w:w="180" w:type="dxa"/>
            <w:vAlign w:val="bottom"/>
          </w:tcPr>
          <w:p>
            <w:pPr>
              <w:spacing w:after="0"/>
              <w:rPr>
                <w:sz w:val="17"/>
                <w:szCs w:val="17"/>
                <w:color w:val="auto"/>
              </w:rPr>
            </w:pPr>
          </w:p>
        </w:tc>
        <w:tc>
          <w:tcPr>
            <w:tcW w:w="9200" w:type="dxa"/>
            <w:vAlign w:val="bottom"/>
            <w:tcBorders>
              <w:bottom w:val="single" w:sz="8" w:color="0000FF"/>
            </w:tcBorders>
            <w:gridSpan w:val="30"/>
          </w:tcPr>
          <w:p>
            <w:pPr>
              <w:spacing w:after="0" w:line="202"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Offer Letter from Jazz Pharmaceuticals, Inc. to Daniel N. Swisher, Jr. (incorporated herein by reference to Exhibit 10.21 in Jazz</w:t>
              </w:r>
            </w:hyperlink>
          </w:p>
        </w:tc>
        <w:tc>
          <w:tcPr>
            <w:tcW w:w="1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Pharmaceuticals plc’s Annual Report on Form 10-K (File No. 001-33500) for the year ended December 31, 2017, as filed with</w:t>
              </w:r>
            </w:hyperlink>
          </w:p>
        </w:tc>
        <w:tc>
          <w:tcPr>
            <w:tcW w:w="2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the SEC on February 27, 2018).</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10.24+</w:t>
            </w:r>
          </w:p>
        </w:tc>
        <w:tc>
          <w:tcPr>
            <w:tcW w:w="180" w:type="dxa"/>
            <w:vAlign w:val="bottom"/>
            <w:tcBorders>
              <w:bottom w:val="single" w:sz="8" w:color="CCEEFF"/>
            </w:tcBorders>
            <w:shd w:val="clear" w:color="auto" w:fill="CCEEFF"/>
          </w:tcPr>
          <w:p>
            <w:pPr>
              <w:spacing w:after="0"/>
              <w:rPr>
                <w:sz w:val="17"/>
                <w:szCs w:val="17"/>
                <w:color w:val="auto"/>
              </w:rPr>
            </w:pPr>
          </w:p>
        </w:tc>
        <w:tc>
          <w:tcPr>
            <w:tcW w:w="910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Offer Letter from Jazz Pharmaceuticals, Inc. to Robert Iannone dated as of April 11, 2019 (incorporated herein by reference to</w:t>
              </w:r>
            </w:hyperlink>
          </w:p>
        </w:tc>
        <w:tc>
          <w:tcPr>
            <w:tcW w:w="28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2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Exhibit 10.4 in Jazz Pharmaceuticals plc’s Quarterly Report on Form 10-Q (File No. 001-33500) for the period ended June 30,</w:t>
              </w:r>
            </w:hyperlink>
          </w:p>
        </w:tc>
        <w:tc>
          <w:tcPr>
            <w:tcW w:w="260" w:type="dxa"/>
            <w:vAlign w:val="bottom"/>
            <w:tcBorders>
              <w:bottom w:val="single" w:sz="8" w:color="CCEEFF"/>
            </w:tcBorders>
            <w:gridSpan w:val="5"/>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2019, as filed with the SEC on August 6, 2019).</w:t>
              </w:r>
            </w:hyperlink>
          </w:p>
        </w:tc>
        <w:tc>
          <w:tcPr>
            <w:tcW w:w="5920" w:type="dxa"/>
            <w:vAlign w:val="bottom"/>
            <w:tcBorders>
              <w:bottom w:val="single" w:sz="8" w:color="CCEEFF"/>
            </w:tcBorders>
            <w:gridSpan w:val="26"/>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10.25A+</w:t>
            </w:r>
          </w:p>
        </w:tc>
        <w:tc>
          <w:tcPr>
            <w:tcW w:w="9000" w:type="dxa"/>
            <w:vAlign w:val="bottom"/>
            <w:tcBorders>
              <w:bottom w:val="single" w:sz="8" w:color="0000FF"/>
            </w:tcBorders>
            <w:gridSpan w:val="22"/>
          </w:tcPr>
          <w:p>
            <w:pPr>
              <w:spacing w:after="0" w:line="202"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Employment Agreement, dated as of May 16, 2012 by and between Patricia Carr and Jazz Pharmaceuticals plc (incorporated</w:t>
              </w:r>
            </w:hyperlink>
          </w:p>
        </w:tc>
        <w:tc>
          <w:tcPr>
            <w:tcW w:w="3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herein by reference to Exhibit 10.1 in Jazz Pharmaceuticals plc’s Quarterly Report on Form 10-Q (File No. 001-33500) for the</w:t>
              </w:r>
            </w:hyperlink>
          </w:p>
        </w:tc>
        <w:tc>
          <w:tcPr>
            <w:tcW w:w="2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period ended September 30, 2019, as filed with the SEC on November 5, 2019).</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10.25B+</w:t>
            </w:r>
          </w:p>
        </w:tc>
        <w:tc>
          <w:tcPr>
            <w:tcW w:w="912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Change in Control Severance Terms, dated as of May 15, 2016, by and between Jazz Pharmaceuticals Ireland Ltd. and Patricia</w:t>
              </w:r>
            </w:hyperlink>
          </w:p>
        </w:tc>
        <w:tc>
          <w:tcPr>
            <w:tcW w:w="26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Carr (incorporated herein by reference to Exhibit 10.2 in Jazz Pharmaceuticals plc’s Quarterly Report on Form 10-Q (File No.</w:t>
              </w:r>
            </w:hyperlink>
          </w:p>
        </w:tc>
        <w:tc>
          <w:tcPr>
            <w:tcW w:w="30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001-33500) for the period ended September 30, 2019, as filed with the SEC on November 5, 2019).</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10.25C+</w:t>
            </w:r>
          </w:p>
        </w:tc>
        <w:tc>
          <w:tcPr>
            <w:tcW w:w="9380" w:type="dxa"/>
            <w:vAlign w:val="bottom"/>
            <w:gridSpan w:val="31"/>
          </w:tcPr>
          <w:p>
            <w:pPr>
              <w:spacing w:after="0" w:line="20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Change in Control Stock Award Acceleration Agreement, dated as of May 15, 2016 by and between Jazz Pharmaceuticals plc</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and Patricia Carr (incorporated herein by reference to Exhibit 10.3 in Jazz Pharmaceuticals plc’s Quarterly Report on Form 10-</w:t>
              </w:r>
            </w:hyperlink>
          </w:p>
        </w:tc>
        <w:tc>
          <w:tcPr>
            <w:tcW w:w="2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Q (File No. 001-33500) for the period ended September 30, 2019, as filed with the SEC on November 5, 2019).</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10.26+</w:t>
            </w:r>
          </w:p>
        </w:tc>
        <w:tc>
          <w:tcPr>
            <w:tcW w:w="180" w:type="dxa"/>
            <w:vAlign w:val="bottom"/>
            <w:tcBorders>
              <w:bottom w:val="single" w:sz="8" w:color="CCEEFF"/>
            </w:tcBorders>
            <w:shd w:val="clear" w:color="auto" w:fill="CCEEFF"/>
          </w:tcPr>
          <w:p>
            <w:pPr>
              <w:spacing w:after="0"/>
              <w:rPr>
                <w:sz w:val="17"/>
                <w:szCs w:val="17"/>
                <w:color w:val="auto"/>
              </w:rPr>
            </w:pPr>
          </w:p>
        </w:tc>
        <w:tc>
          <w:tcPr>
            <w:tcW w:w="89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Offer Letter, dated as of July 5, 2019 by and between Jazz Pharmaceuticals, Inc. and Neena M. Patil (incorporated herein by</w:t>
              </w:r>
            </w:hyperlink>
          </w:p>
        </w:tc>
        <w:tc>
          <w:tcPr>
            <w:tcW w:w="440" w:type="dxa"/>
            <w:vAlign w:val="bottom"/>
            <w:tcBorders>
              <w:bottom w:val="single" w:sz="8" w:color="CCEEFF"/>
            </w:tcBorders>
            <w:gridSpan w:val="12"/>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90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reference to Exhibit 10.4 in Jazz Pharmaceuticals plc’s Quarterly Report on Form 10-Q (File No. 001-33500) for the period</w:t>
              </w:r>
            </w:hyperlink>
          </w:p>
        </w:tc>
        <w:tc>
          <w:tcPr>
            <w:tcW w:w="480" w:type="dxa"/>
            <w:vAlign w:val="bottom"/>
            <w:tcBorders>
              <w:bottom w:val="single" w:sz="8" w:color="CCEEFF"/>
            </w:tcBorders>
            <w:gridSpan w:val="13"/>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ended September 30, 2019, as filed with the SEC on November 5, 2019).</w:t>
              </w:r>
            </w:hyperlink>
          </w:p>
        </w:tc>
        <w:tc>
          <w:tcPr>
            <w:tcW w:w="4120" w:type="dxa"/>
            <w:vAlign w:val="bottom"/>
            <w:tcBorders>
              <w:bottom w:val="single" w:sz="8" w:color="CCEEFF"/>
            </w:tcBorders>
            <w:gridSpan w:val="25"/>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10.27+</w:t>
            </w:r>
          </w:p>
        </w:tc>
        <w:tc>
          <w:tcPr>
            <w:tcW w:w="180" w:type="dxa"/>
            <w:vAlign w:val="bottom"/>
          </w:tcPr>
          <w:p>
            <w:pPr>
              <w:spacing w:after="0"/>
              <w:rPr>
                <w:sz w:val="17"/>
                <w:szCs w:val="17"/>
                <w:color w:val="auto"/>
              </w:rPr>
            </w:pPr>
          </w:p>
        </w:tc>
        <w:tc>
          <w:tcPr>
            <w:tcW w:w="9380" w:type="dxa"/>
            <w:vAlign w:val="bottom"/>
            <w:gridSpan w:val="31"/>
          </w:tcPr>
          <w:p>
            <w:pPr>
              <w:spacing w:after="0" w:line="202" w:lineRule="exact"/>
              <w:rPr>
                <w:rFonts w:ascii="Arial" w:cs="Arial" w:eastAsia="Arial" w:hAnsi="Arial"/>
                <w:sz w:val="18"/>
                <w:szCs w:val="18"/>
                <w:color w:val="0000FF"/>
                <w:w w:val="92"/>
              </w:rPr>
            </w:pPr>
            <w:hyperlink w:anchor="page193">
              <w:r>
                <w:rPr>
                  <w:rFonts w:ascii="Arial" w:cs="Arial" w:eastAsia="Arial" w:hAnsi="Arial"/>
                  <w:sz w:val="18"/>
                  <w:szCs w:val="18"/>
                  <w:color w:val="0000FF"/>
                  <w:w w:val="92"/>
                </w:rPr>
                <w:t>Employment Contract, dated as of February 22, 2013, by and between Jazz Pharmaceuticals Ireland Limited and Finbar Larkin.</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10.28A+</w:t>
            </w:r>
          </w:p>
        </w:tc>
        <w:tc>
          <w:tcPr>
            <w:tcW w:w="870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89"/>
              </w:rPr>
            </w:pPr>
            <w:hyperlink w:anchor="page203">
              <w:r>
                <w:rPr>
                  <w:rFonts w:ascii="Arial" w:cs="Arial" w:eastAsia="Arial" w:hAnsi="Arial"/>
                  <w:sz w:val="18"/>
                  <w:szCs w:val="18"/>
                  <w:color w:val="0000FF"/>
                  <w:w w:val="89"/>
                </w:rPr>
                <w:t>Employment Contract, dated as of December 14, 2019, by and between Jazz Pharmaceuticals UK Limited and Samantha</w:t>
              </w:r>
            </w:hyperlink>
          </w:p>
        </w:tc>
        <w:tc>
          <w:tcPr>
            <w:tcW w:w="680" w:type="dxa"/>
            <w:vAlign w:val="bottom"/>
            <w:tcBorders>
              <w:bottom w:val="single" w:sz="8" w:color="CCEEFF"/>
            </w:tcBorders>
            <w:gridSpan w:val="17"/>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0"/>
              </w:rPr>
            </w:pPr>
            <w:hyperlink w:anchor="page203">
              <w:r>
                <w:rPr>
                  <w:rFonts w:ascii="Arial" w:cs="Arial" w:eastAsia="Arial" w:hAnsi="Arial"/>
                  <w:sz w:val="18"/>
                  <w:szCs w:val="18"/>
                  <w:color w:val="0000FF"/>
                  <w:w w:val="80"/>
                </w:rPr>
                <w:t>Pearce.</w:t>
              </w:r>
            </w:hyperlink>
          </w:p>
        </w:tc>
        <w:tc>
          <w:tcPr>
            <w:tcW w:w="8860" w:type="dxa"/>
            <w:vAlign w:val="bottom"/>
            <w:tcBorders>
              <w:bottom w:val="single" w:sz="8" w:color="CCEEFF"/>
            </w:tcBorders>
            <w:gridSpan w:val="29"/>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10.28B+</w:t>
            </w:r>
          </w:p>
        </w:tc>
        <w:tc>
          <w:tcPr>
            <w:tcW w:w="9380" w:type="dxa"/>
            <w:vAlign w:val="bottom"/>
            <w:gridSpan w:val="31"/>
          </w:tcPr>
          <w:p>
            <w:pPr>
              <w:spacing w:after="0" w:line="202" w:lineRule="exact"/>
              <w:rPr>
                <w:rFonts w:ascii="Arial" w:cs="Arial" w:eastAsia="Arial" w:hAnsi="Arial"/>
                <w:sz w:val="18"/>
                <w:szCs w:val="18"/>
                <w:color w:val="0000FF"/>
                <w:w w:val="92"/>
              </w:rPr>
            </w:pPr>
            <w:hyperlink w:anchor="page227">
              <w:r>
                <w:rPr>
                  <w:rFonts w:ascii="Arial" w:cs="Arial" w:eastAsia="Arial" w:hAnsi="Arial"/>
                  <w:sz w:val="18"/>
                  <w:szCs w:val="18"/>
                  <w:color w:val="0000FF"/>
                  <w:w w:val="92"/>
                </w:rPr>
                <w:t>Equity Award Letter, dated as of December 9, 2019, by and between Jazz Pharmaceuticals UK Limited and Samantha Pearce.</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10.29A+</w:t>
            </w:r>
          </w:p>
        </w:tc>
        <w:tc>
          <w:tcPr>
            <w:tcW w:w="9140" w:type="dxa"/>
            <w:vAlign w:val="bottom"/>
            <w:tcBorders>
              <w:bottom w:val="single" w:sz="8" w:color="0000FF"/>
            </w:tcBorders>
            <w:gridSpan w:val="27"/>
            <w:shd w:val="clear" w:color="auto" w:fill="CCEEFF"/>
          </w:tcPr>
          <w:p>
            <w:pPr>
              <w:spacing w:after="0" w:line="202"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Jazz Pharmaceuticals plc 2007 Equity Incentive Plan (incorporated herein by reference to Exhibit 99.3 in Jazz Pharmaceuticals</w:t>
              </w:r>
            </w:hyperlink>
          </w:p>
        </w:tc>
        <w:tc>
          <w:tcPr>
            <w:tcW w:w="24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plc’s registration statement on Form S-8 (File No. 333-179075), as filed with the SEC on January 18, 2012).</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10.29B+</w:t>
            </w:r>
          </w:p>
        </w:tc>
        <w:tc>
          <w:tcPr>
            <w:tcW w:w="8900" w:type="dxa"/>
            <w:vAlign w:val="bottom"/>
            <w:tcBorders>
              <w:bottom w:val="single" w:sz="8" w:color="0000FF"/>
            </w:tcBorders>
            <w:gridSpan w:val="18"/>
          </w:tcPr>
          <w:p>
            <w:pPr>
              <w:spacing w:after="0" w:line="202"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Jazz Pharmaceuticals plc 2007 Equity Incentive Plan Sub-Plan Governing Awards to Participants in the Republic of Ireland</w:t>
              </w:r>
            </w:hyperlink>
          </w:p>
        </w:tc>
        <w:tc>
          <w:tcPr>
            <w:tcW w:w="48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(incorporated herein by reference to Exhibit 10.3B in the Annual Report on Form 10-K (File No. 001-33500) for the period</w:t>
              </w:r>
            </w:hyperlink>
          </w:p>
        </w:tc>
        <w:tc>
          <w:tcPr>
            <w:tcW w:w="50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ended December 31, 2011, as filed by Jazz Pharmaceuticals plc on behalf of and as successor to Jazz Pharmaceuticals Inc. with</w:t>
              </w:r>
            </w:hyperlink>
          </w:p>
        </w:tc>
        <w:tc>
          <w:tcPr>
            <w:tcW w:w="2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the SEC on February 28, 2012).</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10.29C+</w:t>
            </w:r>
          </w:p>
        </w:tc>
        <w:tc>
          <w:tcPr>
            <w:tcW w:w="880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Form of Notice of Grant of Stock Options and Form of Option Agreement (U.S.) under the Jazz Pharmaceuticals plc 2007</w:t>
              </w:r>
            </w:hyperlink>
          </w:p>
        </w:tc>
        <w:tc>
          <w:tcPr>
            <w:tcW w:w="58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2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Equity Incentive Plan (incorporated herein by reference to Exhibit 10.27C in Jazz Pharmaceuticals plc’s Annual Report on</w:t>
              </w:r>
            </w:hyperlink>
          </w:p>
        </w:tc>
        <w:tc>
          <w:tcPr>
            <w:tcW w:w="560" w:type="dxa"/>
            <w:vAlign w:val="bottom"/>
            <w:tcBorders>
              <w:bottom w:val="single" w:sz="8" w:color="CCEEFF"/>
            </w:tcBorders>
            <w:gridSpan w:val="15"/>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Form 10-K (File No. 001-33500) for the period ended December 31, 2012, as filed with the SEC on February 26, 2013).</w:t>
              </w:r>
            </w:hyperlink>
          </w:p>
        </w:tc>
        <w:tc>
          <w:tcPr>
            <w:tcW w:w="72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10.29D+</w:t>
            </w:r>
          </w:p>
        </w:tc>
        <w:tc>
          <w:tcPr>
            <w:tcW w:w="9380" w:type="dxa"/>
            <w:vAlign w:val="bottom"/>
            <w:gridSpan w:val="31"/>
          </w:tcPr>
          <w:p>
            <w:pPr>
              <w:spacing w:after="0" w:line="202"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Form of Notice of Grant of Stock Options and Form of Option Agreement (Irish) under Jazz Pharmaceuticals plc 2007 Equity</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380" w:type="dxa"/>
            <w:vAlign w:val="bottom"/>
            <w:gridSpan w:val="7"/>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Incentive Plan (incorporated herein by reference to Exhibit 10.27D in Jazz Pharmaceuticals plc’s Annual Report on Form 10-K</w:t>
              </w:r>
            </w:hyperlink>
          </w:p>
        </w:tc>
        <w:tc>
          <w:tcPr>
            <w:tcW w:w="2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(File No. 001-33500) for the period ended December 31, 2012, as filed with the SEC on February 26, 2013).</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10.29E+</w:t>
            </w:r>
          </w:p>
        </w:tc>
        <w:tc>
          <w:tcPr>
            <w:tcW w:w="9380" w:type="dxa"/>
            <w:vAlign w:val="bottom"/>
            <w:gridSpan w:val="31"/>
            <w:shd w:val="clear" w:color="auto" w:fill="CCEEFF"/>
          </w:tcPr>
          <w:p>
            <w:pPr>
              <w:spacing w:after="0" w:line="20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Form of Restricted Stock Unit Grant Notice and Form of Restricted Stock Unit Award Agreement (U.S.) under the Jazz</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200" w:type="dxa"/>
            <w:vAlign w:val="bottom"/>
            <w:tcBorders>
              <w:right w:val="single" w:sz="8" w:color="CCEEFF"/>
            </w:tcBorders>
            <w:gridSpan w:val="9"/>
            <w:shd w:val="clear" w:color="auto" w:fill="0000FF"/>
          </w:tcPr>
          <w:p>
            <w:pPr>
              <w:spacing w:after="0" w:line="20" w:lineRule="exact"/>
              <w:rPr>
                <w:sz w:val="1"/>
                <w:szCs w:val="1"/>
                <w:color w:val="auto"/>
              </w:rPr>
            </w:pPr>
          </w:p>
        </w:tc>
        <w:tc>
          <w:tcPr>
            <w:tcW w:w="280" w:type="dxa"/>
            <w:vAlign w:val="bottom"/>
            <w:gridSpan w:val="6"/>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Borders>
              <w:left w:val="single" w:sz="8" w:color="CCEEFF"/>
            </w:tcBorders>
            <w:gridSpan w:val="2"/>
            <w:shd w:val="clear" w:color="auto" w:fill="CCEEFF"/>
          </w:tcPr>
          <w:p>
            <w:pPr>
              <w:spacing w:after="0" w:line="20" w:lineRule="exact"/>
              <w:rPr>
                <w:sz w:val="1"/>
                <w:szCs w:val="1"/>
                <w:color w:val="auto"/>
              </w:rPr>
            </w:pPr>
          </w:p>
        </w:tc>
        <w:tc>
          <w:tcPr>
            <w:tcW w:w="280" w:type="dxa"/>
            <w:vAlign w:val="bottom"/>
            <w:gridSpan w:val="6"/>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Pharmaceuticals plc 2007 Equity Incentive Plan (incorporated herein by reference to Exhibit 10.27E in Jazz Pharmaceuticals</w:t>
              </w:r>
            </w:hyperlink>
          </w:p>
        </w:tc>
        <w:tc>
          <w:tcPr>
            <w:tcW w:w="40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w w:val="96"/>
              </w:rPr>
            </w:pPr>
            <w:hyperlink r:id="rId64">
              <w:r>
                <w:rPr>
                  <w:rFonts w:ascii="Arial" w:cs="Arial" w:eastAsia="Arial" w:hAnsi="Arial"/>
                  <w:sz w:val="18"/>
                  <w:szCs w:val="18"/>
                  <w:color w:val="0000FF"/>
                  <w:w w:val="96"/>
                </w:rPr>
                <w:t>plc’s Annual Report on Form 10-K (File No. 001-33500) for the period ended December 31, 2012, as filed with the SEC on</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90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February 26, 2013).</w:t>
              </w:r>
            </w:hyperlink>
          </w:p>
        </w:tc>
        <w:tc>
          <w:tcPr>
            <w:tcW w:w="480" w:type="dxa"/>
            <w:vAlign w:val="bottom"/>
            <w:tcBorders>
              <w:top w:val="single" w:sz="8" w:color="CCEEFF"/>
            </w:tcBorders>
            <w:gridSpan w:val="13"/>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10.29F+</w:t>
            </w:r>
          </w:p>
        </w:tc>
        <w:tc>
          <w:tcPr>
            <w:tcW w:w="862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Form of Restricted Stock Unit Grant Notice and Form of Restricted Stock Unit Award Agreement (Irish) under the Jazz</w:t>
              </w:r>
            </w:hyperlink>
          </w:p>
        </w:tc>
        <w:tc>
          <w:tcPr>
            <w:tcW w:w="760" w:type="dxa"/>
            <w:vAlign w:val="bottom"/>
            <w:gridSpan w:val="1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1"/>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Pharmaceuticals plc 2007 Equity Incentive Plan (incorporated herein by reference to Exhibit 10.27F in Jazz Pharmaceuticals</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60" w:type="dxa"/>
            <w:vAlign w:val="bottom"/>
            <w:tcBorders>
              <w:top w:val="single" w:sz="8" w:color="0000FF"/>
            </w:tcBorders>
            <w:gridSpan w:val="20"/>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plc’s Annual Report on Form 10-K (File No. 001-33500) for the period ended December 31, 2012, as filed with the SEC on</w:t>
              </w:r>
            </w:hyperlink>
          </w:p>
        </w:tc>
        <w:tc>
          <w:tcPr>
            <w:tcW w:w="4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February 26, 2013).</w:t>
              </w:r>
            </w:hyperlink>
          </w:p>
        </w:tc>
        <w:tc>
          <w:tcPr>
            <w:tcW w:w="480" w:type="dxa"/>
            <w:vAlign w:val="bottom"/>
            <w:gridSpan w:val="13"/>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10.29G+</w:t>
            </w:r>
          </w:p>
        </w:tc>
        <w:tc>
          <w:tcPr>
            <w:tcW w:w="9040" w:type="dxa"/>
            <w:vAlign w:val="bottom"/>
            <w:tcBorders>
              <w:bottom w:val="single" w:sz="8" w:color="0000FF"/>
              <w:right w:val="single" w:sz="8" w:color="CCEEFF"/>
            </w:tcBorders>
            <w:gridSpan w:val="23"/>
            <w:shd w:val="clear" w:color="auto" w:fill="CCEEFF"/>
          </w:tcPr>
          <w:p>
            <w:pPr>
              <w:spacing w:after="0" w:line="202"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Jazz Pharmaceuticals plc 2007 Equity Incentive Plan - Form of Non-U.S. Option Grant Notice and Form of Non-U.S. Option</w:t>
              </w:r>
            </w:hyperlink>
          </w:p>
        </w:tc>
        <w:tc>
          <w:tcPr>
            <w:tcW w:w="340" w:type="dxa"/>
            <w:vAlign w:val="bottom"/>
            <w:tcBorders>
              <w:left w:val="single" w:sz="8" w:color="CCEEFF"/>
              <w:bottom w:val="single" w:sz="8" w:color="CCEEFF"/>
            </w:tcBorders>
            <w:gridSpan w:val="8"/>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00" w:type="dxa"/>
            <w:vAlign w:val="bottom"/>
            <w:tcBorders>
              <w:bottom w:val="single" w:sz="8" w:color="0000FF"/>
            </w:tcBorders>
            <w:gridSpan w:val="25"/>
            <w:shd w:val="clear" w:color="auto" w:fill="CCEEFF"/>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Agreement (approved July 31, 2013) (incorporated herein by reference to Exhibit 10.1 in Jazz Pharmaceuticals plc’s Quarterly</w:t>
              </w:r>
            </w:hyperlink>
          </w:p>
        </w:tc>
        <w:tc>
          <w:tcPr>
            <w:tcW w:w="28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1"/>
            <w:shd w:val="clear" w:color="auto" w:fill="CCEEFF"/>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Report on Form 10-Q (File No. 001-33500) for the period ended September 30, 2013, as filed with the SEC on November 5,</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66">
              <w:r>
                <w:rPr>
                  <w:rFonts w:ascii="Arial" w:cs="Arial" w:eastAsia="Arial" w:hAnsi="Arial"/>
                  <w:sz w:val="18"/>
                  <w:szCs w:val="18"/>
                  <w:color w:val="0000FF"/>
                  <w:w w:val="86"/>
                </w:rPr>
                <w:t>2013).</w:t>
              </w:r>
            </w:hyperlink>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0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CCEEFF"/>
            </w:tcBorders>
            <w:shd w:val="clear" w:color="auto" w:fill="CCEEFF"/>
          </w:tcPr>
          <w:p>
            <w:pPr>
              <w:spacing w:after="0"/>
              <w:rPr>
                <w:sz w:val="21"/>
                <w:szCs w:val="21"/>
                <w:color w:val="auto"/>
              </w:rPr>
            </w:pPr>
          </w:p>
        </w:tc>
        <w:tc>
          <w:tcPr>
            <w:tcW w:w="180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140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5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32"/>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6"/>
          </w:tcPr>
          <w:p>
            <w:pPr>
              <w:ind w:left="4160"/>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40"/>
          </w:cols>
          <w:pgMar w:left="240" w:top="108" w:right="8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10.29H+</w:t>
            </w:r>
          </w:p>
        </w:tc>
        <w:tc>
          <w:tcPr>
            <w:tcW w:w="180" w:type="dxa"/>
            <w:vAlign w:val="bottom"/>
          </w:tcPr>
          <w:p>
            <w:pPr>
              <w:spacing w:after="0"/>
              <w:rPr>
                <w:sz w:val="24"/>
                <w:szCs w:val="24"/>
                <w:color w:val="auto"/>
              </w:rPr>
            </w:pPr>
          </w:p>
        </w:tc>
        <w:tc>
          <w:tcPr>
            <w:tcW w:w="9140" w:type="dxa"/>
            <w:vAlign w:val="bottom"/>
            <w:tcBorders>
              <w:bottom w:val="single" w:sz="8" w:color="0000FF"/>
            </w:tcBorders>
            <w:gridSpan w:val="25"/>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Jazz Pharmaceuticals plc 2007 Equity Incentive Plan - Form of Non-U.S. Restricted Stock Unit Award Grant Notice and Form</w:t>
              </w:r>
            </w:hyperlink>
          </w:p>
        </w:tc>
        <w:tc>
          <w:tcPr>
            <w:tcW w:w="24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of Non-U.S. Restricted Stock Unit Award Agreement (approved July 31, 2013) (incorporated herein by reference to Exhibit</w:t>
              </w:r>
            </w:hyperlink>
          </w:p>
        </w:tc>
        <w:tc>
          <w:tcPr>
            <w:tcW w:w="4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2</w:t>
              </w:r>
              <w:r>
                <w:rPr>
                  <w:rFonts w:ascii="Arial" w:cs="Arial" w:eastAsia="Arial" w:hAnsi="Arial"/>
                  <w:sz w:val="18"/>
                  <w:szCs w:val="18"/>
                  <w:color w:val="0000FF"/>
                  <w:w w:val="94"/>
                </w:rPr>
                <w:t xml:space="preserve"> in Jazz Pharmaceuticals plc’s Quarterly Report on Form 10-Q (File No. 001-33500) for the period ended September 30,</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2013, as filed with the SEC on November 5, 2013).</w:t>
              </w:r>
            </w:hyperlink>
          </w:p>
        </w:tc>
        <w:tc>
          <w:tcPr>
            <w:tcW w:w="420" w:type="dxa"/>
            <w:vAlign w:val="bottom"/>
            <w:gridSpan w:val="12"/>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10.30A+</w:t>
            </w:r>
          </w:p>
        </w:tc>
        <w:tc>
          <w:tcPr>
            <w:tcW w:w="9160" w:type="dxa"/>
            <w:vAlign w:val="bottom"/>
            <w:tcBorders>
              <w:bottom w:val="single" w:sz="8" w:color="0000FF"/>
            </w:tcBorders>
            <w:gridSpan w:val="26"/>
            <w:shd w:val="clear" w:color="auto" w:fill="CCEEFF"/>
          </w:tcPr>
          <w:p>
            <w:pPr>
              <w:spacing w:after="0" w:line="202"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Jazz Pharmaceuticals plc 2011 Equity Incentive Plan (incorporated herein by reference to Exhibit 99.1 in Jazz Pharmaceuticals</w:t>
              </w:r>
            </w:hyperlink>
          </w:p>
        </w:tc>
        <w:tc>
          <w:tcPr>
            <w:tcW w:w="22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plc’s registration statement on Form S-8 (File No. 333-179075), as filed with the SEC on January 18, 2012).</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1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10.30B+</w:t>
            </w:r>
          </w:p>
        </w:tc>
        <w:tc>
          <w:tcPr>
            <w:tcW w:w="8920" w:type="dxa"/>
            <w:vAlign w:val="bottom"/>
            <w:tcBorders>
              <w:bottom w:val="single" w:sz="8" w:color="0000FF"/>
            </w:tcBorders>
            <w:gridSpan w:val="17"/>
          </w:tcPr>
          <w:p>
            <w:pPr>
              <w:spacing w:after="0" w:line="202"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Jazz Pharmaceuticals plc 2011 Equity Incentive Plan Sub-Plan Governing Awards to Participants in the Republic of Ireland</w:t>
              </w:r>
            </w:hyperlink>
          </w:p>
        </w:tc>
        <w:tc>
          <w:tcPr>
            <w:tcW w:w="46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(incorporated herein by reference to Exhibit 10.39B in the Annual Report on Form 10-K (File No. 001-33500) for the period</w:t>
              </w:r>
            </w:hyperlink>
          </w:p>
        </w:tc>
        <w:tc>
          <w:tcPr>
            <w:tcW w:w="40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ended December 31, 2011, as filed by Jazz Pharmaceuticals plc on behalf of and as successor to Jazz Pharmaceuticals Inc. with</w:t>
              </w:r>
            </w:hyperlink>
          </w:p>
        </w:tc>
        <w:tc>
          <w:tcPr>
            <w:tcW w:w="2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the SEC on February 28, 2012).</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10.30C+</w:t>
            </w:r>
          </w:p>
        </w:tc>
        <w:tc>
          <w:tcPr>
            <w:tcW w:w="886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Form of Stock Option Grant Notice and Form of Option Agreement (U.S.) under the Jazz Pharmaceuticals plc 2011 Equity</w:t>
              </w:r>
            </w:hyperlink>
          </w:p>
        </w:tc>
        <w:tc>
          <w:tcPr>
            <w:tcW w:w="52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00" w:type="dxa"/>
            <w:vAlign w:val="bottom"/>
            <w:tcBorders>
              <w:bottom w:val="single" w:sz="8" w:color="0000FF"/>
            </w:tcBorders>
            <w:gridSpan w:val="23"/>
            <w:shd w:val="clear" w:color="auto" w:fill="CCEEFF"/>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Incentive Plan (incorporated herein by reference to Exhibit 10.7 in Jazz Pharmaceuticals plc’s Quarterly Report on Form 10-Q</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(File No. 001-33500) for the period ended June 30, 2012, as filed with the SEC on August 7, 2012).</w:t>
              </w:r>
            </w:hyperlink>
          </w:p>
        </w:tc>
        <w:tc>
          <w:tcPr>
            <w:tcW w:w="2200" w:type="dxa"/>
            <w:vAlign w:val="bottom"/>
            <w:tcBorders>
              <w:bottom w:val="single" w:sz="8" w:color="CCEEFF"/>
            </w:tcBorders>
            <w:gridSpan w:val="22"/>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10.30D+</w:t>
            </w:r>
          </w:p>
        </w:tc>
        <w:tc>
          <w:tcPr>
            <w:tcW w:w="888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Form of Stock Option Grant Notice and Form of Option Agreement (Irish) under the Jazz Pharmaceuticals plc 2011 Equity</w:t>
              </w:r>
            </w:hyperlink>
          </w:p>
        </w:tc>
        <w:tc>
          <w:tcPr>
            <w:tcW w:w="50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Incentive Plan (incorporated herein by reference to Exhibit 10.8 in Jazz Pharmaceuticals plc’s Quarterly Report on Form 10-Q</w:t>
              </w:r>
            </w:hyperlink>
          </w:p>
        </w:tc>
        <w:tc>
          <w:tcPr>
            <w:tcW w:w="2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(File No. 001-33500) for the period ended June 30, 2012, as filed with the SEC on August 7, 2012).</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10.30E+</w:t>
            </w:r>
          </w:p>
        </w:tc>
        <w:tc>
          <w:tcPr>
            <w:tcW w:w="886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Form of Non-U.S. Option Grant Notice and Form of Non-U.S. Option Agreement under the Jazz Pharmaceuticals plc 2011</w:t>
              </w:r>
            </w:hyperlink>
          </w:p>
        </w:tc>
        <w:tc>
          <w:tcPr>
            <w:tcW w:w="52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60" w:type="dxa"/>
            <w:vAlign w:val="bottom"/>
            <w:tcBorders>
              <w:bottom w:val="single" w:sz="8" w:color="0000FF"/>
            </w:tcBorders>
            <w:gridSpan w:val="29"/>
            <w:shd w:val="clear" w:color="auto" w:fill="CCEEFF"/>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Equity Incentive Plan (incorporated herein by reference to Exhibit 10.28E in Jazz Pharmaceuticals plc’s Annual Report on Form</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10-K (File No. 001-33500) for the period ended December 31, 2012, as filed with the SEC on February 26, 2013).</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1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10.30F+</w:t>
            </w:r>
          </w:p>
        </w:tc>
        <w:tc>
          <w:tcPr>
            <w:tcW w:w="9380" w:type="dxa"/>
            <w:vAlign w:val="bottom"/>
            <w:gridSpan w:val="30"/>
          </w:tcPr>
          <w:p>
            <w:pPr>
              <w:spacing w:after="0" w:line="20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Form of Restricted Stock Unit Grant Notice and Form of Restricted Stock Unit Award Agreement (U.S.) under the Jazz</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Pharmaceuticals plc 2011 Equity Incentive Plan (incorporated herein by reference to Exhibit 10.9 in Jazz Pharmaceuticals plc’s</w:t>
              </w:r>
            </w:hyperlink>
          </w:p>
        </w:tc>
        <w:tc>
          <w:tcPr>
            <w:tcW w:w="2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Quarterly Report on Form 10-Q (File No. 001-33500) for the period ended June 30, 2012, as filed with the SEC on August 7,</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2012).</w:t>
              </w:r>
            </w:hyperlink>
          </w:p>
        </w:tc>
        <w:tc>
          <w:tcPr>
            <w:tcW w:w="7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10.30G+</w:t>
            </w:r>
          </w:p>
        </w:tc>
        <w:tc>
          <w:tcPr>
            <w:tcW w:w="862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Form of Restricted Stock Unit Grant Notice and Form of Restricted Stock Unit Award Agreement (Irish) under the Jazz</w:t>
              </w:r>
            </w:hyperlink>
          </w:p>
        </w:tc>
        <w:tc>
          <w:tcPr>
            <w:tcW w:w="760" w:type="dxa"/>
            <w:vAlign w:val="bottom"/>
            <w:tcBorders>
              <w:bottom w:val="single" w:sz="8" w:color="CCEEFF"/>
            </w:tcBorders>
            <w:gridSpan w:val="18"/>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Pharmaceuticals plc 2011 Equity Incentive Plan (incorporated herein by reference to Exhibit 10.10 in Jazz Pharmaceuticals</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plc’s Quarterly Report on Form 10-Q (File No. 001-33500) for the period ended June 30, 2012, as filed with the SEC on August</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7"/>
              </w:rPr>
            </w:pPr>
            <w:hyperlink r:id="rId74">
              <w:r>
                <w:rPr>
                  <w:rFonts w:ascii="Arial" w:cs="Arial" w:eastAsia="Arial" w:hAnsi="Arial"/>
                  <w:sz w:val="18"/>
                  <w:szCs w:val="18"/>
                  <w:color w:val="0000FF"/>
                  <w:w w:val="87"/>
                </w:rPr>
                <w:t>7, 2012).</w:t>
              </w:r>
            </w:hyperlink>
          </w:p>
        </w:tc>
        <w:tc>
          <w:tcPr>
            <w:tcW w:w="78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31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10.30H+</w:t>
            </w:r>
          </w:p>
        </w:tc>
        <w:tc>
          <w:tcPr>
            <w:tcW w:w="908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Form of Non-U.S. Restricted Stock Unit Grant Notice and Form of Non-U.S. Restricted Stock Unit Agreement under the Jazz</w:t>
              </w:r>
            </w:hyperlink>
          </w:p>
        </w:tc>
        <w:tc>
          <w:tcPr>
            <w:tcW w:w="30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Pharmaceuticals plc 2011 Equity Incentive Plan (incorporated herein by reference to Exhibit 10.28H in Jazz Pharmaceuticals</w:t>
              </w:r>
            </w:hyperlink>
          </w:p>
        </w:tc>
        <w:tc>
          <w:tcPr>
            <w:tcW w:w="3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plc’s Annual Report on Form 10-K (File No. 001-33500) for the period ended December 31, 2012, as filed with the SEC on</w:t>
              </w:r>
            </w:hyperlink>
          </w:p>
        </w:tc>
        <w:tc>
          <w:tcPr>
            <w:tcW w:w="46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February 26, 2013).</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10.30I+</w:t>
            </w:r>
          </w:p>
        </w:tc>
        <w:tc>
          <w:tcPr>
            <w:tcW w:w="914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Jazz Pharmaceuticals plc 2011 Equity Incentive Plan - Form of U.S. Option Grant Notice and Form of U.S. Option Agreement</w:t>
              </w:r>
            </w:hyperlink>
          </w:p>
        </w:tc>
        <w:tc>
          <w:tcPr>
            <w:tcW w:w="24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(approved July 31, 2013) (incorporated herein by reference to Exhibit 10.3 in Jazz Pharmaceuticals plc’s Quarterly Report on</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w w:val="97"/>
              </w:rPr>
            </w:pPr>
            <w:hyperlink r:id="rId76">
              <w:r>
                <w:rPr>
                  <w:rFonts w:ascii="Arial" w:cs="Arial" w:eastAsia="Arial" w:hAnsi="Arial"/>
                  <w:sz w:val="18"/>
                  <w:szCs w:val="18"/>
                  <w:color w:val="0000FF"/>
                  <w:w w:val="97"/>
                </w:rPr>
                <w:t>Form 10-Q (File No. 001-33500) for the period ended September 30, 2013, as filed with the SEC on November 5, 2013).</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1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10.30J+</w:t>
            </w:r>
          </w:p>
        </w:tc>
        <w:tc>
          <w:tcPr>
            <w:tcW w:w="9380" w:type="dxa"/>
            <w:vAlign w:val="bottom"/>
            <w:gridSpan w:val="30"/>
          </w:tcPr>
          <w:p>
            <w:pPr>
              <w:spacing w:after="0" w:line="202"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Jazz Pharmaceuticals plc 2011 Equity Incentive Plan - Form of U.S. Restricted Stock Unit Award Grant Notice and Form of</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U.S. Restricted Stock Unit Award Agreement (approved July 31, 2013) (incorporated herein by reference to Exhibit 10.4 in Jazz</w:t>
              </w:r>
            </w:hyperlink>
          </w:p>
        </w:tc>
        <w:tc>
          <w:tcPr>
            <w:tcW w:w="1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Pharmaceuticals plc’s Quarterly Report on Form 10-Q (File No. 001-33500) for the period ended September 30, 2013, as filed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with the SEC on November 5, 2013).</w:t>
              </w:r>
            </w:hyperlink>
          </w:p>
        </w:tc>
        <w:tc>
          <w:tcPr>
            <w:tcW w:w="300" w:type="dxa"/>
            <w:vAlign w:val="bottom"/>
            <w:gridSpan w:val="8"/>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10.30K+</w:t>
            </w:r>
          </w:p>
        </w:tc>
        <w:tc>
          <w:tcPr>
            <w:tcW w:w="9380" w:type="dxa"/>
            <w:vAlign w:val="bottom"/>
            <w:gridSpan w:val="30"/>
            <w:shd w:val="clear" w:color="auto" w:fill="CCEEFF"/>
          </w:tcPr>
          <w:p>
            <w:pPr>
              <w:spacing w:after="0" w:line="202"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Jazz Pharmaceuticals plc 2011 Equity Incentive Plan - Form of Non-U.S. Option Grant Notice and Form of Non-U.S. Option</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40" w:type="dxa"/>
            <w:vAlign w:val="bottom"/>
            <w:gridSpan w:val="7"/>
            <w:shd w:val="clear" w:color="auto" w:fill="0000FF"/>
          </w:tcPr>
          <w:p>
            <w:pPr>
              <w:spacing w:after="0" w:line="20" w:lineRule="exact"/>
              <w:rPr>
                <w:sz w:val="1"/>
                <w:szCs w:val="1"/>
                <w:color w:val="auto"/>
              </w:rPr>
            </w:pPr>
          </w:p>
        </w:tc>
        <w:tc>
          <w:tcPr>
            <w:tcW w:w="2120" w:type="dxa"/>
            <w:vAlign w:val="bottom"/>
            <w:gridSpan w:val="11"/>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2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Agreement (approved July 31, 2013) (incorporated herein by reference to Exhibit 10.5 in Jazz Pharmaceuticals plc’s Quarterly</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Report on Form 10-Q (File No. 001-33500) for the period ended September 30, 2013, as filed with the SEC on November 5,</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78">
              <w:r>
                <w:rPr>
                  <w:rFonts w:ascii="Arial" w:cs="Arial" w:eastAsia="Arial" w:hAnsi="Arial"/>
                  <w:sz w:val="18"/>
                  <w:szCs w:val="18"/>
                  <w:color w:val="0000FF"/>
                  <w:w w:val="86"/>
                </w:rPr>
                <w:t>2013).</w:t>
              </w:r>
            </w:hyperlink>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31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10.30L+</w:t>
            </w:r>
          </w:p>
        </w:tc>
        <w:tc>
          <w:tcPr>
            <w:tcW w:w="9100" w:type="dxa"/>
            <w:vAlign w:val="bottom"/>
            <w:tcBorders>
              <w:bottom w:val="single" w:sz="8" w:color="0000FF"/>
            </w:tcBorders>
            <w:gridSpan w:val="23"/>
          </w:tcPr>
          <w:p>
            <w:pPr>
              <w:spacing w:after="0" w:line="202"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Jazz Pharmaceuticals plc 2011 Equity Incentive Plan - Form of Non-U.S. Restricted Stock Unit Award Grant Notice and Form</w:t>
              </w:r>
            </w:hyperlink>
          </w:p>
        </w:tc>
        <w:tc>
          <w:tcPr>
            <w:tcW w:w="2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of Non-U.S. Restricted Stock Unit Award Agreement (approved July 31, 2013) (incorporated herein by reference to Exhibit</w:t>
              </w:r>
            </w:hyperlink>
          </w:p>
        </w:tc>
        <w:tc>
          <w:tcPr>
            <w:tcW w:w="4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0"/>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6</w:t>
              </w:r>
              <w:r>
                <w:rPr>
                  <w:rFonts w:ascii="Arial" w:cs="Arial" w:eastAsia="Arial" w:hAnsi="Arial"/>
                  <w:sz w:val="18"/>
                  <w:szCs w:val="18"/>
                  <w:color w:val="0000FF"/>
                  <w:w w:val="94"/>
                </w:rPr>
                <w:t xml:space="preserve"> in Jazz Pharmaceuticals plc’s Quarterly Report on Form 10-Q (File No. 001-33500) for the period ended September 30,</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2013, as filed with the SEC on November 5, 2013).</w:t>
              </w:r>
            </w:hyperlink>
          </w:p>
        </w:tc>
        <w:tc>
          <w:tcPr>
            <w:tcW w:w="420" w:type="dxa"/>
            <w:vAlign w:val="bottom"/>
            <w:gridSpan w:val="12"/>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10.30M+</w:t>
            </w:r>
          </w:p>
        </w:tc>
        <w:tc>
          <w:tcPr>
            <w:tcW w:w="9380" w:type="dxa"/>
            <w:vAlign w:val="bottom"/>
            <w:gridSpan w:val="30"/>
            <w:shd w:val="clear" w:color="auto" w:fill="CCEEFF"/>
          </w:tcPr>
          <w:p>
            <w:pPr>
              <w:spacing w:after="0" w:line="202"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Jazz Pharmaceuticals plc 2011 Equity Incentive Plan - Form of Non-U.S. Option Grant Notice and Form of Non-U.S. Option</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40" w:type="dxa"/>
            <w:vAlign w:val="bottom"/>
            <w:gridSpan w:val="7"/>
            <w:shd w:val="clear" w:color="auto" w:fill="0000FF"/>
          </w:tcPr>
          <w:p>
            <w:pPr>
              <w:spacing w:after="0" w:line="20" w:lineRule="exact"/>
              <w:rPr>
                <w:sz w:val="1"/>
                <w:szCs w:val="1"/>
                <w:color w:val="auto"/>
              </w:rPr>
            </w:pPr>
          </w:p>
        </w:tc>
        <w:tc>
          <w:tcPr>
            <w:tcW w:w="2160" w:type="dxa"/>
            <w:vAlign w:val="bottom"/>
            <w:gridSpan w:val="13"/>
            <w:shd w:val="clear" w:color="auto" w:fill="0000FF"/>
          </w:tcPr>
          <w:p>
            <w:pPr>
              <w:spacing w:after="0" w:line="20" w:lineRule="exact"/>
              <w:rPr>
                <w:sz w:val="1"/>
                <w:szCs w:val="1"/>
                <w:color w:val="auto"/>
              </w:rPr>
            </w:pPr>
          </w:p>
        </w:tc>
        <w:tc>
          <w:tcPr>
            <w:tcW w:w="240" w:type="dxa"/>
            <w:vAlign w:val="bottom"/>
            <w:gridSpan w:val="8"/>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tcBorders>
            <w:gridSpan w:val="28"/>
            <w:shd w:val="clear" w:color="auto" w:fill="CCEEFF"/>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Agreement (incorporated herein by reference to Exhibit 10.1 in Jazz Pharmaceuticals plc’s Quarterly Report on Form 10-Q (File</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380" w:type="dxa"/>
            <w:vAlign w:val="bottom"/>
            <w:gridSpan w:val="30"/>
            <w:shd w:val="clear" w:color="auto" w:fill="CCEEFF"/>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No. 001-33500) for the period ended March 31, 2016, as filed with the SEC on May 10, 2016).</w:t>
              </w:r>
            </w:hyperlink>
          </w:p>
        </w:tc>
      </w:tr>
      <w:tr>
        <w:trPr>
          <w:trHeight w:val="432"/>
        </w:trPr>
        <w:tc>
          <w:tcPr>
            <w:tcW w:w="1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40" w:type="dxa"/>
            <w:vAlign w:val="bottom"/>
            <w:tcBorders>
              <w:top w:val="single" w:sz="8" w:color="0000FF"/>
            </w:tcBorders>
            <w:gridSpan w:val="7"/>
          </w:tcPr>
          <w:p>
            <w:pPr>
              <w:ind w:left="4160"/>
              <w:spacing w:after="0"/>
              <w:rPr>
                <w:sz w:val="20"/>
                <w:szCs w:val="20"/>
                <w:color w:val="auto"/>
              </w:rPr>
            </w:pPr>
            <w:r>
              <w:rPr>
                <w:rFonts w:ascii="Arial" w:cs="Arial" w:eastAsia="Arial" w:hAnsi="Arial"/>
                <w:sz w:val="18"/>
                <w:szCs w:val="18"/>
                <w:color w:val="auto"/>
              </w:rPr>
              <w:t>85</w:t>
            </w:r>
          </w:p>
        </w:tc>
        <w:tc>
          <w:tcPr>
            <w:tcW w:w="3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bl>
    <w:p>
      <w:pPr>
        <w:sectPr>
          <w:pgSz w:w="11900" w:h="16838" w:orient="portrait"/>
          <w:cols w:equalWidth="0" w:num="1">
            <w:col w:w="10840"/>
          </w:cols>
          <w:pgMar w:left="240" w:top="108" w:right="81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10.30N+</w:t>
            </w:r>
          </w:p>
        </w:tc>
        <w:tc>
          <w:tcPr>
            <w:tcW w:w="180" w:type="dxa"/>
            <w:vAlign w:val="bottom"/>
          </w:tcPr>
          <w:p>
            <w:pPr>
              <w:spacing w:after="0"/>
              <w:rPr>
                <w:sz w:val="24"/>
                <w:szCs w:val="24"/>
                <w:color w:val="auto"/>
              </w:rPr>
            </w:pPr>
          </w:p>
        </w:tc>
        <w:tc>
          <w:tcPr>
            <w:tcW w:w="9200" w:type="dxa"/>
            <w:vAlign w:val="bottom"/>
            <w:tcBorders>
              <w:bottom w:val="single" w:sz="8" w:color="0000FF"/>
            </w:tcBorders>
            <w:gridSpan w:val="22"/>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Jazz Pharmaceuticals plc 2011 Equity Incentive Plan - Form of Non-U.S. Restricted Stock Unit Grant Notice and Form of Non-</w:t>
              </w:r>
            </w:hyperlink>
          </w:p>
        </w:tc>
        <w:tc>
          <w:tcPr>
            <w:tcW w:w="1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U.S. Restricted Stock Unit Award Agreement (incorporated herein by reference to Exhibit 10.2 in Jazz Pharmaceuticals plc’s</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Quarterly Report on Form 10-Q (File No. 001-33500) for the period ended March 31, 2016, as filed with the SEC on May 10,</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2016).</w:t>
              </w:r>
            </w:hyperlink>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23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10.30O+</w:t>
            </w:r>
          </w:p>
        </w:tc>
        <w:tc>
          <w:tcPr>
            <w:tcW w:w="922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Amended and Restated 2011 Equity Incentive Plan (approved August 4, 2016) (incorporated herein by reference to Exhibit 10.8</w:t>
              </w:r>
            </w:hyperlink>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in Jazz Pharmaceuticals plc’s Quarterly Report on Form 10-Q (File No. 001-33500) for the period ended June 30, 2016, as filed</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with the SEC on August 9, 2016).</w:t>
              </w:r>
            </w:hyperlink>
          </w:p>
        </w:tc>
        <w:tc>
          <w:tcPr>
            <w:tcW w:w="6940" w:type="dxa"/>
            <w:vAlign w:val="bottom"/>
            <w:tcBorders>
              <w:bottom w:val="single" w:sz="8" w:color="CCEEFF"/>
            </w:tcBorders>
            <w:gridSpan w:val="19"/>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10.30P+</w:t>
            </w:r>
          </w:p>
        </w:tc>
        <w:tc>
          <w:tcPr>
            <w:tcW w:w="920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Amended and Restated 2011 Equity Incentive Plan (approved November 3, 2016) (incorporated herein by reference to Exhibit</w:t>
              </w:r>
            </w:hyperlink>
          </w:p>
        </w:tc>
        <w:tc>
          <w:tcPr>
            <w:tcW w:w="1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2</w:t>
              </w:r>
              <w:r>
                <w:rPr>
                  <w:rFonts w:ascii="Arial" w:cs="Arial" w:eastAsia="Arial" w:hAnsi="Arial"/>
                  <w:sz w:val="18"/>
                  <w:szCs w:val="18"/>
                  <w:color w:val="0000FF"/>
                  <w:w w:val="94"/>
                </w:rPr>
                <w:t xml:space="preserve"> in Jazz Pharmaceuticals plc’s Quarterly Report on Form 10-Q (File No. 001-33500) for the period ended September 30,</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2016, as filed with the SEC on November 8, 2016).</w:t>
              </w:r>
            </w:hyperlink>
          </w:p>
        </w:tc>
        <w:tc>
          <w:tcPr>
            <w:tcW w:w="400" w:type="dxa"/>
            <w:vAlign w:val="bottom"/>
            <w:gridSpan w:val="7"/>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10.30Q+</w:t>
            </w:r>
          </w:p>
        </w:tc>
        <w:tc>
          <w:tcPr>
            <w:tcW w:w="902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Form of U.S. Restricted Stock Unit Award Grant Notice and Form of U.S. Restricted Stock Unit Award Agreement under the</w:t>
              </w:r>
            </w:hyperlink>
          </w:p>
        </w:tc>
        <w:tc>
          <w:tcPr>
            <w:tcW w:w="36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8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Jazz Pharmaceuticals plc Amended and Restated 2011 Equity Incentive Plan (incorporated herein by reference to Exhibit 10.6</w:t>
              </w:r>
            </w:hyperlink>
          </w:p>
        </w:tc>
        <w:tc>
          <w:tcPr>
            <w:tcW w:w="3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60" w:type="dxa"/>
            <w:vAlign w:val="bottom"/>
            <w:tcBorders>
              <w:bottom w:val="single" w:sz="8" w:color="0000FF"/>
            </w:tcBorders>
            <w:gridSpan w:val="20"/>
            <w:shd w:val="clear" w:color="auto" w:fill="CCEEFF"/>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in Jazz Pharmaceuticals plc’s Quarterly Report on Form 10-Q (File No. 001-33500) for the period ended September 30, 2016,</w:t>
              </w:r>
            </w:hyperlink>
          </w:p>
        </w:tc>
        <w:tc>
          <w:tcPr>
            <w:tcW w:w="32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as filed with the SEC on November 8, 2016).</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10.30R+</w:t>
            </w:r>
          </w:p>
        </w:tc>
        <w:tc>
          <w:tcPr>
            <w:tcW w:w="878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Form of U.S. Option Grant Notice and Form of U.S. Option Agreement under the Jazz Pharmaceuticals plc Amended and</w:t>
              </w:r>
            </w:hyperlink>
          </w:p>
        </w:tc>
        <w:tc>
          <w:tcPr>
            <w:tcW w:w="60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Restated 2011 Equity Incentive Plan (incorporated herein by reference to Exhibit 10.7 in Jazz Pharmaceuticals plc’s Quarterly</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tcBorders>
            <w:gridSpan w:val="20"/>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Report on Form 10-Q (File No. 001-33500) for the period ended September 30, 2016, as filed with the SEC on November 8,</w:t>
              </w:r>
            </w:hyperlink>
          </w:p>
        </w:tc>
        <w:tc>
          <w:tcPr>
            <w:tcW w:w="3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2016).</w:t>
              </w:r>
            </w:hyperlink>
          </w:p>
        </w:tc>
        <w:tc>
          <w:tcPr>
            <w:tcW w:w="7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23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10.30S+</w:t>
            </w:r>
          </w:p>
        </w:tc>
        <w:tc>
          <w:tcPr>
            <w:tcW w:w="90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Form of Non-U.S. Restricted Stock Unit Award Grant Notice and Form of Non-U.S. Restricted Stock Unit Award Agreement</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under the Jazz Pharmaceuticals plc Amended and Restated 2011 Equity Incentive Plan (incorporated herein by reference to</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6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Exhibit 10.8 in Jazz Pharmaceuticals plc’s Quarterly Report on Form 10-Q (File No. 001-33500) for the period ended</w:t>
              </w:r>
            </w:hyperlink>
          </w:p>
        </w:tc>
        <w:tc>
          <w:tcPr>
            <w:tcW w:w="40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520" w:type="dxa"/>
            <w:vAlign w:val="bottom"/>
            <w:tcBorders>
              <w:top w:val="single" w:sz="8" w:color="CCEEFF"/>
              <w:bottom w:val="single" w:sz="8" w:color="CCEEFF"/>
            </w:tcBorders>
            <w:gridSpan w:val="10"/>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September 30, 2016, as filed with the SEC on November 8, 2016).</w:t>
              </w:r>
            </w:hyperlink>
          </w:p>
        </w:tc>
        <w:tc>
          <w:tcPr>
            <w:tcW w:w="4600" w:type="dxa"/>
            <w:vAlign w:val="bottom"/>
            <w:tcBorders>
              <w:bottom w:val="single" w:sz="8" w:color="CCEEFF"/>
            </w:tcBorders>
            <w:gridSpan w:val="15"/>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10.30T+</w:t>
            </w:r>
          </w:p>
        </w:tc>
        <w:tc>
          <w:tcPr>
            <w:tcW w:w="890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Form of Non-U.S. Option Grant Notice and Non-U.S. Option Agreement under the Jazz Pharmaceuticals plc Amended and</w:t>
              </w:r>
            </w:hyperlink>
          </w:p>
        </w:tc>
        <w:tc>
          <w:tcPr>
            <w:tcW w:w="4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Restated 2011 Equity Incentive Plan (incorporated herein by reference to Exhibit 10.2 in Jazz Pharmaceuticals plc’s Quarterly</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tcBorders>
            <w:gridSpan w:val="20"/>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Report on Form 10-Q (File No. 001-33500) for the period ended June 30, 2018, as filed with the SEC on August 7, 2018).</w:t>
              </w:r>
            </w:hyperlink>
          </w:p>
        </w:tc>
        <w:tc>
          <w:tcPr>
            <w:tcW w:w="320" w:type="dxa"/>
            <w:vAlign w:val="bottom"/>
            <w:gridSpan w:val="4"/>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10.30U+</w:t>
            </w:r>
          </w:p>
        </w:tc>
        <w:tc>
          <w:tcPr>
            <w:tcW w:w="9380" w:type="dxa"/>
            <w:vAlign w:val="bottom"/>
            <w:gridSpan w:val="24"/>
            <w:shd w:val="clear" w:color="auto" w:fill="CCEEFF"/>
          </w:tcPr>
          <w:p>
            <w:pPr>
              <w:spacing w:after="0" w:line="202"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Form of Non-U.S. Restricted Stock Unit Award Grant Notice and Non-U.S. Restricted Stock Unit Award Agreement under the</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080" w:type="dxa"/>
            <w:vAlign w:val="bottom"/>
            <w:tcBorders>
              <w:top w:val="single" w:sz="8" w:color="0000FF"/>
              <w:bottom w:val="single" w:sz="8" w:color="0000FF"/>
            </w:tcBorders>
            <w:gridSpan w:val="21"/>
            <w:shd w:val="clear" w:color="auto" w:fill="CCEEFF"/>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Jazz Pharmaceuticals plc Amended and Restated 2011 Equity Incentive Plan (incorporated herein by reference to Exhibit 10.3</w:t>
              </w:r>
            </w:hyperlink>
          </w:p>
        </w:tc>
        <w:tc>
          <w:tcPr>
            <w:tcW w:w="12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in Jazz Pharmaceuticals plc’s Quarterly Report on Form 10-Q (File No. 001-33500) for the period ended June 30, 2018, as filed</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with the SEC on August 7, 2018).</w:t>
              </w:r>
            </w:hyperlink>
          </w:p>
        </w:tc>
        <w:tc>
          <w:tcPr>
            <w:tcW w:w="6940" w:type="dxa"/>
            <w:vAlign w:val="bottom"/>
            <w:tcBorders>
              <w:bottom w:val="single" w:sz="8" w:color="CCEEFF"/>
            </w:tcBorders>
            <w:gridSpan w:val="19"/>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10.30V+</w:t>
            </w:r>
          </w:p>
        </w:tc>
        <w:tc>
          <w:tcPr>
            <w:tcW w:w="876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Form of Non-U.S. Option Grant Notice and Non-U.S. Option Agreement under the Jazz Pharmaceuticals plc 2011 Equity</w:t>
              </w:r>
            </w:hyperlink>
          </w:p>
        </w:tc>
        <w:tc>
          <w:tcPr>
            <w:tcW w:w="6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Incentive Plan (incorporated herein by reference to Exhibit 10.4 in Jazz Pharmaceuticals plc’s Quarterly Report on Form 10-Q</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(File No. 001-33500) for the period ended March 31, 2019, as filed with the SEC on May 7, 2019).</w:t>
              </w:r>
            </w:hyperlink>
          </w:p>
        </w:tc>
        <w:tc>
          <w:tcPr>
            <w:tcW w:w="300" w:type="dxa"/>
            <w:vAlign w:val="bottom"/>
            <w:gridSpan w:val="3"/>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10.30W+</w:t>
            </w:r>
          </w:p>
        </w:tc>
        <w:tc>
          <w:tcPr>
            <w:tcW w:w="9380" w:type="dxa"/>
            <w:vAlign w:val="bottom"/>
            <w:gridSpan w:val="24"/>
            <w:shd w:val="clear" w:color="auto" w:fill="CCEEFF"/>
          </w:tcPr>
          <w:p>
            <w:pPr>
              <w:spacing w:after="0" w:line="202"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Form of Non-U.S. Restricted Stock Unit Award Grant Notice and Non-U.S. Restricted Stock Unit Award Agreement under the</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Jazz Pharmaceuticals plc 2011 Equity Incentive Plan (incorporated herein by reference to Exhibit 10.5 in Jazz Pharmaceuticals</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plc’s Quarterly Report on Form 10-Q (File No. 001-33500) for the period ended March 31, 2019, as filed with the SEC on May</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7"/>
              </w:rPr>
            </w:pPr>
            <w:hyperlink r:id="rId90">
              <w:r>
                <w:rPr>
                  <w:rFonts w:ascii="Arial" w:cs="Arial" w:eastAsia="Arial" w:hAnsi="Arial"/>
                  <w:sz w:val="18"/>
                  <w:szCs w:val="18"/>
                  <w:color w:val="0000FF"/>
                  <w:w w:val="87"/>
                </w:rPr>
                <w:t>7, 2019).</w:t>
              </w:r>
            </w:hyperlink>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580" w:type="dxa"/>
            <w:vAlign w:val="bottom"/>
            <w:tcBorders>
              <w:top w:val="single" w:sz="8" w:color="0000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CCEEFF"/>
            </w:tcBorders>
            <w:shd w:val="clear" w:color="auto" w:fill="CCEEFF"/>
          </w:tcPr>
          <w:p>
            <w:pPr>
              <w:spacing w:after="0"/>
              <w:rPr>
                <w:sz w:val="21"/>
                <w:szCs w:val="21"/>
                <w:color w:val="auto"/>
              </w:rPr>
            </w:pPr>
          </w:p>
        </w:tc>
        <w:tc>
          <w:tcPr>
            <w:tcW w:w="1080" w:type="dxa"/>
            <w:vAlign w:val="bottom"/>
            <w:tcBorders>
              <w:top w:val="single" w:sz="8" w:color="0000FF"/>
              <w:bottom w:val="single" w:sz="8" w:color="CCEEFF"/>
            </w:tcBorders>
            <w:shd w:val="clear" w:color="auto" w:fill="CCEEFF"/>
          </w:tcPr>
          <w:p>
            <w:pPr>
              <w:spacing w:after="0"/>
              <w:rPr>
                <w:sz w:val="21"/>
                <w:szCs w:val="21"/>
                <w:color w:val="auto"/>
              </w:rPr>
            </w:pPr>
          </w:p>
        </w:tc>
        <w:tc>
          <w:tcPr>
            <w:tcW w:w="2340" w:type="dxa"/>
            <w:vAlign w:val="bottom"/>
            <w:tcBorders>
              <w:top w:val="single" w:sz="8" w:color="0000FF"/>
              <w:bottom w:val="single" w:sz="8" w:color="CCEEFF"/>
            </w:tcBorders>
            <w:shd w:val="clear" w:color="auto" w:fill="CCEEFF"/>
          </w:tcPr>
          <w:p>
            <w:pPr>
              <w:spacing w:after="0"/>
              <w:rPr>
                <w:sz w:val="21"/>
                <w:szCs w:val="21"/>
                <w:color w:val="auto"/>
              </w:rPr>
            </w:pPr>
          </w:p>
        </w:tc>
        <w:tc>
          <w:tcPr>
            <w:tcW w:w="134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10.31+</w:t>
            </w:r>
          </w:p>
        </w:tc>
        <w:tc>
          <w:tcPr>
            <w:tcW w:w="180" w:type="dxa"/>
            <w:vAlign w:val="bottom"/>
          </w:tcPr>
          <w:p>
            <w:pPr>
              <w:spacing w:after="0"/>
              <w:rPr>
                <w:sz w:val="17"/>
                <w:szCs w:val="17"/>
                <w:color w:val="auto"/>
              </w:rPr>
            </w:pPr>
          </w:p>
        </w:tc>
        <w:tc>
          <w:tcPr>
            <w:tcW w:w="9380" w:type="dxa"/>
            <w:vAlign w:val="bottom"/>
            <w:gridSpan w:val="24"/>
          </w:tcPr>
          <w:p>
            <w:pPr>
              <w:spacing w:after="0" w:line="202"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Jazz Pharmaceuticals plc Amended and Restated Directors Deferred Compensation Plan (incorporated herein by reference to</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Exhibit 99.6 in Jazz Pharmaceuticals plc’s registration statement on Form S-8 (File No. 333-179075), as filed with the SEC on</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January 18, 2012).</w:t>
              </w:r>
            </w:hyperlink>
          </w:p>
        </w:tc>
        <w:tc>
          <w:tcPr>
            <w:tcW w:w="180" w:type="dxa"/>
            <w:vAlign w:val="bottom"/>
            <w:gridSpan w:val="2"/>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10.32A+</w:t>
            </w:r>
          </w:p>
        </w:tc>
        <w:tc>
          <w:tcPr>
            <w:tcW w:w="888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Jazz Pharmaceuticals plc Amended and Restated 2007 Non-Employee Directors Stock Option Plan (incorporated herein by</w:t>
              </w:r>
            </w:hyperlink>
          </w:p>
        </w:tc>
        <w:tc>
          <w:tcPr>
            <w:tcW w:w="5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reference to Exhibit 99.4 in Jazz Pharmaceuticals plc’s registration statement on Form S-8 (File No. 333-179075), as filed with</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8"/>
              </w:rPr>
            </w:pPr>
            <w:hyperlink r:id="rId92">
              <w:r>
                <w:rPr>
                  <w:rFonts w:ascii="Arial" w:cs="Arial" w:eastAsia="Arial" w:hAnsi="Arial"/>
                  <w:sz w:val="18"/>
                  <w:szCs w:val="18"/>
                  <w:color w:val="0000FF"/>
                  <w:w w:val="88"/>
                </w:rPr>
                <w:t>the SEC on January 18, 2012).</w:t>
              </w:r>
            </w:hyperlink>
          </w:p>
        </w:tc>
        <w:tc>
          <w:tcPr>
            <w:tcW w:w="718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10.32B+</w:t>
            </w:r>
          </w:p>
        </w:tc>
        <w:tc>
          <w:tcPr>
            <w:tcW w:w="9380" w:type="dxa"/>
            <w:vAlign w:val="bottom"/>
            <w:gridSpan w:val="24"/>
          </w:tcPr>
          <w:p>
            <w:pPr>
              <w:spacing w:after="0" w:line="202"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Form of Non-U.S. Option Grant Notice and Form of Non-U.S. Option Agreement under the Jazz Pharmaceuticals plc Amended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top w:val="single" w:sz="8" w:color="0000FF"/>
            </w:tcBorders>
            <w:gridSpan w:val="22"/>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and Restated 2007 Non-Employee Directors Stock Option Plan (incorporated herein by reference to Exhibit 10.30B in Jazz</w:t>
              </w:r>
            </w:hyperlink>
          </w:p>
        </w:tc>
        <w:tc>
          <w:tcPr>
            <w:tcW w:w="18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Pharmaceuticals plc’s Annual Report on Form 10-K (File No. 001-33500) for the period ended December 31, 2012, as filed</w:t>
              </w:r>
            </w:hyperlink>
          </w:p>
        </w:tc>
        <w:tc>
          <w:tcPr>
            <w:tcW w:w="4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with the SEC on February 26, 2013).</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10.32C+</w:t>
            </w:r>
          </w:p>
        </w:tc>
        <w:tc>
          <w:tcPr>
            <w:tcW w:w="920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Jazz Pharmaceuticals plc Amended and Restated 2007 Non-Employee Directors Stock Option Plan - Form of Non-U.S. Option</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24"/>
            <w:shd w:val="clear" w:color="auto" w:fill="CCEEFF"/>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Grant Notice and Form of Non-U.S. Option Agreement (approved August 1, 2013) (incorporated herein by reference to Exhibit</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w:t>
              </w:r>
              <w:r>
                <w:rPr>
                  <w:rFonts w:ascii="Arial" w:cs="Arial" w:eastAsia="Arial" w:hAnsi="Arial"/>
                  <w:sz w:val="18"/>
                  <w:szCs w:val="18"/>
                  <w:color w:val="0000FF"/>
                  <w:w w:val="92"/>
                </w:rPr>
                <w:t xml:space="preserve"> in Jazz Pharmaceuticals plc’s Quarterly Report on Form 10-Q (File No. 001-33500) for the period ended September 30,</w:t>
              </w:r>
            </w:hyperlink>
          </w:p>
        </w:tc>
        <w:tc>
          <w:tcPr>
            <w:tcW w:w="180" w:type="dxa"/>
            <w:vAlign w:val="bottom"/>
            <w:tcBorders>
              <w:top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2013, as filed with the SEC on November 5, 2013).</w:t>
              </w:r>
            </w:hyperlink>
          </w:p>
        </w:tc>
        <w:tc>
          <w:tcPr>
            <w:tcW w:w="5280" w:type="dxa"/>
            <w:vAlign w:val="bottom"/>
            <w:tcBorders>
              <w:top w:val="single" w:sz="8" w:color="0000FF"/>
              <w:bottom w:val="single" w:sz="8" w:color="CCEEFF"/>
              <w:right w:val="single" w:sz="8" w:color="CCEEFF"/>
            </w:tcBorders>
            <w:gridSpan w:val="9"/>
            <w:shd w:val="clear" w:color="auto" w:fill="CCEEFF"/>
          </w:tcPr>
          <w:p>
            <w:pPr>
              <w:spacing w:after="0"/>
              <w:rPr>
                <w:sz w:val="21"/>
                <w:szCs w:val="21"/>
                <w:color w:val="auto"/>
              </w:rPr>
            </w:pPr>
          </w:p>
        </w:tc>
        <w:tc>
          <w:tcPr>
            <w:tcW w:w="400" w:type="dxa"/>
            <w:vAlign w:val="bottom"/>
            <w:tcBorders>
              <w:top w:val="single" w:sz="8" w:color="CCEEFF"/>
              <w:bottom w:val="single" w:sz="8" w:color="CCEEFF"/>
            </w:tcBorders>
            <w:gridSpan w:val="7"/>
            <w:shd w:val="clear" w:color="auto" w:fill="CCEEFF"/>
          </w:tcPr>
          <w:p>
            <w:pPr>
              <w:spacing w:after="0"/>
              <w:rPr>
                <w:sz w:val="21"/>
                <w:szCs w:val="21"/>
                <w:color w:val="auto"/>
              </w:rPr>
            </w:pPr>
          </w:p>
        </w:tc>
      </w:tr>
      <w:tr>
        <w:trPr>
          <w:trHeight w:val="432"/>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9"/>
          </w:tcPr>
          <w:p>
            <w:pPr>
              <w:ind w:left="4160"/>
              <w:spacing w:after="0"/>
              <w:rPr>
                <w:sz w:val="20"/>
                <w:szCs w:val="20"/>
                <w:color w:val="auto"/>
              </w:rPr>
            </w:pPr>
            <w:r>
              <w:rPr>
                <w:rFonts w:ascii="Arial" w:cs="Arial" w:eastAsia="Arial" w:hAnsi="Arial"/>
                <w:sz w:val="18"/>
                <w:szCs w:val="18"/>
                <w:color w:val="auto"/>
              </w:rPr>
              <w:t>86</w:t>
            </w: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840"/>
          </w:cols>
          <w:pgMar w:left="240" w:top="108" w:right="8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9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10.32D+</w:t>
            </w:r>
          </w:p>
        </w:tc>
        <w:tc>
          <w:tcPr>
            <w:tcW w:w="180" w:type="dxa"/>
            <w:vAlign w:val="bottom"/>
          </w:tcPr>
          <w:p>
            <w:pPr>
              <w:spacing w:after="0"/>
              <w:rPr>
                <w:sz w:val="24"/>
                <w:szCs w:val="24"/>
                <w:color w:val="auto"/>
              </w:rPr>
            </w:pPr>
          </w:p>
        </w:tc>
        <w:tc>
          <w:tcPr>
            <w:tcW w:w="9380" w:type="dxa"/>
            <w:vAlign w:val="bottom"/>
            <w:gridSpan w:val="34"/>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Amended and Restated 2007 Non-Employee Directors Stock Award Plan (approved August 4, 2016) (incorporated herein by</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80" w:type="dxa"/>
            <w:vAlign w:val="bottom"/>
            <w:tcBorders>
              <w:top w:val="single" w:sz="8" w:color="0000FF"/>
            </w:tcBorders>
            <w:gridSpan w:val="23"/>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reference to Exhibit 10.9 in Jazz Pharmaceuticals plc’s Quarterly Report on Form 10-Q (File No. 001-33500) for the period</w:t>
              </w:r>
            </w:hyperlink>
          </w:p>
        </w:tc>
        <w:tc>
          <w:tcPr>
            <w:tcW w:w="40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ended June 30, 2016, as filed with the SEC on August 9, 2016).</w:t>
              </w:r>
            </w:hyperlink>
          </w:p>
        </w:tc>
        <w:tc>
          <w:tcPr>
            <w:tcW w:w="500" w:type="dxa"/>
            <w:vAlign w:val="bottom"/>
            <w:gridSpan w:val="15"/>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10.32E+</w:t>
            </w:r>
          </w:p>
        </w:tc>
        <w:tc>
          <w:tcPr>
            <w:tcW w:w="9380" w:type="dxa"/>
            <w:vAlign w:val="bottom"/>
            <w:gridSpan w:val="34"/>
            <w:shd w:val="clear" w:color="auto" w:fill="CCEEFF"/>
          </w:tcPr>
          <w:p>
            <w:pPr>
              <w:spacing w:after="0" w:line="202"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Amended and Restated 2007 Non-Employee Directors Stock Award Plan (approved November 3, 2016) (incorporated herein by</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20" w:type="dxa"/>
            <w:vAlign w:val="bottom"/>
            <w:tcBorders>
              <w:top w:val="single" w:sz="8" w:color="0000FF"/>
            </w:tcBorders>
            <w:gridSpan w:val="32"/>
            <w:shd w:val="clear" w:color="auto" w:fill="CCEEFF"/>
          </w:tcPr>
          <w:p>
            <w:pPr>
              <w:spacing w:after="0" w:line="19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reference to Exhibit 10.3 in Jazz Pharmaceuticals plc’s Quarterly Report on Form 10-Q (File No. 001-33500) for the period</w:t>
              </w:r>
            </w:hyperlink>
          </w:p>
        </w:tc>
        <w:tc>
          <w:tcPr>
            <w:tcW w:w="160" w:type="dxa"/>
            <w:vAlign w:val="bottom"/>
            <w:tcBorders>
              <w:top w:val="single" w:sz="8" w:color="CCEEFF"/>
            </w:tcBorders>
            <w:gridSpan w:val="2"/>
            <w:shd w:val="clear" w:color="auto" w:fill="CCEEFF"/>
          </w:tcPr>
          <w:p>
            <w:pPr>
              <w:spacing w:after="0"/>
              <w:rPr>
                <w:sz w:val="17"/>
                <w:szCs w:val="17"/>
                <w:color w:val="auto"/>
              </w:rPr>
            </w:pP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ended September 30, 2016, as filed with the SEC on November 8, 2016).</w:t>
              </w:r>
            </w:hyperlink>
          </w:p>
        </w:tc>
        <w:tc>
          <w:tcPr>
            <w:tcW w:w="362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500" w:type="dxa"/>
            <w:vAlign w:val="bottom"/>
            <w:tcBorders>
              <w:top w:val="single" w:sz="8" w:color="CCEEFF"/>
              <w:bottom w:val="single" w:sz="8" w:color="CCEEFF"/>
            </w:tcBorders>
            <w:gridSpan w:val="15"/>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10.32F+</w:t>
            </w:r>
          </w:p>
        </w:tc>
        <w:tc>
          <w:tcPr>
            <w:tcW w:w="9040" w:type="dxa"/>
            <w:vAlign w:val="bottom"/>
            <w:tcBorders>
              <w:bottom w:val="single" w:sz="8" w:color="0000FF"/>
            </w:tcBorders>
            <w:gridSpan w:val="25"/>
          </w:tcPr>
          <w:p>
            <w:pPr>
              <w:spacing w:after="0" w:line="202"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Form of Non-U.S. Restricted Stock Unit Award Grant Notice and Form of Non-U.S. Restricted Stock Unit Award Agreement</w:t>
              </w:r>
            </w:hyperlink>
          </w:p>
        </w:tc>
        <w:tc>
          <w:tcPr>
            <w:tcW w:w="3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under the Jazz Pharmaceuticals plc Amended and Restated 2007 Non-Employee Directors Stock Award Plan (incorporated</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herein by reference to Exhibit 10.4 in Jazz Pharmaceuticals plc’s Quarterly Report on Form 10-Q (File No. 001-33500) for the</w:t>
              </w:r>
            </w:hyperlink>
          </w:p>
        </w:tc>
        <w:tc>
          <w:tcPr>
            <w:tcW w:w="2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period ended September 30, 2016, as filed with the SEC on November 8, 2016).</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10.32G+</w:t>
            </w:r>
          </w:p>
        </w:tc>
        <w:tc>
          <w:tcPr>
            <w:tcW w:w="9380" w:type="dxa"/>
            <w:vAlign w:val="bottom"/>
            <w:gridSpan w:val="34"/>
            <w:shd w:val="clear" w:color="auto" w:fill="CCEEFF"/>
          </w:tcPr>
          <w:p>
            <w:pPr>
              <w:spacing w:after="0" w:line="202"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Form of Non-U.S. Option Grant Notice and Form of Non-U.S. Option Agreement under the Jazz Pharmaceuticals plc Amended</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FF"/>
            </w:tcBorders>
            <w:gridSpan w:val="31"/>
            <w:shd w:val="clear" w:color="auto" w:fill="CCEEFF"/>
          </w:tcPr>
          <w:p>
            <w:pPr>
              <w:spacing w:after="0" w:line="196"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and Restated Non-Employee Directors 2007 Stock Award Plan (incorporated herein by reference to Exhibit 10.5 in Jazz</w:t>
              </w:r>
            </w:hyperlink>
          </w:p>
        </w:tc>
        <w:tc>
          <w:tcPr>
            <w:tcW w:w="18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4"/>
            <w:shd w:val="clear" w:color="auto" w:fill="CCEEFF"/>
          </w:tcPr>
          <w:p>
            <w:pPr>
              <w:spacing w:after="0" w:line="19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Pharmaceuticals plc’s Quarterly Report on Form 10-Q (File No. 001-33500) for the period ended September 30, 2016, as filed</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with the SEC on November 8, 2016).</w:t>
              </w:r>
            </w:hyperlink>
          </w:p>
        </w:tc>
        <w:tc>
          <w:tcPr>
            <w:tcW w:w="6400" w:type="dxa"/>
            <w:vAlign w:val="bottom"/>
            <w:tcBorders>
              <w:top w:val="single" w:sz="8" w:color="0000FF"/>
              <w:bottom w:val="single" w:sz="8" w:color="CCEEFF"/>
            </w:tcBorders>
            <w:gridSpan w:val="24"/>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10.32H+</w:t>
            </w:r>
          </w:p>
        </w:tc>
        <w:tc>
          <w:tcPr>
            <w:tcW w:w="8900" w:type="dxa"/>
            <w:vAlign w:val="bottom"/>
            <w:tcBorders>
              <w:bottom w:val="single" w:sz="8" w:color="0000FF"/>
            </w:tcBorders>
            <w:gridSpan w:val="20"/>
          </w:tcPr>
          <w:p>
            <w:pPr>
              <w:spacing w:after="0" w:line="202"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Form of Non-U.S. Option Grant Notice and Non-U.S. Option Agreement under the Jazz Pharmaceuticals plc Amended and</w:t>
              </w:r>
            </w:hyperlink>
          </w:p>
        </w:tc>
        <w:tc>
          <w:tcPr>
            <w:tcW w:w="4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Restated 2007 Non-Employee Directors Stock Award Plan (incorporated herein by reference to Exhibit 10.2 in Jazz</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Pharmaceuticals plc’s Quarterly Report on Form 10-Q (File No. 001-33500) for the period ended September 30, 2018, as filed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with the SEC on November 6, 2018).</w:t>
              </w:r>
            </w:hyperlink>
          </w:p>
        </w:tc>
        <w:tc>
          <w:tcPr>
            <w:tcW w:w="300" w:type="dxa"/>
            <w:vAlign w:val="bottom"/>
            <w:gridSpan w:val="8"/>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10.32I+</w:t>
            </w:r>
          </w:p>
        </w:tc>
        <w:tc>
          <w:tcPr>
            <w:tcW w:w="9380" w:type="dxa"/>
            <w:vAlign w:val="bottom"/>
            <w:gridSpan w:val="34"/>
            <w:shd w:val="clear" w:color="auto" w:fill="CCEEFF"/>
          </w:tcPr>
          <w:p>
            <w:pPr>
              <w:spacing w:after="0" w:line="202"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Form of Non-U.S. Restricted Stock Unit Award Grant Notice and Non-U.S. Restricted Stock Unit Award Agreement under the</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12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Jazz Pharmaceuticals plc Amended and Restated 2007 Non-Employee Directors Stock Award Plan (incorporated herein by</w:t>
              </w:r>
            </w:hyperlink>
          </w:p>
        </w:tc>
        <w:tc>
          <w:tcPr>
            <w:tcW w:w="26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4"/>
            <w:shd w:val="clear" w:color="auto" w:fill="CCEEFF"/>
          </w:tcPr>
          <w:p>
            <w:pPr>
              <w:spacing w:after="0" w:line="19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reference to Exhibit 10.3 in Jazz Pharmaceuticals plc’s Quarterly Report on Form 10-Q (File No. 001-33500) for the period</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89"/>
              </w:rPr>
            </w:pPr>
            <w:hyperlink r:id="rId100">
              <w:r>
                <w:rPr>
                  <w:rFonts w:ascii="Arial" w:cs="Arial" w:eastAsia="Arial" w:hAnsi="Arial"/>
                  <w:sz w:val="18"/>
                  <w:szCs w:val="18"/>
                  <w:color w:val="0000FF"/>
                  <w:w w:val="89"/>
                </w:rPr>
                <w:t>ended September 30, 2018, as filed with the SEC on November 6, 2018).</w:t>
              </w:r>
            </w:hyperlink>
          </w:p>
        </w:tc>
        <w:tc>
          <w:tcPr>
            <w:tcW w:w="362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500" w:type="dxa"/>
            <w:vAlign w:val="bottom"/>
            <w:tcBorders>
              <w:top w:val="single" w:sz="8" w:color="CCEEFF"/>
              <w:bottom w:val="single" w:sz="8" w:color="CCEEFF"/>
            </w:tcBorders>
            <w:gridSpan w:val="15"/>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10.32J+</w:t>
            </w:r>
          </w:p>
        </w:tc>
        <w:tc>
          <w:tcPr>
            <w:tcW w:w="8900" w:type="dxa"/>
            <w:vAlign w:val="bottom"/>
            <w:tcBorders>
              <w:bottom w:val="single" w:sz="8" w:color="0000FF"/>
            </w:tcBorders>
            <w:gridSpan w:val="20"/>
          </w:tcPr>
          <w:p>
            <w:pPr>
              <w:spacing w:after="0" w:line="202"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Form of Non-U.S. Option Grant Notice and Non-U.S. Option Agreement under the Jazz Pharmaceuticals plc Amended and</w:t>
              </w:r>
            </w:hyperlink>
          </w:p>
        </w:tc>
        <w:tc>
          <w:tcPr>
            <w:tcW w:w="4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Restated 2007 Non-Employee Directors Stock Award Plan (incorporated herein by reference to Exhibit 10.2 in Jazz</w:t>
              </w:r>
            </w:hyperlink>
          </w:p>
        </w:tc>
      </w:tr>
      <w:tr>
        <w:trPr>
          <w:trHeight w:val="20"/>
        </w:trPr>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Pharmaceuticals plc’s Quarterly Report on Form 10-Q (File No. 001-33500) for the period ended March 31, 2019, as filed with</w:t>
              </w:r>
            </w:hyperlink>
          </w:p>
        </w:tc>
        <w:tc>
          <w:tcPr>
            <w:tcW w:w="2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the SEC on May 7, 2019).</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10.32K+</w:t>
            </w:r>
          </w:p>
        </w:tc>
        <w:tc>
          <w:tcPr>
            <w:tcW w:w="9380" w:type="dxa"/>
            <w:vAlign w:val="bottom"/>
            <w:gridSpan w:val="34"/>
            <w:shd w:val="clear" w:color="auto" w:fill="CCEEFF"/>
          </w:tcPr>
          <w:p>
            <w:pPr>
              <w:spacing w:after="0" w:line="202"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Form of Non-U.S. Restricted Stock Unit Award Grant Notice and Non-U.S. Restricted Stock Unit Award Agreement under the</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12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Jazz Pharmaceuticals plc Amended and Restated 2007 Non-Employee Directors Stock Award Plan (incorporated herein by</w:t>
              </w:r>
            </w:hyperlink>
          </w:p>
        </w:tc>
        <w:tc>
          <w:tcPr>
            <w:tcW w:w="26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4"/>
            <w:shd w:val="clear" w:color="auto" w:fill="CCEEFF"/>
          </w:tcPr>
          <w:p>
            <w:pPr>
              <w:spacing w:after="0" w:line="196"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reference to Exhibit 10.3 in Jazz Pharmaceuticals plc’s Quarterly Report on Form 10-Q (File No. 001-33500) for the period</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ended March 31, 2019, as filed with the SEC on May 7, 2019).</w:t>
              </w:r>
            </w:hyperlink>
          </w:p>
        </w:tc>
        <w:tc>
          <w:tcPr>
            <w:tcW w:w="500" w:type="dxa"/>
            <w:vAlign w:val="bottom"/>
            <w:tcBorders>
              <w:top w:val="single" w:sz="8" w:color="CCEEFF"/>
            </w:tcBorders>
            <w:gridSpan w:val="15"/>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10.33A+</w:t>
            </w:r>
          </w:p>
        </w:tc>
        <w:tc>
          <w:tcPr>
            <w:tcW w:w="9380" w:type="dxa"/>
            <w:vAlign w:val="bottom"/>
            <w:gridSpan w:val="34"/>
          </w:tcPr>
          <w:p>
            <w:pPr>
              <w:spacing w:after="0" w:line="202"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Jazz Pharmaceuticals plc 2007 Employee Stock Purchase Plan, as amended and restated (incorporated herein by reference to</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Exhibit 10.31A in Jazz Pharmaceuticals plc’s Annual Report on Form 10-K (File No. 001-33500) for the period ended</w:t>
              </w:r>
            </w:hyperlink>
          </w:p>
        </w:tc>
        <w:tc>
          <w:tcPr>
            <w:tcW w:w="440" w:type="dxa"/>
            <w:vAlign w:val="bottom"/>
            <w:tcBorders>
              <w:top w:val="single" w:sz="8" w:color="0000FF"/>
            </w:tcBorders>
            <w:gridSpan w:val="7"/>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December 31, 2012, as filed with the SEC on February 26, 2013).</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10.33B+</w:t>
            </w:r>
          </w:p>
        </w:tc>
        <w:tc>
          <w:tcPr>
            <w:tcW w:w="9380" w:type="dxa"/>
            <w:vAlign w:val="bottom"/>
            <w:gridSpan w:val="34"/>
            <w:shd w:val="clear" w:color="auto" w:fill="CCEEFF"/>
          </w:tcPr>
          <w:p>
            <w:pPr>
              <w:spacing w:after="0" w:line="202" w:lineRule="exact"/>
              <w:rPr>
                <w:rFonts w:ascii="Arial" w:cs="Arial" w:eastAsia="Arial" w:hAnsi="Arial"/>
                <w:sz w:val="18"/>
                <w:szCs w:val="18"/>
                <w:color w:val="0000FF"/>
                <w:w w:val="95"/>
              </w:rPr>
            </w:pPr>
            <w:hyperlink r:id="rId104">
              <w:r>
                <w:rPr>
                  <w:rFonts w:ascii="Arial" w:cs="Arial" w:eastAsia="Arial" w:hAnsi="Arial"/>
                  <w:sz w:val="18"/>
                  <w:szCs w:val="18"/>
                  <w:color w:val="0000FF"/>
                  <w:w w:val="95"/>
                </w:rPr>
                <w:t>Jazz Pharmaceuticals plc 2007 Employee Stock Purchase Plan Sub-Plan Governing Purchase Rights to Participants in the</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40" w:type="dxa"/>
            <w:vAlign w:val="bottom"/>
            <w:tcBorders>
              <w:bottom w:val="single" w:sz="8" w:color="0000FF"/>
              <w:right w:val="single" w:sz="8" w:color="CCEEFF"/>
            </w:tcBorders>
            <w:gridSpan w:val="18"/>
            <w:shd w:val="clear" w:color="auto" w:fill="CCEEFF"/>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Republic of Ireland (incorporated herein by reference to Exhibit 10.14C in Jazz Pharmaceuticals plc’s Quarterly Report on</w:t>
              </w:r>
            </w:hyperlink>
          </w:p>
        </w:tc>
        <w:tc>
          <w:tcPr>
            <w:tcW w:w="54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4"/>
            <w:shd w:val="clear" w:color="auto" w:fill="CCEEFF"/>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Form 10-Q (File No. 001-33500) for the period ended March 31, 2012, as filed with the SEC on May 8, 2012 ).</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10.34A+</w:t>
            </w:r>
          </w:p>
        </w:tc>
        <w:tc>
          <w:tcPr>
            <w:tcW w:w="9180" w:type="dxa"/>
            <w:vAlign w:val="bottom"/>
            <w:tcBorders>
              <w:bottom w:val="single" w:sz="8" w:color="0000FF"/>
            </w:tcBorders>
            <w:gridSpan w:val="30"/>
          </w:tcPr>
          <w:p>
            <w:pPr>
              <w:spacing w:after="0" w:line="202"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Jazz Pharmaceuticals plc Cash Bonus Plan for U.S. Affiliates (approved October 31, 2018) (incorporated herein by reference to</w:t>
              </w:r>
            </w:hyperlink>
          </w:p>
        </w:tc>
        <w:tc>
          <w:tcPr>
            <w:tcW w:w="2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Exhibit 10.26C in Jazz Pharmaceuticals plc’s Annual Report on Form 10-K (File No. 001-33500) for the period ended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December 31, 2018, as filed with the SEC on February 26, 2019)</w:t>
              </w:r>
              <w:r>
                <w:rPr>
                  <w:rFonts w:ascii="Arial" w:cs="Arial" w:eastAsia="Arial" w:hAnsi="Arial"/>
                  <w:sz w:val="18"/>
                  <w:szCs w:val="18"/>
                  <w:color w:val="000000"/>
                </w:rPr>
                <w:t>.</w:t>
              </w:r>
            </w:hyperlink>
          </w:p>
        </w:tc>
        <w:tc>
          <w:tcPr>
            <w:tcW w:w="880" w:type="dxa"/>
            <w:vAlign w:val="bottom"/>
            <w:gridSpan w:val="20"/>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10.34B+</w:t>
            </w:r>
          </w:p>
        </w:tc>
        <w:tc>
          <w:tcPr>
            <w:tcW w:w="902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Jazz Pharmaceuticals Cash Bonus Plan (Ireland and Other Specified Affiliates) (Calendar Year 2019) (incorporated herein by</w:t>
              </w:r>
            </w:hyperlink>
          </w:p>
        </w:tc>
        <w:tc>
          <w:tcPr>
            <w:tcW w:w="36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4"/>
            <w:shd w:val="clear" w:color="auto" w:fill="CCEEFF"/>
          </w:tcPr>
          <w:p>
            <w:pPr>
              <w:spacing w:after="0" w:line="196"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reference to Exhibit 10.26D in Jazz Pharmaceuticals plc’s Annual Report on Form 10-K (File No. 001-33500) for the period</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94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ended December 31, 2018, as filed with the SEC on February 26, 2019)</w:t>
              </w:r>
              <w:r>
                <w:rPr>
                  <w:rFonts w:ascii="Arial" w:cs="Arial" w:eastAsia="Arial" w:hAnsi="Arial"/>
                  <w:sz w:val="18"/>
                  <w:szCs w:val="18"/>
                  <w:color w:val="000000"/>
                </w:rPr>
                <w:t>.</w:t>
              </w:r>
            </w:hyperlink>
          </w:p>
        </w:tc>
        <w:tc>
          <w:tcPr>
            <w:tcW w:w="440" w:type="dxa"/>
            <w:vAlign w:val="bottom"/>
            <w:tcBorders>
              <w:top w:val="single" w:sz="8" w:color="CCEEFF"/>
            </w:tcBorders>
            <w:gridSpan w:val="13"/>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10.34C+</w:t>
            </w:r>
          </w:p>
        </w:tc>
        <w:tc>
          <w:tcPr>
            <w:tcW w:w="9380" w:type="dxa"/>
            <w:vAlign w:val="bottom"/>
            <w:gridSpan w:val="34"/>
          </w:tcPr>
          <w:p>
            <w:pPr>
              <w:spacing w:after="0" w:line="202" w:lineRule="exact"/>
              <w:rPr>
                <w:rFonts w:ascii="Arial" w:cs="Arial" w:eastAsia="Arial" w:hAnsi="Arial"/>
                <w:sz w:val="18"/>
                <w:szCs w:val="18"/>
                <w:color w:val="0000FF"/>
              </w:rPr>
            </w:pPr>
            <w:hyperlink w:anchor="page228">
              <w:r>
                <w:rPr>
                  <w:rFonts w:ascii="Arial" w:cs="Arial" w:eastAsia="Arial" w:hAnsi="Arial"/>
                  <w:sz w:val="18"/>
                  <w:szCs w:val="18"/>
                  <w:color w:val="0000FF"/>
                </w:rPr>
                <w:t>Jazz Pharmaceuticals plc Cash Bonus Plan for U.S. Affiliates (approved October 30, 2019).</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4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10.34D+</w:t>
            </w:r>
          </w:p>
        </w:tc>
        <w:tc>
          <w:tcPr>
            <w:tcW w:w="9380" w:type="dxa"/>
            <w:vAlign w:val="bottom"/>
            <w:gridSpan w:val="34"/>
            <w:shd w:val="clear" w:color="auto" w:fill="CCEEFF"/>
          </w:tcPr>
          <w:p>
            <w:pPr>
              <w:spacing w:after="0" w:line="202" w:lineRule="exact"/>
              <w:rPr>
                <w:rFonts w:ascii="Arial" w:cs="Arial" w:eastAsia="Arial" w:hAnsi="Arial"/>
                <w:sz w:val="18"/>
                <w:szCs w:val="18"/>
                <w:color w:val="0000FF"/>
              </w:rPr>
            </w:pPr>
            <w:hyperlink w:anchor="page233">
              <w:r>
                <w:rPr>
                  <w:rFonts w:ascii="Arial" w:cs="Arial" w:eastAsia="Arial" w:hAnsi="Arial"/>
                  <w:sz w:val="18"/>
                  <w:szCs w:val="18"/>
                  <w:color w:val="0000FF"/>
                </w:rPr>
                <w:t>Jazz Pharmaceuticals Cash Bonus Plan (Ireland and Other Specified Affiliates) (Calendar Year 2020).</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10.35+</w:t>
            </w:r>
          </w:p>
        </w:tc>
        <w:tc>
          <w:tcPr>
            <w:tcW w:w="180" w:type="dxa"/>
            <w:vAlign w:val="bottom"/>
          </w:tcPr>
          <w:p>
            <w:pPr>
              <w:spacing w:after="0"/>
              <w:rPr>
                <w:sz w:val="17"/>
                <w:szCs w:val="17"/>
                <w:color w:val="auto"/>
              </w:rPr>
            </w:pPr>
          </w:p>
        </w:tc>
        <w:tc>
          <w:tcPr>
            <w:tcW w:w="9240" w:type="dxa"/>
            <w:vAlign w:val="bottom"/>
            <w:tcBorders>
              <w:bottom w:val="single" w:sz="8" w:color="0000FF"/>
            </w:tcBorders>
            <w:gridSpan w:val="33"/>
          </w:tcPr>
          <w:p>
            <w:pPr>
              <w:spacing w:after="0" w:line="202"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Amended and Restated Executive Change in Control and Severance Benefit Plan, dated as of July 31, 2019 (incorporated herein</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34"/>
          </w:tcPr>
          <w:p>
            <w:pPr>
              <w:spacing w:after="0" w:line="19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by reference to Exhibit 10.6 in Jazz Pharmaceuticals plc’s Quarterly Report on Form 10-Q (File No. 001-33500) for the period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ended September 30, 2019, as filed with the SEC on November 5, 2019).</w:t>
              </w:r>
            </w:hyperlink>
          </w:p>
        </w:tc>
        <w:tc>
          <w:tcPr>
            <w:tcW w:w="280" w:type="dxa"/>
            <w:vAlign w:val="bottom"/>
            <w:gridSpan w:val="7"/>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Borders>
              <w:top w:val="single" w:sz="8" w:color="0000FF"/>
            </w:tcBorders>
            <w:gridSpan w:val="3"/>
          </w:tcPr>
          <w:p>
            <w:pPr>
              <w:ind w:left="4160"/>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840"/>
          </w:cols>
          <w:pgMar w:left="240" w:top="108" w:right="8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14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10.36A+</w:t>
            </w:r>
          </w:p>
        </w:tc>
        <w:tc>
          <w:tcPr>
            <w:tcW w:w="85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Amended and Restated Non-Employee Director Compensation Policy (approved May 5, 2016) (incorporated herein by</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11"/>
            <w:shd w:val="clear" w:color="auto" w:fill="CCEEFF"/>
          </w:tcPr>
          <w:p>
            <w:pPr>
              <w:spacing w:after="0" w:line="196"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reference to Exhibit 10.7 in Jazz Pharmaceuticals plc’s Quarterly Report on Form 10-Q (File No. 001-33500) for the period</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ended June 30, 2016, as filed with the SEC on August 9, 2016).</w:t>
              </w:r>
            </w:hyperlink>
          </w:p>
        </w:tc>
        <w:tc>
          <w:tcPr>
            <w:tcW w:w="430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50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4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10.36B+</w:t>
            </w:r>
          </w:p>
        </w:tc>
        <w:tc>
          <w:tcPr>
            <w:tcW w:w="8580" w:type="dxa"/>
            <w:vAlign w:val="bottom"/>
            <w:tcBorders>
              <w:bottom w:val="single" w:sz="8" w:color="0000FF"/>
            </w:tcBorders>
            <w:gridSpan w:val="7"/>
          </w:tcPr>
          <w:p>
            <w:pPr>
              <w:spacing w:after="0" w:line="202"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Amended and Restated Non-Employee Director Compensation Policy (approved May 3, 2018) (incorporated herein by</w:t>
              </w:r>
            </w:hyperlink>
          </w:p>
        </w:tc>
        <w:tc>
          <w:tcPr>
            <w:tcW w:w="8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11"/>
          </w:tcPr>
          <w:p>
            <w:pPr>
              <w:spacing w:after="0" w:line="196" w:lineRule="exact"/>
              <w:rPr>
                <w:rFonts w:ascii="Arial" w:cs="Arial" w:eastAsia="Arial" w:hAnsi="Arial"/>
                <w:sz w:val="18"/>
                <w:szCs w:val="18"/>
                <w:color w:val="0000FF"/>
                <w:w w:val="96"/>
              </w:rPr>
            </w:pPr>
            <w:hyperlink r:id="rId109">
              <w:r>
                <w:rPr>
                  <w:rFonts w:ascii="Arial" w:cs="Arial" w:eastAsia="Arial" w:hAnsi="Arial"/>
                  <w:sz w:val="18"/>
                  <w:szCs w:val="18"/>
                  <w:color w:val="0000FF"/>
                  <w:w w:val="96"/>
                </w:rPr>
                <w:t>reference to Exhibit 10.1 in Jazz Pharmaceuticals plc’s Quarterly Report on Form 10-Q (File No. 001-33500) for the period</w:t>
              </w:r>
            </w:hyperlink>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ended June 30, 2018, as filed with the SEC on August 7, 2018).</w:t>
              </w:r>
            </w:hyperlink>
          </w:p>
        </w:tc>
        <w:tc>
          <w:tcPr>
            <w:tcW w:w="500" w:type="dxa"/>
            <w:vAlign w:val="bottom"/>
            <w:gridSpan w:val="2"/>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88"/>
              </w:rPr>
            </w:pPr>
            <w:hyperlink w:anchor="page239">
              <w:r>
                <w:rPr>
                  <w:rFonts w:ascii="Arial" w:cs="Arial" w:eastAsia="Arial" w:hAnsi="Arial"/>
                  <w:sz w:val="18"/>
                  <w:szCs w:val="18"/>
                  <w:color w:val="0000FF"/>
                  <w:w w:val="88"/>
                </w:rPr>
                <w:t>Subsidiaries of Jazz Pharmaceuticals plc.</w:t>
              </w:r>
            </w:hyperlink>
          </w:p>
        </w:tc>
        <w:tc>
          <w:tcPr>
            <w:tcW w:w="642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180" w:type="dxa"/>
            <w:vAlign w:val="bottom"/>
          </w:tcPr>
          <w:p>
            <w:pPr>
              <w:spacing w:after="0"/>
              <w:rPr>
                <w:sz w:val="17"/>
                <w:szCs w:val="17"/>
                <w:color w:val="auto"/>
              </w:rPr>
            </w:pPr>
          </w:p>
        </w:tc>
        <w:tc>
          <w:tcPr>
            <w:tcW w:w="9380" w:type="dxa"/>
            <w:vAlign w:val="bottom"/>
            <w:gridSpan w:val="11"/>
          </w:tcPr>
          <w:p>
            <w:pPr>
              <w:spacing w:after="0" w:line="202" w:lineRule="exact"/>
              <w:rPr>
                <w:rFonts w:ascii="Arial" w:cs="Arial" w:eastAsia="Arial" w:hAnsi="Arial"/>
                <w:sz w:val="18"/>
                <w:szCs w:val="18"/>
                <w:color w:val="0000FF"/>
              </w:rPr>
            </w:pPr>
            <w:hyperlink w:anchor="page240">
              <w:r>
                <w:rPr>
                  <w:rFonts w:ascii="Arial" w:cs="Arial" w:eastAsia="Arial" w:hAnsi="Arial"/>
                  <w:sz w:val="18"/>
                  <w:szCs w:val="18"/>
                  <w:color w:val="0000FF"/>
                </w:rPr>
                <w:t>Consent of KPMG, Independent Registered Public Accounting Firm.</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Power of Attorney (included on the signature page hereto).</w:t>
              </w:r>
            </w:hyperlink>
          </w:p>
        </w:tc>
        <w:tc>
          <w:tcPr>
            <w:tcW w:w="514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9080" w:type="dxa"/>
            <w:vAlign w:val="bottom"/>
            <w:tcBorders>
              <w:bottom w:val="single" w:sz="8" w:color="0000FF"/>
            </w:tcBorders>
            <w:gridSpan w:val="10"/>
          </w:tcPr>
          <w:p>
            <w:pPr>
              <w:spacing w:after="0" w:line="202" w:lineRule="exact"/>
              <w:rPr>
                <w:rFonts w:ascii="Arial" w:cs="Arial" w:eastAsia="Arial" w:hAnsi="Arial"/>
                <w:sz w:val="18"/>
                <w:szCs w:val="18"/>
                <w:color w:val="0000FF"/>
                <w:w w:val="92"/>
              </w:rPr>
            </w:pPr>
            <w:hyperlink w:anchor="page241">
              <w:r>
                <w:rPr>
                  <w:rFonts w:ascii="Arial" w:cs="Arial" w:eastAsia="Arial" w:hAnsi="Arial"/>
                  <w:sz w:val="18"/>
                  <w:szCs w:val="18"/>
                  <w:color w:val="0000FF"/>
                  <w:w w:val="92"/>
                </w:rPr>
                <w:t>Certification of Principal Executive Officer and Interim Principal Financial Officer pursuant to Rules 13a-14(a) and 15d-14(a)</w:t>
              </w:r>
            </w:hyperlink>
          </w:p>
        </w:tc>
        <w:tc>
          <w:tcPr>
            <w:tcW w:w="3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11"/>
          </w:tcPr>
          <w:p>
            <w:pPr>
              <w:spacing w:after="0" w:line="196" w:lineRule="exact"/>
              <w:rPr>
                <w:rFonts w:ascii="Arial" w:cs="Arial" w:eastAsia="Arial" w:hAnsi="Arial"/>
                <w:sz w:val="18"/>
                <w:szCs w:val="18"/>
                <w:color w:val="0000FF"/>
              </w:rPr>
            </w:pPr>
            <w:hyperlink w:anchor="page241">
              <w:r>
                <w:rPr>
                  <w:rFonts w:ascii="Arial" w:cs="Arial" w:eastAsia="Arial" w:hAnsi="Arial"/>
                  <w:sz w:val="18"/>
                  <w:szCs w:val="18"/>
                  <w:color w:val="0000FF"/>
                </w:rPr>
                <w:t>promulgated under the Securities Exchange Act of 1934, as amended.</w:t>
              </w:r>
            </w:hyperlink>
          </w:p>
        </w:tc>
      </w:tr>
      <w:tr>
        <w:trPr>
          <w:trHeight w:val="48"/>
        </w:trPr>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7"/>
                <w:szCs w:val="17"/>
                <w:color w:val="auto"/>
              </w:rPr>
            </w:pPr>
          </w:p>
        </w:tc>
        <w:tc>
          <w:tcPr>
            <w:tcW w:w="9380" w:type="dxa"/>
            <w:vAlign w:val="bottom"/>
            <w:gridSpan w:val="11"/>
            <w:shd w:val="clear" w:color="auto" w:fill="CCEEFF"/>
          </w:tcPr>
          <w:p>
            <w:pPr>
              <w:spacing w:after="0" w:line="202" w:lineRule="exact"/>
              <w:rPr>
                <w:rFonts w:ascii="Arial" w:cs="Arial" w:eastAsia="Arial" w:hAnsi="Arial"/>
                <w:sz w:val="18"/>
                <w:szCs w:val="18"/>
                <w:color w:val="0000FF"/>
                <w:w w:val="98"/>
              </w:rPr>
            </w:pPr>
            <w:hyperlink w:anchor="page242">
              <w:r>
                <w:rPr>
                  <w:rFonts w:ascii="Arial" w:cs="Arial" w:eastAsia="Arial" w:hAnsi="Arial"/>
                  <w:sz w:val="18"/>
                  <w:szCs w:val="18"/>
                  <w:color w:val="0000FF"/>
                  <w:w w:val="98"/>
                </w:rPr>
                <w:t>Certification of Principal Executive Officer and Interim Principal Financial Officer pursuant to 18 U.S.C. Section 1350, as</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92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w:anchor="page242">
              <w:r>
                <w:rPr>
                  <w:rFonts w:ascii="Arial" w:cs="Arial" w:eastAsia="Arial" w:hAnsi="Arial"/>
                  <w:sz w:val="18"/>
                  <w:szCs w:val="18"/>
                  <w:color w:val="0000FF"/>
                  <w:w w:val="89"/>
                </w:rPr>
                <w:t>adopted pursuant to Section 906 of the Sarbanes-Oxley Act of 2002.</w:t>
              </w:r>
            </w:hyperlink>
          </w:p>
        </w:tc>
        <w:tc>
          <w:tcPr>
            <w:tcW w:w="388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58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29"/>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380" w:type="dxa"/>
            <w:vAlign w:val="bottom"/>
            <w:gridSpan w:val="11"/>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38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38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3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38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3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7"/>
        </w:trPr>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38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1"/>
                <w:szCs w:val="21"/>
                <w:color w:val="auto"/>
              </w:rPr>
            </w:pPr>
          </w:p>
        </w:tc>
        <w:tc>
          <w:tcPr>
            <w:tcW w:w="938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320" w:hanging="572"/>
        <w:spacing w:after="0" w:line="27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170" w:lineRule="exact"/>
        <w:rPr>
          <w:sz w:val="20"/>
          <w:szCs w:val="20"/>
          <w:color w:val="auto"/>
        </w:rPr>
      </w:pPr>
    </w:p>
    <w:p>
      <w:pPr>
        <w:ind w:left="580" w:hanging="572"/>
        <w:spacing w:after="0" w:line="27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Item 601(b)(2) of Regulation S-K, certain portions of this agreement have been omitted because the omitted portions are both not material and would likely cause competitive harm to Jazz Pharmaceuticals if publicly disclosed.</w:t>
      </w:r>
    </w:p>
    <w:p>
      <w:pPr>
        <w:spacing w:after="0" w:line="170" w:lineRule="exact"/>
        <w:rPr>
          <w:sz w:val="20"/>
          <w:szCs w:val="20"/>
          <w:color w:val="auto"/>
        </w:rPr>
      </w:pPr>
    </w:p>
    <w:p>
      <w:pPr>
        <w:ind w:left="580" w:right="120" w:hanging="572"/>
        <w:spacing w:after="0" w:line="221" w:lineRule="exact"/>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360" w:lineRule="exact"/>
        <w:rPr>
          <w:sz w:val="20"/>
          <w:szCs w:val="20"/>
          <w:color w:val="auto"/>
        </w:rPr>
      </w:pPr>
    </w:p>
    <w:p>
      <w:pPr>
        <w:spacing w:after="0" w:line="207" w:lineRule="exact"/>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08"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Date: February 25, 2020</w:t>
            </w:r>
          </w:p>
        </w:tc>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70"/>
        </w:trPr>
        <w:tc>
          <w:tcPr>
            <w:tcW w:w="5580" w:type="dxa"/>
            <w:vAlign w:val="bottom"/>
          </w:tcPr>
          <w:p>
            <w:pPr>
              <w:spacing w:after="0"/>
              <w:rPr>
                <w:sz w:val="23"/>
                <w:szCs w:val="23"/>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600" w:type="dxa"/>
            <w:vAlign w:val="bottom"/>
          </w:tcPr>
          <w:p>
            <w:pPr>
              <w:spacing w:after="0"/>
              <w:rPr>
                <w:sz w:val="23"/>
                <w:szCs w:val="23"/>
                <w:color w:val="auto"/>
              </w:rPr>
            </w:pPr>
          </w:p>
        </w:tc>
      </w:tr>
      <w:tr>
        <w:trPr>
          <w:trHeight w:val="270"/>
        </w:trPr>
        <w:tc>
          <w:tcPr>
            <w:tcW w:w="5580" w:type="dxa"/>
            <w:vAlign w:val="bottom"/>
          </w:tcPr>
          <w:p>
            <w:pPr>
              <w:spacing w:after="0"/>
              <w:rPr>
                <w:sz w:val="23"/>
                <w:szCs w:val="23"/>
                <w:color w:val="auto"/>
              </w:rPr>
            </w:pPr>
          </w:p>
        </w:tc>
        <w:tc>
          <w:tcPr>
            <w:tcW w:w="2200" w:type="dxa"/>
            <w:vAlign w:val="bottom"/>
          </w:tcPr>
          <w:p>
            <w:pPr>
              <w:ind w:left="1880"/>
              <w:spacing w:after="0"/>
              <w:rPr>
                <w:sz w:val="20"/>
                <w:szCs w:val="20"/>
                <w:color w:val="auto"/>
              </w:rPr>
            </w:pPr>
            <w:r>
              <w:rPr>
                <w:rFonts w:ascii="Arial" w:cs="Arial" w:eastAsia="Arial" w:hAnsi="Arial"/>
                <w:sz w:val="18"/>
                <w:szCs w:val="18"/>
                <w:color w:val="auto"/>
              </w:rPr>
              <w:t>/s/</w:t>
            </w:r>
          </w:p>
        </w:tc>
        <w:tc>
          <w:tcPr>
            <w:tcW w:w="3600" w:type="dxa"/>
            <w:vAlign w:val="bottom"/>
          </w:tcPr>
          <w:p>
            <w:pPr>
              <w:jc w:val="center"/>
              <w:ind w:right="2059"/>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55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46"/>
        </w:trPr>
        <w:tc>
          <w:tcPr>
            <w:tcW w:w="5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0" w:type="dxa"/>
            <w:vAlign w:val="bottom"/>
          </w:tcPr>
          <w:p>
            <w:pPr>
              <w:jc w:val="center"/>
              <w:ind w:right="2119"/>
              <w:spacing w:after="0" w:line="147" w:lineRule="exact"/>
              <w:rPr>
                <w:sz w:val="20"/>
                <w:szCs w:val="20"/>
                <w:color w:val="auto"/>
              </w:rPr>
            </w:pPr>
            <w:r>
              <w:rPr>
                <w:rFonts w:ascii="Arial" w:cs="Arial" w:eastAsia="Arial" w:hAnsi="Arial"/>
                <w:sz w:val="14"/>
                <w:szCs w:val="14"/>
                <w:b w:val="1"/>
                <w:bCs w:val="1"/>
                <w:color w:val="auto"/>
                <w:w w:val="92"/>
              </w:rPr>
              <w:t>Bruce C. Cozadd</w:t>
            </w:r>
          </w:p>
        </w:tc>
      </w:tr>
      <w:tr>
        <w:trPr>
          <w:trHeight w:val="149"/>
        </w:trPr>
        <w:tc>
          <w:tcPr>
            <w:tcW w:w="558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558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Executive Officer and Interim Principal Financial Officer)</w:t>
            </w:r>
          </w:p>
        </w:tc>
      </w:tr>
      <w:tr>
        <w:trPr>
          <w:trHeight w:val="633"/>
        </w:trPr>
        <w:tc>
          <w:tcPr>
            <w:tcW w:w="5580" w:type="dxa"/>
            <w:vAlign w:val="bottom"/>
          </w:tcPr>
          <w:p>
            <w:pPr>
              <w:spacing w:after="0"/>
              <w:rPr>
                <w:sz w:val="24"/>
                <w:szCs w:val="24"/>
                <w:color w:val="auto"/>
              </w:rPr>
            </w:pPr>
          </w:p>
        </w:tc>
        <w:tc>
          <w:tcPr>
            <w:tcW w:w="2200" w:type="dxa"/>
            <w:vAlign w:val="bottom"/>
          </w:tcPr>
          <w:p>
            <w:pPr>
              <w:ind w:left="2020"/>
              <w:spacing w:after="0"/>
              <w:rPr>
                <w:sz w:val="20"/>
                <w:szCs w:val="20"/>
                <w:color w:val="auto"/>
              </w:rPr>
            </w:pPr>
            <w:r>
              <w:rPr>
                <w:rFonts w:ascii="Arial" w:cs="Arial" w:eastAsia="Arial" w:hAnsi="Arial"/>
                <w:sz w:val="18"/>
                <w:szCs w:val="18"/>
                <w:color w:val="auto"/>
                <w:w w:val="83"/>
              </w:rPr>
              <w:t>/s/</w:t>
            </w:r>
          </w:p>
        </w:tc>
        <w:tc>
          <w:tcPr>
            <w:tcW w:w="3600" w:type="dxa"/>
            <w:vAlign w:val="bottom"/>
          </w:tcPr>
          <w:p>
            <w:pPr>
              <w:jc w:val="center"/>
              <w:ind w:right="2059"/>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C</w:t>
            </w:r>
            <w:r>
              <w:rPr>
                <w:rFonts w:ascii="Arial" w:cs="Arial" w:eastAsia="Arial" w:hAnsi="Arial"/>
                <w:sz w:val="14"/>
                <w:szCs w:val="14"/>
                <w:color w:val="auto"/>
                <w:w w:val="99"/>
              </w:rPr>
              <w:t>ARR</w:t>
            </w:r>
          </w:p>
        </w:tc>
      </w:tr>
      <w:tr>
        <w:trPr>
          <w:trHeight w:val="27"/>
        </w:trPr>
        <w:tc>
          <w:tcPr>
            <w:tcW w:w="55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46"/>
        </w:trPr>
        <w:tc>
          <w:tcPr>
            <w:tcW w:w="5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0" w:type="dxa"/>
            <w:vAlign w:val="bottom"/>
          </w:tcPr>
          <w:p>
            <w:pPr>
              <w:jc w:val="center"/>
              <w:ind w:right="2139"/>
              <w:spacing w:after="0" w:line="147" w:lineRule="exact"/>
              <w:rPr>
                <w:sz w:val="20"/>
                <w:szCs w:val="20"/>
                <w:color w:val="auto"/>
              </w:rPr>
            </w:pPr>
            <w:r>
              <w:rPr>
                <w:rFonts w:ascii="Arial" w:cs="Arial" w:eastAsia="Arial" w:hAnsi="Arial"/>
                <w:sz w:val="14"/>
                <w:szCs w:val="14"/>
                <w:b w:val="1"/>
                <w:bCs w:val="1"/>
                <w:color w:val="auto"/>
                <w:w w:val="98"/>
              </w:rPr>
              <w:t>Patricia Carr</w:t>
            </w:r>
          </w:p>
        </w:tc>
      </w:tr>
      <w:tr>
        <w:trPr>
          <w:trHeight w:val="149"/>
        </w:trPr>
        <w:tc>
          <w:tcPr>
            <w:tcW w:w="558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Vice President, Finance</w:t>
            </w:r>
          </w:p>
        </w:tc>
      </w:tr>
      <w:tr>
        <w:trPr>
          <w:trHeight w:val="186"/>
        </w:trPr>
        <w:tc>
          <w:tcPr>
            <w:tcW w:w="558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r>
        <w:trPr>
          <w:trHeight w:val="660"/>
        </w:trPr>
        <w:tc>
          <w:tcPr>
            <w:tcW w:w="558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89</w:t>
            </w:r>
          </w:p>
        </w:tc>
        <w:tc>
          <w:tcPr>
            <w:tcW w:w="3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5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380"/>
          </w:cols>
          <w:pgMar w:left="240" w:top="125" w:right="27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r>
      <w:tr>
        <w:trPr>
          <w:trHeight w:val="466"/>
        </w:trPr>
        <w:tc>
          <w:tcPr>
            <w:tcW w:w="9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2780" w:type="dxa"/>
            <w:vAlign w:val="bottom"/>
            <w:gridSpan w:val="4"/>
          </w:tcPr>
          <w:p>
            <w:pPr>
              <w:jc w:val="center"/>
              <w:ind w:right="10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9"/>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4"/>
              </w:rPr>
              <w:t>Bruce C. Cozadd</w:t>
            </w:r>
          </w:p>
        </w:tc>
      </w:tr>
      <w:tr>
        <w:trPr>
          <w:trHeight w:val="255"/>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3"/>
              </w:rPr>
              <w:t>/s/</w:t>
            </w:r>
          </w:p>
        </w:tc>
        <w:tc>
          <w:tcPr>
            <w:tcW w:w="2500" w:type="dxa"/>
            <w:vAlign w:val="bottom"/>
            <w:gridSpan w:val="3"/>
          </w:tcPr>
          <w:p>
            <w:pPr>
              <w:jc w:val="right"/>
              <w:ind w:right="1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ATRICIA</w:t>
            </w:r>
            <w:r>
              <w:rPr>
                <w:rFonts w:ascii="Arial" w:cs="Arial" w:eastAsia="Arial" w:hAnsi="Arial"/>
                <w:sz w:val="18"/>
                <w:szCs w:val="18"/>
                <w:color w:val="auto"/>
              </w:rPr>
              <w:t xml:space="preserve"> C</w:t>
            </w:r>
            <w:r>
              <w:rPr>
                <w:rFonts w:ascii="Arial" w:cs="Arial" w:eastAsia="Arial" w:hAnsi="Arial"/>
                <w:sz w:val="14"/>
                <w:szCs w:val="14"/>
                <w:color w:val="auto"/>
              </w:rPr>
              <w:t>ARR</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Patricia Carr</w:t>
            </w:r>
          </w:p>
        </w:tc>
      </w:tr>
      <w:tr>
        <w:trPr>
          <w:trHeight w:val="255"/>
        </w:trPr>
        <w:tc>
          <w:tcPr>
            <w:tcW w:w="90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134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L. B</w:t>
            </w:r>
            <w:r>
              <w:rPr>
                <w:rFonts w:ascii="Arial" w:cs="Arial" w:eastAsia="Arial" w:hAnsi="Arial"/>
                <w:sz w:val="14"/>
                <w:szCs w:val="14"/>
                <w:color w:val="auto"/>
                <w:w w:val="97"/>
              </w:rPr>
              <w:t>ERNS</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3"/>
              </w:rPr>
              <w:t>Paul L. Berns</w:t>
            </w:r>
          </w:p>
        </w:tc>
      </w:tr>
      <w:tr>
        <w:trPr>
          <w:trHeight w:val="255"/>
        </w:trPr>
        <w:tc>
          <w:tcPr>
            <w:tcW w:w="1120" w:type="dxa"/>
            <w:vAlign w:val="bottom"/>
            <w:gridSpan w:val="2"/>
          </w:tcPr>
          <w:p>
            <w:pPr>
              <w:ind w:left="860"/>
              <w:spacing w:after="0"/>
              <w:rPr>
                <w:sz w:val="20"/>
                <w:szCs w:val="20"/>
                <w:color w:val="auto"/>
              </w:rPr>
            </w:pPr>
            <w:r>
              <w:rPr>
                <w:rFonts w:ascii="Arial" w:cs="Arial" w:eastAsia="Arial" w:hAnsi="Arial"/>
                <w:sz w:val="18"/>
                <w:szCs w:val="18"/>
                <w:color w:val="auto"/>
              </w:rPr>
              <w:t>/s/</w:t>
            </w:r>
          </w:p>
        </w:tc>
        <w:tc>
          <w:tcPr>
            <w:tcW w:w="2780" w:type="dxa"/>
            <w:vAlign w:val="bottom"/>
            <w:gridSpan w:val="4"/>
          </w:tcPr>
          <w:p>
            <w:pPr>
              <w:jc w:val="center"/>
              <w:ind w:right="104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ATRICK</w:t>
            </w:r>
            <w:r>
              <w:rPr>
                <w:rFonts w:ascii="Arial" w:cs="Arial" w:eastAsia="Arial" w:hAnsi="Arial"/>
                <w:sz w:val="18"/>
                <w:szCs w:val="18"/>
                <w:color w:val="auto"/>
                <w:w w:val="97"/>
              </w:rPr>
              <w:t xml:space="preserve"> G. E</w:t>
            </w:r>
            <w:r>
              <w:rPr>
                <w:rFonts w:ascii="Arial" w:cs="Arial" w:eastAsia="Arial" w:hAnsi="Arial"/>
                <w:sz w:val="14"/>
                <w:szCs w:val="14"/>
                <w:color w:val="auto"/>
                <w:w w:val="97"/>
              </w:rPr>
              <w:t>NRIGHT</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8"/>
              </w:rPr>
              <w:t>Patrick G. Enright</w:t>
            </w:r>
          </w:p>
        </w:tc>
      </w:tr>
      <w:tr>
        <w:trPr>
          <w:trHeight w:val="255"/>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140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ETER</w:t>
            </w:r>
            <w:r>
              <w:rPr>
                <w:rFonts w:ascii="Arial" w:cs="Arial" w:eastAsia="Arial" w:hAnsi="Arial"/>
                <w:sz w:val="18"/>
                <w:szCs w:val="18"/>
                <w:color w:val="auto"/>
                <w:w w:val="96"/>
              </w:rPr>
              <w:t xml:space="preserve"> G</w:t>
            </w:r>
            <w:r>
              <w:rPr>
                <w:rFonts w:ascii="Arial" w:cs="Arial" w:eastAsia="Arial" w:hAnsi="Arial"/>
                <w:sz w:val="14"/>
                <w:szCs w:val="14"/>
                <w:color w:val="auto"/>
                <w:w w:val="96"/>
              </w:rPr>
              <w:t>RAY</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5"/>
              </w:rPr>
              <w:t>Peter Gray</w:t>
            </w:r>
          </w:p>
        </w:tc>
      </w:tr>
      <w:tr>
        <w:trPr>
          <w:trHeight w:val="255"/>
        </w:trPr>
        <w:tc>
          <w:tcPr>
            <w:tcW w:w="1120" w:type="dxa"/>
            <w:vAlign w:val="bottom"/>
            <w:gridSpan w:val="2"/>
          </w:tcPr>
          <w:p>
            <w:pPr>
              <w:ind w:left="800"/>
              <w:spacing w:after="0"/>
              <w:rPr>
                <w:sz w:val="20"/>
                <w:szCs w:val="20"/>
                <w:color w:val="auto"/>
              </w:rPr>
            </w:pPr>
            <w:r>
              <w:rPr>
                <w:rFonts w:ascii="Arial" w:cs="Arial" w:eastAsia="Arial" w:hAnsi="Arial"/>
                <w:sz w:val="18"/>
                <w:szCs w:val="18"/>
                <w:color w:val="auto"/>
              </w:rPr>
              <w:t>/s/</w:t>
            </w:r>
          </w:p>
        </w:tc>
        <w:tc>
          <w:tcPr>
            <w:tcW w:w="2780" w:type="dxa"/>
            <w:vAlign w:val="bottom"/>
            <w:gridSpan w:val="4"/>
          </w:tcPr>
          <w:p>
            <w:pPr>
              <w:jc w:val="right"/>
              <w:ind w:right="820"/>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EATHER</w:t>
            </w:r>
            <w:r>
              <w:rPr>
                <w:rFonts w:ascii="Arial" w:cs="Arial" w:eastAsia="Arial" w:hAnsi="Arial"/>
                <w:sz w:val="18"/>
                <w:szCs w:val="18"/>
                <w:color w:val="auto"/>
                <w:w w:val="99"/>
              </w:rPr>
              <w:t xml:space="preserve"> A</w:t>
            </w:r>
            <w:r>
              <w:rPr>
                <w:rFonts w:ascii="Arial" w:cs="Arial" w:eastAsia="Arial" w:hAnsi="Arial"/>
                <w:sz w:val="14"/>
                <w:szCs w:val="14"/>
                <w:color w:val="auto"/>
                <w:w w:val="99"/>
              </w:rPr>
              <w:t>NN</w:t>
            </w:r>
            <w:r>
              <w:rPr>
                <w:rFonts w:ascii="Arial" w:cs="Arial" w:eastAsia="Arial" w:hAnsi="Arial"/>
                <w:sz w:val="18"/>
                <w:szCs w:val="18"/>
                <w:color w:val="auto"/>
                <w:w w:val="99"/>
              </w:rPr>
              <w:t xml:space="preserve"> M</w:t>
            </w:r>
            <w:r>
              <w:rPr>
                <w:rFonts w:ascii="Arial" w:cs="Arial" w:eastAsia="Arial" w:hAnsi="Arial"/>
                <w:sz w:val="14"/>
                <w:szCs w:val="14"/>
                <w:color w:val="auto"/>
                <w:w w:val="99"/>
              </w:rPr>
              <w:t>CSHARRY</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6"/>
              </w:rPr>
              <w:t>Heather Ann McSharry</w:t>
            </w:r>
          </w:p>
        </w:tc>
      </w:tr>
      <w:tr>
        <w:trPr>
          <w:trHeight w:val="255"/>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3000" w:type="dxa"/>
            <w:vAlign w:val="bottom"/>
            <w:gridSpan w:val="5"/>
          </w:tcPr>
          <w:p>
            <w:pPr>
              <w:jc w:val="right"/>
              <w:ind w:right="1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3"/>
              </w:rPr>
              <w:t>Seamus C. Mulligan</w:t>
            </w:r>
          </w:p>
        </w:tc>
      </w:tr>
      <w:tr>
        <w:trPr>
          <w:trHeight w:val="255"/>
        </w:trPr>
        <w:tc>
          <w:tcPr>
            <w:tcW w:w="1120" w:type="dxa"/>
            <w:vAlign w:val="bottom"/>
            <w:gridSpan w:val="2"/>
          </w:tcPr>
          <w:p>
            <w:pPr>
              <w:ind w:left="820"/>
              <w:spacing w:after="0"/>
              <w:rPr>
                <w:sz w:val="20"/>
                <w:szCs w:val="20"/>
                <w:color w:val="auto"/>
              </w:rPr>
            </w:pPr>
            <w:r>
              <w:rPr>
                <w:rFonts w:ascii="Arial" w:cs="Arial" w:eastAsia="Arial" w:hAnsi="Arial"/>
                <w:sz w:val="18"/>
                <w:szCs w:val="18"/>
                <w:color w:val="auto"/>
              </w:rPr>
              <w:t>/s/</w:t>
            </w:r>
          </w:p>
        </w:tc>
        <w:tc>
          <w:tcPr>
            <w:tcW w:w="2780" w:type="dxa"/>
            <w:vAlign w:val="bottom"/>
            <w:gridSpan w:val="4"/>
          </w:tcPr>
          <w:p>
            <w:pPr>
              <w:jc w:val="center"/>
              <w:ind w:right="106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5"/>
              </w:rPr>
              <w:t>Kenneth W. O’Keefe</w:t>
            </w:r>
          </w:p>
        </w:tc>
      </w:tr>
      <w:tr>
        <w:trPr>
          <w:trHeight w:val="255"/>
        </w:trPr>
        <w:tc>
          <w:tcPr>
            <w:tcW w:w="9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2780" w:type="dxa"/>
            <w:vAlign w:val="bottom"/>
            <w:gridSpan w:val="4"/>
          </w:tcPr>
          <w:p>
            <w:pPr>
              <w:jc w:val="center"/>
              <w:ind w:right="11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O’</w:t>
            </w:r>
            <w:r>
              <w:rPr>
                <w:rFonts w:ascii="Arial" w:cs="Arial" w:eastAsia="Arial" w:hAnsi="Arial"/>
                <w:sz w:val="14"/>
                <w:szCs w:val="14"/>
                <w:color w:val="auto"/>
              </w:rPr>
              <w:t>RIORDAN</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7"/>
              </w:rPr>
              <w:t>Anne O’Riordan</w:t>
            </w:r>
          </w:p>
        </w:tc>
      </w:tr>
      <w:tr>
        <w:trPr>
          <w:trHeight w:val="255"/>
        </w:trPr>
        <w:tc>
          <w:tcPr>
            <w:tcW w:w="900" w:type="dxa"/>
            <w:vAlign w:val="bottom"/>
          </w:tcPr>
          <w:p>
            <w:pPr>
              <w:ind w:left="740"/>
              <w:spacing w:after="0"/>
              <w:rPr>
                <w:sz w:val="20"/>
                <w:szCs w:val="20"/>
                <w:color w:val="auto"/>
              </w:rPr>
            </w:pPr>
            <w:r>
              <w:rPr>
                <w:rFonts w:ascii="Arial" w:cs="Arial" w:eastAsia="Arial" w:hAnsi="Arial"/>
                <w:sz w:val="14"/>
                <w:szCs w:val="14"/>
                <w:color w:val="auto"/>
                <w:w w:val="94"/>
              </w:rPr>
              <w:t>/s/</w:t>
            </w:r>
          </w:p>
        </w:tc>
        <w:tc>
          <w:tcPr>
            <w:tcW w:w="3000" w:type="dxa"/>
            <w:vAlign w:val="bottom"/>
            <w:gridSpan w:val="5"/>
          </w:tcPr>
          <w:p>
            <w:pPr>
              <w:jc w:val="center"/>
              <w:ind w:right="820"/>
              <w:spacing w:after="0"/>
              <w:rPr>
                <w:sz w:val="20"/>
                <w:szCs w:val="20"/>
                <w:color w:val="auto"/>
              </w:rPr>
            </w:pPr>
            <w:r>
              <w:rPr>
                <w:rFonts w:ascii="Arial" w:cs="Arial" w:eastAsia="Arial" w:hAnsi="Arial"/>
                <w:sz w:val="18"/>
                <w:szCs w:val="18"/>
                <w:color w:val="auto"/>
                <w:w w:val="94"/>
              </w:rPr>
              <w:t>N</w:t>
            </w:r>
            <w:r>
              <w:rPr>
                <w:rFonts w:ascii="Arial" w:cs="Arial" w:eastAsia="Arial" w:hAnsi="Arial"/>
                <w:sz w:val="14"/>
                <w:szCs w:val="14"/>
                <w:color w:val="auto"/>
                <w:w w:val="94"/>
              </w:rPr>
              <w:t>ORBERT</w:t>
            </w:r>
            <w:r>
              <w:rPr>
                <w:rFonts w:ascii="Arial" w:cs="Arial" w:eastAsia="Arial" w:hAnsi="Arial"/>
                <w:sz w:val="18"/>
                <w:szCs w:val="18"/>
                <w:color w:val="auto"/>
                <w:w w:val="94"/>
              </w:rPr>
              <w:t xml:space="preserve"> G</w:t>
            </w:r>
            <w:r>
              <w:rPr>
                <w:rFonts w:ascii="Arial" w:cs="Arial" w:eastAsia="Arial" w:hAnsi="Arial"/>
                <w:sz w:val="14"/>
                <w:szCs w:val="14"/>
                <w:color w:val="auto"/>
                <w:w w:val="94"/>
              </w:rPr>
              <w:t>.</w:t>
            </w:r>
            <w:r>
              <w:rPr>
                <w:rFonts w:ascii="Arial" w:cs="Arial" w:eastAsia="Arial" w:hAnsi="Arial"/>
                <w:sz w:val="18"/>
                <w:szCs w:val="18"/>
                <w:color w:val="auto"/>
                <w:w w:val="94"/>
              </w:rPr>
              <w:t xml:space="preserve"> R</w:t>
            </w:r>
            <w:r>
              <w:rPr>
                <w:rFonts w:ascii="Arial" w:cs="Arial" w:eastAsia="Arial" w:hAnsi="Arial"/>
                <w:sz w:val="14"/>
                <w:szCs w:val="14"/>
                <w:color w:val="auto"/>
                <w:w w:val="94"/>
              </w:rPr>
              <w:t>IEDEL,</w:t>
            </w:r>
            <w:r>
              <w:rPr>
                <w:rFonts w:ascii="Arial" w:cs="Arial" w:eastAsia="Arial" w:hAnsi="Arial"/>
                <w:sz w:val="18"/>
                <w:szCs w:val="18"/>
                <w:color w:val="auto"/>
                <w:w w:val="94"/>
              </w:rPr>
              <w:t xml:space="preserve"> P</w:t>
            </w:r>
            <w:r>
              <w:rPr>
                <w:rFonts w:ascii="Arial" w:cs="Arial" w:eastAsia="Arial" w:hAnsi="Arial"/>
                <w:sz w:val="14"/>
                <w:szCs w:val="14"/>
                <w:color w:val="auto"/>
                <w:w w:val="94"/>
              </w:rPr>
              <w:t>H.</w:t>
            </w:r>
            <w:r>
              <w:rPr>
                <w:rFonts w:ascii="Arial" w:cs="Arial" w:eastAsia="Arial" w:hAnsi="Arial"/>
                <w:sz w:val="18"/>
                <w:szCs w:val="18"/>
                <w:color w:val="auto"/>
                <w:w w:val="94"/>
              </w:rPr>
              <w:t>D</w:t>
            </w:r>
            <w:r>
              <w:rPr>
                <w:rFonts w:ascii="Arial" w:cs="Arial" w:eastAsia="Arial" w:hAnsi="Arial"/>
                <w:sz w:val="14"/>
                <w:szCs w:val="14"/>
                <w:color w:val="auto"/>
                <w:w w:val="94"/>
              </w:rPr>
              <w:t>.</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5"/>
              </w:rPr>
              <w:t>Norbert G. Riedel, Ph.D.</w:t>
            </w:r>
          </w:p>
        </w:tc>
      </w:tr>
      <w:tr>
        <w:trPr>
          <w:trHeight w:val="255"/>
        </w:trPr>
        <w:tc>
          <w:tcPr>
            <w:tcW w:w="90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jc w:val="center"/>
              <w:ind w:right="134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LMAR</w:t>
            </w:r>
            <w:r>
              <w:rPr>
                <w:rFonts w:ascii="Arial" w:cs="Arial" w:eastAsia="Arial" w:hAnsi="Arial"/>
                <w:sz w:val="18"/>
                <w:szCs w:val="18"/>
                <w:color w:val="auto"/>
                <w:w w:val="99"/>
              </w:rPr>
              <w:t xml:space="preserve"> S</w:t>
            </w:r>
            <w:r>
              <w:rPr>
                <w:rFonts w:ascii="Arial" w:cs="Arial" w:eastAsia="Arial" w:hAnsi="Arial"/>
                <w:sz w:val="14"/>
                <w:szCs w:val="14"/>
                <w:color w:val="auto"/>
                <w:w w:val="99"/>
              </w:rPr>
              <w:t>CHNEE</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Elmar Schnee</w:t>
      </w:r>
    </w:p>
    <w:p>
      <w:pPr>
        <w:spacing w:after="0" w:line="5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ATHERINE</w:t>
      </w:r>
      <w:r>
        <w:rPr>
          <w:rFonts w:ascii="Arial" w:cs="Arial" w:eastAsia="Arial" w:hAnsi="Arial"/>
          <w:sz w:val="17"/>
          <w:szCs w:val="17"/>
          <w:color w:val="auto"/>
        </w:rPr>
        <w:t xml:space="preserve"> A. S</w:t>
      </w:r>
      <w:r>
        <w:rPr>
          <w:rFonts w:ascii="Arial" w:cs="Arial" w:eastAsia="Arial" w:hAnsi="Arial"/>
          <w:sz w:val="13"/>
          <w:szCs w:val="13"/>
          <w:color w:val="auto"/>
        </w:rPr>
        <w:t>OHN,</w:t>
      </w:r>
      <w:r>
        <w:rPr>
          <w:rFonts w:ascii="Arial" w:cs="Arial" w:eastAsia="Arial" w:hAnsi="Arial"/>
          <w:sz w:val="17"/>
          <w:szCs w:val="17"/>
          <w:color w:val="auto"/>
        </w:rPr>
        <w:t xml:space="preserve"> P</w:t>
      </w:r>
      <w:r>
        <w:rPr>
          <w:rFonts w:ascii="Arial" w:cs="Arial" w:eastAsia="Arial" w:hAnsi="Arial"/>
          <w:sz w:val="13"/>
          <w:szCs w:val="13"/>
          <w:color w:val="auto"/>
        </w:rPr>
        <w:t>HARM</w:t>
      </w: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Catherine A. Sohn, Pharm.D.</w:t>
      </w:r>
    </w:p>
    <w:p>
      <w:pPr>
        <w:spacing w:after="0" w:line="73"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Rick E Winningham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left="-279"/>
        <w:spacing w:after="0"/>
        <w:rPr>
          <w:sz w:val="20"/>
          <w:szCs w:val="20"/>
          <w:color w:val="auto"/>
        </w:rPr>
      </w:pPr>
      <w:r>
        <w:rPr>
          <w:rFonts w:ascii="Arial" w:cs="Arial" w:eastAsia="Arial" w:hAnsi="Arial"/>
          <w:sz w:val="14"/>
          <w:szCs w:val="14"/>
          <w:b w:val="1"/>
          <w:bCs w:val="1"/>
          <w:u w:val="single" w:color="auto"/>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(Duly Authorizer Officer, Principal Executive Officer and Interim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u w:val="single" w:color="auto"/>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2020</w:t>
      </w:r>
    </w:p>
    <w:p>
      <w:pPr>
        <w:spacing w:after="0" w:line="452" w:lineRule="exact"/>
        <w:rPr>
          <w:sz w:val="20"/>
          <w:szCs w:val="20"/>
          <w:color w:val="auto"/>
        </w:rPr>
      </w:pPr>
    </w:p>
    <w:p>
      <w:pPr>
        <w:sectPr>
          <w:pgSz w:w="11900" w:h="16838" w:orient="portrait"/>
          <w:cols w:equalWidth="0" w:num="3">
            <w:col w:w="3900" w:space="140"/>
            <w:col w:w="5040" w:space="720"/>
            <w:col w:w="1580"/>
          </w:cols>
          <w:pgMar w:left="240" w:top="125" w:right="279" w:bottom="1440" w:gutter="0" w:footer="0" w:header="0"/>
          <w:type w:val="continuous"/>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80"/>
          </w:cols>
          <w:pgMar w:left="240" w:top="125" w:right="27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have audited the accompanying consolidated balance sheets of Jazz Pharmaceuticals plc and subsidiaries (the “Company”) as of December 31, 2019 and 2018, the related consolidated statements of income, comprehensive income,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and the related notes and financial statement schedule at Item 15(a)2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in conformity with U.S. generally accepted accounting principles.</w:t>
      </w:r>
    </w:p>
    <w:p>
      <w:pPr>
        <w:spacing w:after="0" w:line="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the impairment analysis for the Vyxeos and Erwinaze/se intangible assets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discussed in notes 2 and 9 to the consolidated financial statements, the finite-lived intangible assets balance as of December 31, 2019 was $2.3 billion, a substantial portion of which relates to finite-lived intangible assets in respect of Vyxeos and to a lesser extent, Erwinaze/se. The Company reviews finite-lived intangible assets for impairment when events or circumstances indicate that the carrying value of such assets may not be recoverable.</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identified the assessment of the impairment analysis for the Vyxeos and Erwinaze/se intangible assets as a critical audit matter. There was a high degree of subjectivity in assessing the significant assumptions upon which the revenue forecasts are dependent, specifically the Company’s revenue growth rates for Vyxeos and supply forecasts for Erwinaze/se.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23" w:lineRule="exact"/>
        <w:rPr>
          <w:sz w:val="20"/>
          <w:szCs w:val="20"/>
          <w:color w:val="auto"/>
        </w:rPr>
      </w:pPr>
    </w:p>
    <w:p>
      <w:pPr>
        <w:ind w:left="660" w:right="180" w:hanging="324"/>
        <w:spacing w:after="0" w:line="250" w:lineRule="auto"/>
        <w:rPr>
          <w:sz w:val="20"/>
          <w:szCs w:val="20"/>
          <w:color w:val="auto"/>
        </w:rPr>
      </w:pPr>
      <w:r>
        <w:rPr>
          <w:rFonts w:ascii="Arial" w:cs="Arial" w:eastAsia="Arial" w:hAnsi="Arial"/>
          <w:sz w:val="18"/>
          <w:szCs w:val="18"/>
          <w:color w:val="auto"/>
        </w:rPr>
        <w:t>– We tested certain internal controls over the Vyxeos and Erwinaze/se intangible asset impairment review processes, including controls related to the development of the revenue growth rate assumptions for Vyxeos and supply forecast assumptions for Erwinaze/se;</w:t>
      </w:r>
    </w:p>
    <w:p>
      <w:pPr>
        <w:ind w:left="660" w:right="520" w:hanging="324"/>
        <w:spacing w:after="0" w:line="261" w:lineRule="auto"/>
        <w:rPr>
          <w:sz w:val="20"/>
          <w:szCs w:val="20"/>
          <w:color w:val="auto"/>
        </w:rPr>
      </w:pPr>
      <w:r>
        <w:rPr>
          <w:rFonts w:ascii="Arial" w:cs="Arial" w:eastAsia="Arial" w:hAnsi="Arial"/>
          <w:sz w:val="18"/>
          <w:szCs w:val="18"/>
          <w:color w:val="auto"/>
        </w:rPr>
        <w:t>– We compared the Company’s historical forecasted revenue growth rate assumptions for Vyxeos and historical supply forecast assumptions for Erwinaze/se to actual results to assess the Company’s ability to accurately forecast;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We evaluated the reasonableness of management’s revenue growth rate assumptions for Vyxeos and supply forecast assumptions for Erwinaze/se by</w:t>
      </w:r>
    </w:p>
    <w:p>
      <w:pPr>
        <w:spacing w:after="0" w:line="46" w:lineRule="exact"/>
        <w:rPr>
          <w:sz w:val="20"/>
          <w:szCs w:val="20"/>
          <w:color w:val="auto"/>
        </w:rPr>
      </w:pPr>
    </w:p>
    <w:p>
      <w:pPr>
        <w:ind w:left="660" w:right="20"/>
        <w:spacing w:after="0" w:line="250" w:lineRule="auto"/>
        <w:rPr>
          <w:sz w:val="20"/>
          <w:szCs w:val="20"/>
          <w:color w:val="auto"/>
        </w:rPr>
      </w:pPr>
      <w:r>
        <w:rPr>
          <w:rFonts w:ascii="Arial" w:cs="Arial" w:eastAsia="Arial" w:hAnsi="Arial"/>
          <w:sz w:val="18"/>
          <w:szCs w:val="18"/>
          <w:color w:val="auto"/>
        </w:rPr>
        <w:t>comparing those assumptions to (1) company-specific operational information and management’s communications to the board of directors, (2) available third-party reports on expected market share, and (3) industry reports containing analyses of the Company’s and its competitor’s products; and</w:t>
      </w:r>
    </w:p>
    <w:p>
      <w:pPr>
        <w:spacing w:after="0" w:line="1" w:lineRule="exact"/>
        <w:rPr>
          <w:sz w:val="20"/>
          <w:szCs w:val="20"/>
          <w:color w:val="auto"/>
        </w:rPr>
      </w:pPr>
    </w:p>
    <w:p>
      <w:pPr>
        <w:jc w:val="right"/>
        <w:ind w:left="660" w:right="60" w:hanging="324"/>
        <w:spacing w:after="0" w:line="323" w:lineRule="auto"/>
        <w:rPr>
          <w:sz w:val="20"/>
          <w:szCs w:val="20"/>
          <w:color w:val="auto"/>
        </w:rPr>
      </w:pPr>
      <w:r>
        <w:rPr>
          <w:rFonts w:ascii="Arial" w:cs="Arial" w:eastAsia="Arial" w:hAnsi="Arial"/>
          <w:sz w:val="16"/>
          <w:szCs w:val="16"/>
          <w:color w:val="auto"/>
        </w:rPr>
        <w:t>–   We performed sensitivity analyses over the revenue growth rate assumptions for Vyxeos and supply forecast assumptions for Erwinaze/se to assess the impact of changes to those assumptions on the Company’s determination of the carrying value of the Vyxeos and Erwinaze/se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the recoverability of U.S. and Irish deferred tax assets</w:t>
      </w:r>
    </w:p>
    <w:p>
      <w:pPr>
        <w:spacing w:after="0" w:line="1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discussed in notes 2 and 21 to the consolidated financial statements, the Company had $642.1 million of deferred tax assets as of December 31, 2019, a substantial proportion of which relates to U.S. net operating losses (NOLs) and tax credits carried forward, and differences between the financial statement carrying amounts of Irish assets and liabilities and their respective tax basis.</w:t>
      </w:r>
    </w:p>
    <w:p>
      <w:pPr>
        <w:spacing w:after="0" w:line="31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identified evaluation of the recoverability of U.S. and Irish deferred tax assets as a critical audit matter due to the subjectivity involved in assessing the Company’s forecast of sufficient future taxable income in periods where losses or tax credits are available for use. In particular, evaluating the Company’s revenue growth rate assumptions involved a high degree of auditor judgment.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185" w:lineRule="exact"/>
        <w:rPr>
          <w:sz w:val="20"/>
          <w:szCs w:val="20"/>
          <w:color w:val="auto"/>
        </w:rPr>
      </w:pPr>
    </w:p>
    <w:p>
      <w:pPr>
        <w:ind w:left="660" w:right="20" w:hanging="324"/>
        <w:spacing w:after="0" w:line="258" w:lineRule="auto"/>
        <w:rPr>
          <w:sz w:val="20"/>
          <w:szCs w:val="20"/>
          <w:color w:val="auto"/>
        </w:rPr>
      </w:pPr>
      <w:r>
        <w:rPr>
          <w:rFonts w:ascii="Arial" w:cs="Arial" w:eastAsia="Arial" w:hAnsi="Arial"/>
          <w:sz w:val="18"/>
          <w:szCs w:val="18"/>
          <w:color w:val="auto"/>
        </w:rPr>
        <w:t>– We tested certain internal controls over the Company’s deferred tax asset valuation allowance process including controls related to the development of revenue growth rate assumptions;</w:t>
      </w:r>
    </w:p>
    <w:p>
      <w:pPr>
        <w:spacing w:after="0" w:line="1" w:lineRule="exact"/>
        <w:rPr>
          <w:sz w:val="20"/>
          <w:szCs w:val="20"/>
          <w:color w:val="auto"/>
        </w:rPr>
      </w:pPr>
    </w:p>
    <w:p>
      <w:pPr>
        <w:ind w:left="660" w:right="120" w:hanging="324"/>
        <w:spacing w:after="0" w:line="250" w:lineRule="auto"/>
        <w:rPr>
          <w:sz w:val="20"/>
          <w:szCs w:val="20"/>
          <w:color w:val="auto"/>
        </w:rPr>
      </w:pPr>
      <w:r>
        <w:rPr>
          <w:rFonts w:ascii="Arial" w:cs="Arial" w:eastAsia="Arial" w:hAnsi="Arial"/>
          <w:sz w:val="18"/>
          <w:szCs w:val="18"/>
          <w:color w:val="auto"/>
        </w:rPr>
        <w:t>– We involved income tax professionals with specialized skills and knowledge, who assisted in performing a technical assessment of the Company’s tax positions, application of the relevant tax regulations and utilization of NOLs and tax credits; and</w:t>
      </w:r>
    </w:p>
    <w:p>
      <w:pPr>
        <w:ind w:left="660" w:right="420" w:hanging="324"/>
        <w:spacing w:after="0" w:line="255" w:lineRule="auto"/>
        <w:rPr>
          <w:sz w:val="20"/>
          <w:szCs w:val="20"/>
          <w:color w:val="auto"/>
        </w:rPr>
      </w:pPr>
      <w:r>
        <w:rPr>
          <w:rFonts w:ascii="Arial" w:cs="Arial" w:eastAsia="Arial" w:hAnsi="Arial"/>
          <w:sz w:val="18"/>
          <w:szCs w:val="18"/>
          <w:color w:val="auto"/>
        </w:rPr>
        <w:t>– To assess the Company’s ability to forecast, we compared the Company’s previous forecasts to actual historic outcomes and compared current assumptions to underlying calculations. We assessed the integrity of underlying calculations and we checked certain information to third party sources, including expectations of performance of certain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Accounts receivable, net of allowances of $1,296 and $534 at December 31, 2019 and 2018,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263,838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78,608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78,895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67,572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1,630,268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1,234,005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131,506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200,358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2,440,977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927,630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221,403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57,879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47,914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5,538,897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47,545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267,873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264,887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1,573,870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1,563,025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309,097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109,374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218,879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Ordinary shares, nominal value $0.0001 per share; 300,000 shares authorized; 56,140 and 57,504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 at December 31, 2019 and 2018, 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0"/>
              </w:rPr>
              <w:t>Non-voting euro deferred shares, €0.01 par value per share; 4,000 shares authorized, issued and outstanding</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at both December 31, 2019 and 2018</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2,266,026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2,113,630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1,067,815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841,050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3,110,981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2,757,422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5,538,897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031"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2,135,601</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1,869,473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1,601,399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17,294</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2,161,761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1,890,922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1,618,693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w w:val="94"/>
              </w:rPr>
              <w:t>Cost of product sales (excluding amortization of acquired developed technologies)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110,188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544,156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299,726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226,616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198,442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354,814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152,065</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1,629,387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1,276,084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1,089,851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532,374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528,842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 (benefit) and equity in loss of investees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441,117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loss of investees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523,367</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487,848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per ordinary share: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Weighted-average ordinary shares used in per share calculations - basic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60,018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57,550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61,317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447,098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487,848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174,973</w:t>
            </w: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w w:val="94"/>
              </w:rPr>
              <w:t>Unrealized gain (loss) on hedging activities, net of income tax provision (benefit) of</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($697), $289 and $212, respectively</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1,482</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176,455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497,765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390,132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664,303</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2016</w:t>
      </w:r>
    </w:p>
    <w:p>
      <w:pPr>
        <w:spacing w:after="0" w:line="113"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Issuance of Exchangeable Senior Notes</w:t>
      </w:r>
    </w:p>
    <w:p>
      <w:pPr>
        <w:spacing w:after="0" w:line="12" w:lineRule="exact"/>
        <w:rPr>
          <w:sz w:val="20"/>
          <w:szCs w:val="20"/>
          <w:color w:val="auto"/>
        </w:rPr>
      </w:pPr>
    </w:p>
    <w:p>
      <w:pPr>
        <w:ind w:left="40" w:right="100"/>
        <w:spacing w:after="0" w:line="238" w:lineRule="auto"/>
        <w:rPr>
          <w:sz w:val="20"/>
          <w:szCs w:val="20"/>
          <w:color w:val="auto"/>
        </w:rPr>
      </w:pPr>
      <w:r>
        <w:rPr>
          <w:rFonts w:ascii="Arial" w:cs="Arial" w:eastAsia="Arial" w:hAnsi="Arial"/>
          <w:sz w:val="14"/>
          <w:szCs w:val="14"/>
          <w:color w:val="auto"/>
        </w:rPr>
        <w:t>Issuance of ordinary shares in conjunction with exercise of share options</w:t>
      </w:r>
    </w:p>
    <w:p>
      <w:pPr>
        <w:spacing w:after="0" w:line="21" w:lineRule="exact"/>
        <w:rPr>
          <w:sz w:val="20"/>
          <w:szCs w:val="20"/>
          <w:color w:val="auto"/>
        </w:rPr>
      </w:pPr>
    </w:p>
    <w:p>
      <w:pPr>
        <w:ind w:left="40" w:right="140"/>
        <w:spacing w:after="0" w:line="305" w:lineRule="auto"/>
        <w:rPr>
          <w:sz w:val="20"/>
          <w:szCs w:val="20"/>
          <w:color w:val="auto"/>
        </w:rPr>
      </w:pPr>
      <w:r>
        <w:rPr>
          <w:rFonts w:ascii="Arial" w:cs="Arial" w:eastAsia="Arial" w:hAnsi="Arial"/>
          <w:sz w:val="12"/>
          <w:szCs w:val="12"/>
          <w:color w:val="auto"/>
        </w:rPr>
        <w:t>Issuance of ordinary shares under employee stock purchase plan</w:t>
      </w:r>
    </w:p>
    <w:p>
      <w:pPr>
        <w:ind w:left="40" w:right="340"/>
        <w:spacing w:after="0" w:line="264" w:lineRule="auto"/>
        <w:rPr>
          <w:sz w:val="20"/>
          <w:szCs w:val="20"/>
          <w:color w:val="auto"/>
        </w:rPr>
      </w:pPr>
      <w:r>
        <w:rPr>
          <w:rFonts w:ascii="Arial" w:cs="Arial" w:eastAsia="Arial" w:hAnsi="Arial"/>
          <w:sz w:val="13"/>
          <w:szCs w:val="13"/>
          <w:color w:val="auto"/>
        </w:rPr>
        <w:t>Issuance of ordinary shares in conjunction with vesting of restricted stock units</w:t>
      </w:r>
    </w:p>
    <w:p>
      <w:pPr>
        <w:spacing w:after="0" w:line="6" w:lineRule="exact"/>
        <w:rPr>
          <w:sz w:val="20"/>
          <w:szCs w:val="20"/>
          <w:color w:val="auto"/>
        </w:rPr>
      </w:pPr>
    </w:p>
    <w:p>
      <w:pPr>
        <w:ind w:left="40"/>
        <w:spacing w:after="0" w:line="281" w:lineRule="auto"/>
        <w:rPr>
          <w:sz w:val="20"/>
          <w:szCs w:val="20"/>
          <w:color w:val="auto"/>
        </w:rPr>
      </w:pPr>
      <w:r>
        <w:rPr>
          <w:rFonts w:ascii="Arial" w:cs="Arial" w:eastAsia="Arial" w:hAnsi="Arial"/>
          <w:sz w:val="13"/>
          <w:szCs w:val="13"/>
          <w:color w:val="auto"/>
        </w:rPr>
        <w:t>Shares withheld for payment of employee's withholding tax liability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repurchased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2017</w:t>
      </w:r>
    </w:p>
    <w:p>
      <w:pPr>
        <w:spacing w:after="0" w:line="113" w:lineRule="exact"/>
        <w:rPr>
          <w:sz w:val="20"/>
          <w:szCs w:val="20"/>
          <w:color w:val="auto"/>
        </w:rPr>
      </w:pPr>
    </w:p>
    <w:p>
      <w:pPr>
        <w:ind w:left="40" w:right="40"/>
        <w:spacing w:after="0" w:line="238" w:lineRule="auto"/>
        <w:rPr>
          <w:sz w:val="20"/>
          <w:szCs w:val="20"/>
          <w:color w:val="auto"/>
        </w:rPr>
      </w:pPr>
      <w:r>
        <w:rPr>
          <w:rFonts w:ascii="Arial" w:cs="Arial" w:eastAsia="Arial" w:hAnsi="Arial"/>
          <w:sz w:val="14"/>
          <w:szCs w:val="14"/>
          <w:color w:val="auto"/>
        </w:rPr>
        <w:t>Cumulative effect adjustment from adoption of new accounting standards</w:t>
      </w:r>
    </w:p>
    <w:p>
      <w:pPr>
        <w:spacing w:after="0" w:line="21" w:lineRule="exact"/>
        <w:rPr>
          <w:sz w:val="20"/>
          <w:szCs w:val="20"/>
          <w:color w:val="auto"/>
        </w:rPr>
      </w:pPr>
    </w:p>
    <w:p>
      <w:pPr>
        <w:ind w:left="40" w:right="100"/>
        <w:spacing w:after="0" w:line="238" w:lineRule="auto"/>
        <w:rPr>
          <w:sz w:val="20"/>
          <w:szCs w:val="20"/>
          <w:color w:val="auto"/>
        </w:rPr>
      </w:pPr>
      <w:r>
        <w:rPr>
          <w:rFonts w:ascii="Arial" w:cs="Arial" w:eastAsia="Arial" w:hAnsi="Arial"/>
          <w:sz w:val="14"/>
          <w:szCs w:val="14"/>
          <w:color w:val="auto"/>
        </w:rPr>
        <w:t>Issuance of ordinary shares in conjunction with exercise of share options</w:t>
      </w:r>
    </w:p>
    <w:p>
      <w:pPr>
        <w:spacing w:after="0" w:line="21" w:lineRule="exact"/>
        <w:rPr>
          <w:sz w:val="20"/>
          <w:szCs w:val="20"/>
          <w:color w:val="auto"/>
        </w:rPr>
      </w:pPr>
    </w:p>
    <w:p>
      <w:pPr>
        <w:ind w:left="40" w:right="140"/>
        <w:spacing w:after="0" w:line="305" w:lineRule="auto"/>
        <w:rPr>
          <w:sz w:val="20"/>
          <w:szCs w:val="20"/>
          <w:color w:val="auto"/>
        </w:rPr>
      </w:pPr>
      <w:r>
        <w:rPr>
          <w:rFonts w:ascii="Arial" w:cs="Arial" w:eastAsia="Arial" w:hAnsi="Arial"/>
          <w:sz w:val="12"/>
          <w:szCs w:val="12"/>
          <w:color w:val="auto"/>
        </w:rPr>
        <w:t>Issuance of ordinary shares under employee stock purchase plan</w:t>
      </w:r>
    </w:p>
    <w:p>
      <w:pPr>
        <w:ind w:left="40" w:right="340"/>
        <w:spacing w:after="0" w:line="264" w:lineRule="auto"/>
        <w:rPr>
          <w:sz w:val="20"/>
          <w:szCs w:val="20"/>
          <w:color w:val="auto"/>
        </w:rPr>
      </w:pPr>
      <w:r>
        <w:rPr>
          <w:rFonts w:ascii="Arial" w:cs="Arial" w:eastAsia="Arial" w:hAnsi="Arial"/>
          <w:sz w:val="13"/>
          <w:szCs w:val="13"/>
          <w:color w:val="auto"/>
        </w:rPr>
        <w:t>Issuance of ordinary shares in conjunction with vesting of restricted stock units</w:t>
      </w:r>
    </w:p>
    <w:p>
      <w:pPr>
        <w:spacing w:after="0" w:line="6" w:lineRule="exact"/>
        <w:rPr>
          <w:sz w:val="20"/>
          <w:szCs w:val="20"/>
          <w:color w:val="auto"/>
        </w:rPr>
      </w:pPr>
    </w:p>
    <w:p>
      <w:pPr>
        <w:ind w:left="40"/>
        <w:spacing w:after="0" w:line="291" w:lineRule="auto"/>
        <w:rPr>
          <w:sz w:val="20"/>
          <w:szCs w:val="20"/>
          <w:color w:val="auto"/>
        </w:rPr>
      </w:pPr>
      <w:r>
        <w:rPr>
          <w:rFonts w:ascii="Arial" w:cs="Arial" w:eastAsia="Arial" w:hAnsi="Arial"/>
          <w:sz w:val="13"/>
          <w:szCs w:val="13"/>
          <w:color w:val="auto"/>
        </w:rPr>
        <w:t>Shares withheld for payment of employee's withholding tax liability</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repurchased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4"/>
            <w:vMerge w:val="restart"/>
          </w:tcPr>
          <w:p>
            <w:pPr>
              <w:jc w:val="right"/>
              <w:ind w:right="26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8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59,820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1,665,232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(317,333)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528,907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1,877,339</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149,767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149,767</w:t>
            </w:r>
          </w:p>
        </w:tc>
        <w:tc>
          <w:tcPr>
            <w:tcW w:w="0" w:type="dxa"/>
            <w:vAlign w:val="bottom"/>
          </w:tcPr>
          <w:p>
            <w:pPr>
              <w:spacing w:after="0"/>
              <w:rPr>
                <w:sz w:val="1"/>
                <w:szCs w:val="1"/>
                <w:color w:val="auto"/>
              </w:rPr>
            </w:pPr>
          </w:p>
        </w:tc>
      </w:tr>
      <w:tr>
        <w:trPr>
          <w:trHeight w:val="500"/>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22,683</w:t>
            </w:r>
          </w:p>
        </w:tc>
        <w:tc>
          <w:tcPr>
            <w:tcW w:w="0" w:type="dxa"/>
            <w:vAlign w:val="bottom"/>
          </w:tcPr>
          <w:p>
            <w:pPr>
              <w:spacing w:after="0"/>
              <w:rPr>
                <w:sz w:val="1"/>
                <w:szCs w:val="1"/>
                <w:color w:val="auto"/>
              </w:rPr>
            </w:pPr>
          </w:p>
        </w:tc>
      </w:tr>
      <w:tr>
        <w:trPr>
          <w:trHeight w:val="351"/>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9,141</w:t>
            </w:r>
          </w:p>
        </w:tc>
        <w:tc>
          <w:tcPr>
            <w:tcW w:w="0" w:type="dxa"/>
            <w:vAlign w:val="bottom"/>
          </w:tcPr>
          <w:p>
            <w:pPr>
              <w:spacing w:after="0"/>
              <w:rPr>
                <w:sz w:val="1"/>
                <w:szCs w:val="1"/>
                <w:color w:val="auto"/>
              </w:rPr>
            </w:pPr>
          </w:p>
        </w:tc>
      </w:tr>
      <w:tr>
        <w:trPr>
          <w:trHeight w:val="500"/>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(18,589)</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107,252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107,252</w:t>
            </w:r>
          </w:p>
        </w:tc>
        <w:tc>
          <w:tcPr>
            <w:tcW w:w="0" w:type="dxa"/>
            <w:vAlign w:val="bottom"/>
          </w:tcPr>
          <w:p>
            <w:pPr>
              <w:spacing w:after="0"/>
              <w:rPr>
                <w:sz w:val="1"/>
                <w:szCs w:val="1"/>
                <w:color w:val="auto"/>
              </w:rPr>
            </w:pPr>
          </w:p>
        </w:tc>
      </w:tr>
      <w:tr>
        <w:trPr>
          <w:trHeight w:val="270"/>
        </w:trPr>
        <w:tc>
          <w:tcPr>
            <w:tcW w:w="820" w:type="dxa"/>
            <w:vAlign w:val="bottom"/>
          </w:tcPr>
          <w:p>
            <w:pPr>
              <w:jc w:val="right"/>
              <w:ind w:right="7"/>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(98,799)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(98,799)</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176,455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176,455</w:t>
            </w:r>
          </w:p>
        </w:tc>
        <w:tc>
          <w:tcPr>
            <w:tcW w:w="0" w:type="dxa"/>
            <w:vAlign w:val="bottom"/>
          </w:tcPr>
          <w:p>
            <w:pPr>
              <w:spacing w:after="0"/>
              <w:rPr>
                <w:sz w:val="1"/>
                <w:szCs w:val="1"/>
                <w:color w:val="auto"/>
              </w:rPr>
            </w:pPr>
          </w:p>
        </w:tc>
      </w:tr>
      <w:tr>
        <w:trPr>
          <w:trHeight w:val="276"/>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487,848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487,848</w:t>
            </w:r>
          </w:p>
        </w:tc>
        <w:tc>
          <w:tcPr>
            <w:tcW w:w="0" w:type="dxa"/>
            <w:vAlign w:val="bottom"/>
          </w:tcPr>
          <w:p>
            <w:pPr>
              <w:spacing w:after="0"/>
              <w:rPr>
                <w:sz w:val="1"/>
                <w:szCs w:val="1"/>
                <w:color w:val="auto"/>
              </w:rPr>
            </w:pPr>
          </w:p>
        </w:tc>
      </w:tr>
      <w:tr>
        <w:trPr>
          <w:trHeight w:val="244"/>
        </w:trPr>
        <w:tc>
          <w:tcPr>
            <w:tcW w:w="8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59,898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1,935,486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(140,878)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917,956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2,713,097</w:t>
            </w:r>
          </w:p>
        </w:tc>
        <w:tc>
          <w:tcPr>
            <w:tcW w:w="0" w:type="dxa"/>
            <w:vAlign w:val="bottom"/>
          </w:tcPr>
          <w:p>
            <w:pPr>
              <w:spacing w:after="0"/>
              <w:rPr>
                <w:sz w:val="1"/>
                <w:szCs w:val="1"/>
                <w:color w:val="auto"/>
              </w:rPr>
            </w:pPr>
          </w:p>
        </w:tc>
      </w:tr>
      <w:tr>
        <w:trPr>
          <w:trHeight w:val="500"/>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500"/>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82,918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82,918</w:t>
            </w:r>
          </w:p>
        </w:tc>
        <w:tc>
          <w:tcPr>
            <w:tcW w:w="0" w:type="dxa"/>
            <w:vAlign w:val="bottom"/>
          </w:tcPr>
          <w:p>
            <w:pPr>
              <w:spacing w:after="0"/>
              <w:rPr>
                <w:sz w:val="1"/>
                <w:szCs w:val="1"/>
                <w:color w:val="auto"/>
              </w:rPr>
            </w:pPr>
          </w:p>
        </w:tc>
      </w:tr>
      <w:tr>
        <w:trPr>
          <w:trHeight w:val="351"/>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500"/>
        </w:trPr>
        <w:tc>
          <w:tcPr>
            <w:tcW w:w="820" w:type="dxa"/>
            <w:vAlign w:val="bottom"/>
          </w:tcPr>
          <w:p>
            <w:pPr>
              <w:jc w:val="right"/>
              <w:ind w:right="47"/>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(17,925)</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102,732</w:t>
            </w:r>
          </w:p>
        </w:tc>
        <w:tc>
          <w:tcPr>
            <w:tcW w:w="0" w:type="dxa"/>
            <w:vAlign w:val="bottom"/>
          </w:tcPr>
          <w:p>
            <w:pPr>
              <w:spacing w:after="0"/>
              <w:rPr>
                <w:sz w:val="1"/>
                <w:szCs w:val="1"/>
                <w:color w:val="auto"/>
              </w:rPr>
            </w:pPr>
          </w:p>
        </w:tc>
      </w:tr>
      <w:tr>
        <w:trPr>
          <w:trHeight w:val="270"/>
        </w:trPr>
        <w:tc>
          <w:tcPr>
            <w:tcW w:w="820" w:type="dxa"/>
            <w:vAlign w:val="bottom"/>
          </w:tcPr>
          <w:p>
            <w:pPr>
              <w:jc w:val="right"/>
              <w:ind w:right="7"/>
              <w:spacing w:after="0"/>
              <w:rPr>
                <w:sz w:val="20"/>
                <w:szCs w:val="20"/>
                <w:color w:val="auto"/>
              </w:rPr>
            </w:pPr>
            <w:r>
              <w:rPr>
                <w:rFonts w:ascii="Arial" w:cs="Arial" w:eastAsia="Arial" w:hAnsi="Arial"/>
                <w:sz w:val="14"/>
                <w:szCs w:val="14"/>
                <w:color w:val="auto"/>
              </w:rPr>
              <w:t>(3,530)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(523,672)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(523,672)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(56,966)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(56,966)</w:t>
            </w:r>
          </w:p>
        </w:tc>
        <w:tc>
          <w:tcPr>
            <w:tcW w:w="0" w:type="dxa"/>
            <w:vAlign w:val="bottom"/>
          </w:tcPr>
          <w:p>
            <w:pPr>
              <w:spacing w:after="0"/>
              <w:rPr>
                <w:sz w:val="1"/>
                <w:szCs w:val="1"/>
                <w:color w:val="auto"/>
              </w:rPr>
            </w:pPr>
          </w:p>
        </w:tc>
      </w:tr>
      <w:tr>
        <w:trPr>
          <w:trHeight w:val="276"/>
        </w:trPr>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447,098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447,098</w:t>
            </w:r>
          </w:p>
        </w:tc>
        <w:tc>
          <w:tcPr>
            <w:tcW w:w="0" w:type="dxa"/>
            <w:vAlign w:val="bottom"/>
          </w:tcPr>
          <w:p>
            <w:pPr>
              <w:spacing w:after="0"/>
              <w:rPr>
                <w:sz w:val="1"/>
                <w:szCs w:val="1"/>
                <w:color w:val="auto"/>
              </w:rPr>
            </w:pPr>
          </w:p>
        </w:tc>
      </w:tr>
      <w:tr>
        <w:trPr>
          <w:trHeight w:val="244"/>
        </w:trPr>
        <w:tc>
          <w:tcPr>
            <w:tcW w:w="8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2,113,630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841,050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2,757,422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-4579620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-4185285</wp:posOffset>
            </wp:positionV>
            <wp:extent cx="724662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-3644900</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-3104515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-2761615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-2418715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-1929765</wp:posOffset>
            </wp:positionV>
            <wp:extent cx="724662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-1389380</wp:posOffset>
            </wp:positionV>
            <wp:extent cx="724662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-849630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-506095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-163195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80"/>
            <w:col w:w="924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760" w:type="dxa"/>
            <w:vAlign w:val="bottom"/>
            <w:gridSpan w:val="4"/>
            <w:vMerge w:val="restart"/>
          </w:tcPr>
          <w:p>
            <w:pPr>
              <w:jc w:val="right"/>
              <w:ind w:right="26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2,113,630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841,050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2,757,422</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9"/>
              </w:rPr>
              <w:t>Cumulative effect adjustment from</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adoption of new accounting</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standards</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ordinary shares in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 exercise of share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46,477</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Issuance of ordinary shares under</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employee stock purchase plan</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ordinary shares in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conjunction with vesting of</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Shares withheld for payment of</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w w:val="99"/>
              </w:rPr>
              <w:t>employee's withholding tax liability</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(16,739)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111,304</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Shares repurchased</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(301,450)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(301,450)</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523,367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523,367</w:t>
            </w: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1,067,815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3,110,981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523,367</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447,098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487,848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354,814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152,065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(225,591)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non-cash transactions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21,009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Operating lease liabilities, less current portion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776,401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798,904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693,087</w:t>
            </w:r>
          </w:p>
        </w:tc>
        <w:tc>
          <w:tcPr>
            <w:tcW w:w="0" w:type="dxa"/>
            <w:vAlign w:val="bottom"/>
          </w:tcPr>
          <w:p>
            <w:pPr>
              <w:spacing w:after="0"/>
              <w:rPr>
                <w:sz w:val="1"/>
                <w:szCs w:val="1"/>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maturity of investments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acquisition,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(268,950)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57,831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31,824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(98,799)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 of debt modification costs</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tenant improvement allowance on build-to-suit lease</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559,393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327,722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365,963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637,344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309,622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386,035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5580"/>
              <w:spacing w:after="0"/>
              <w:rPr>
                <w:sz w:val="20"/>
                <w:szCs w:val="20"/>
                <w:color w:val="auto"/>
              </w:rPr>
            </w:pPr>
            <w:r>
              <w:rPr>
                <w:rFonts w:ascii="Arial" w:cs="Arial" w:eastAsia="Arial" w:hAnsi="Arial"/>
                <w:sz w:val="18"/>
                <w:szCs w:val="18"/>
                <w:color w:val="auto"/>
              </w:rPr>
              <w:t>F-8</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36"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43,002</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42,706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44,609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164,217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174,124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Non-cash investing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capitalized in connection with facility lease obligations</w:t>
            </w:r>
          </w:p>
        </w:tc>
        <w:tc>
          <w:tcPr>
            <w:tcW w:w="4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27,747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40,970</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0" w:hanging="320"/>
        <w:spacing w:after="0" w:line="229" w:lineRule="auto"/>
        <w:tabs>
          <w:tab w:leader="none" w:pos="72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Xyrem</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the only product approved by the U.S. Food and Drug Administration, or FDA, and marketed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treatment of both cataplexy and excessive daytime sleepiness, or EDS, in both adult and pediatric patients with narcolepsy;</w:t>
      </w:r>
    </w:p>
    <w:p>
      <w:pPr>
        <w:spacing w:after="0" w:line="90" w:lineRule="exact"/>
        <w:rPr>
          <w:rFonts w:ascii="Arial" w:cs="Arial" w:eastAsia="Arial" w:hAnsi="Arial"/>
          <w:sz w:val="17"/>
          <w:szCs w:val="17"/>
          <w:b w:val="1"/>
          <w:bCs w:val="1"/>
          <w:color w:val="auto"/>
        </w:rPr>
      </w:pPr>
    </w:p>
    <w:p>
      <w:pPr>
        <w:ind w:left="720" w:right="260" w:hanging="320"/>
        <w:spacing w:after="0" w:line="229" w:lineRule="auto"/>
        <w:tabs>
          <w:tab w:leader="none" w:pos="72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Sunosi</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(solriamfetol)</w:t>
      </w:r>
      <w:r>
        <w:rPr>
          <w:rFonts w:ascii="Arial" w:cs="Arial" w:eastAsia="Arial" w:hAnsi="Arial"/>
          <w:sz w:val="17"/>
          <w:szCs w:val="17"/>
          <w:color w:val="auto"/>
        </w:rPr>
        <w:t>, a product approved by the FDA and marketed in the U.S. to improve wakefulness in adult patients with EDS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 narcolepsy or obstructive sleep apnea and also approved in Europe in January 2020 by the European Commission;</w:t>
      </w:r>
    </w:p>
    <w:p>
      <w:pPr>
        <w:spacing w:after="0" w:line="90" w:lineRule="exact"/>
        <w:rPr>
          <w:rFonts w:ascii="Arial" w:cs="Arial" w:eastAsia="Arial" w:hAnsi="Arial"/>
          <w:sz w:val="17"/>
          <w:szCs w:val="17"/>
          <w:b w:val="1"/>
          <w:bCs w:val="1"/>
          <w:color w:val="auto"/>
        </w:rPr>
      </w:pPr>
    </w:p>
    <w:p>
      <w:pPr>
        <w:ind w:left="720" w:right="240" w:hanging="320"/>
        <w:spacing w:after="0" w:line="214" w:lineRule="auto"/>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ind w:left="720" w:right="380" w:hanging="320"/>
        <w:spacing w:after="0" w:line="260" w:lineRule="auto"/>
        <w:tabs>
          <w:tab w:leader="none" w:pos="72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440" w:hanging="320"/>
        <w:spacing w:after="0" w:line="201" w:lineRule="auto"/>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w:t>
      </w:r>
    </w:p>
    <w:p>
      <w:pPr>
        <w:spacing w:after="0" w:line="9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In February 2020, the FDA accepted for filing with priority review the new drug application, or NDA, for lurbinectedin for the treatment of relapsed small cell lung cancer, or SCLC, a product candidate for which we recently acquired exclusive U.S. development and commercialization rights. In January 2020, we submitted an NDA to the FDA seeking marketing approval for JZP-258, an oxybate product candidate that contains 92%, or approximately 1,000 to 1,500 milligrams per day, less sodium than Xyrem, for the treatment of cataplexy and EDS in narcolepsy patients seven years of age and older. We also have in development JZP-458, a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product candidate, for the treatment of pediatric and adult patients with ALL or lymphoblastic lymphoma, or LBL,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products.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00" w:hanging="327"/>
        <w:spacing w:after="0" w:line="286"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00" w:hanging="327"/>
        <w:spacing w:after="0" w:line="30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Maximizing the value of our products and product candidates by continuing to implement our comprehensive global development plans, including through generating additional clinical data and seeking regulatory approval for new indications and new geographies.</w:t>
      </w:r>
    </w:p>
    <w:p>
      <w:pPr>
        <w:spacing w:after="0" w:line="3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or U.S. GAAP, and include the accounts of Jazz Pharmaceuticals plc and our subsidiaries and intercompany transactions and balances have been eliminated. Our consolidated financial statements include the results of operations of businesses we have acquired from the date of each acquisition for the applicable reporting periods.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February 2016, the Financial Accounting Standards Board, or FASB, issued ASU No. 2016-02. Under the new guidance, lessees are required to recognize a right-of-use asset, which represents the lessee’s right to use, or control the use of, a specified asset for the lease term, and a corresponding lease liability, which represents the lessee’s obligation to make lease payments under a lease, measured on a discounted basis. We adopted ASU No. 2016-02 on a modified retrospective basis applied to leases existing as of, or entered into after, January 1, 2019. We elected the package of practical expedients permitted under the transition guidance within the new standard, which among other things, allowed us to carry forward the historical lease classification of those leases in place as of January 1, 2019.</w:t>
      </w:r>
    </w:p>
    <w:p>
      <w:pPr>
        <w:spacing w:after="0" w:line="8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adoption of ASU No. 2016-02 resulted in the recognition of right-of-use assets and lease liabilities of $149.4 million and $162.9 million, respectively, on the consolidated balance sheet as of January 1, 2019, and the de-recognition of the build-to-suit assets and related financing obligations on the consolidated balance sheet as of December 31, 2018 of $95.4 million and $109.8 million, respectively, with the balance impacting retained earnings, deferred rent and deferred tax liabilities. The right-of-use assets and lease liabilities primarily relate to real estate leases. Refer to Note 12 for lease-related disclosures.</w:t>
      </w:r>
    </w:p>
    <w:p>
      <w:pPr>
        <w:spacing w:after="0" w:line="4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cumulative effect of the changes made to our consolidated balance sheet as of January 1, 2019 for the adoption of the ASU No. 2016-02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Balance at December</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Transition</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center"/>
              <w:ind w:right="2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(95,397)</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104,961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153,158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841,050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845,898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financial results are significantly influenced by sales of Xyrem. Our ability to maintain or increase Xyrem product sales is subject to a number of risks and uncertainties including, without limitation, the introduction of new products in the U.S. market that compete with, or otherwise disrupt the market for, Xyrem in the treatment of cataplexy and/or EDS in narcolepsy, including generic or authorized generic versions of sodium oxybate; increased pricing pressure from, changes in policies by, or restrictions on reimbursement imposed by, third party payors; challenges to our intellectual property around Xyrem; and continued acceptance of Xyrem by physicians and patients.</w:t>
      </w:r>
    </w:p>
    <w:p>
      <w:pPr>
        <w:spacing w:after="0" w:line="8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addition to risks related specifically to Xyrem, we are subject to other challenges and risks specific to our business and our ability to execute on our strategy, as well as risks and uncertainties common to companies in the pharmaceutical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 development and commercial operations, including, without limitation, risks and uncertainties associated with: obtaining regulatory approval of our late-stage product candidates and effectively commercializing our approved products such as Sunosi and, if approved, JZP-258 and lurbinectedin;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5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2019 and 2018, we had foreign exchange forward contracts with notional amounts totaling $180.9 million and $271.5 million, respectively. As of December 31, 2019 and 2018, the outstanding foreign exchange forward contracts had a net asset fair value of $2.3 million and a net liability fair value of $0.3 million, respectively. As of December 31, 2019 and 2018, we had interest rate swap contracts with notional amounts totaling $300.0 million. These outstanding interest rate swap contracts had a net liability fair value of $1.5 million and a net asset fair value of $4.1 million as of December 31, 2019 and 2018, respectively. The counterparties to these contracts are large multinational commercial banks, and we believe the risk of nonperformance is not significant.</w:t>
      </w:r>
    </w:p>
    <w:p>
      <w:pPr>
        <w:spacing w:after="0" w:line="5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2019, allowances on receivables were not material. As of December 31, 2019, two customers accounted for 89% of gross accounts receivable, Express Scripts Specialty Distribution Services, Inc. and its affiliates, or ESSDS, which accounted for 77% of gross accounts receivable, and McKesson Corporation and affiliates, or McKesson, which accounted for 12% of gross accounts receivable. As of December 31, 2018, two customers accounted for 89% of gross accounts receivable, ESSDS, which accounted for 74% of gross accounts receivable, and McKesson, which accounted for 15% of gross accounts receivable.</w:t>
      </w:r>
    </w:p>
    <w:p>
      <w:pPr>
        <w:spacing w:after="0" w:line="7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We depend on single source suppliers for most of our products, product candidates and their APIs. With respect to Xyrem, the API is manufactured for us by a single source supplier and the finished product is manufactured both by us in our facility in Athlone, Ireland and by our U.S.-based Xyrem supplier.</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1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62"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 We assess, both at inception and on an on-going basis, whether the derivative instruments that are used in cash flow hedging transactions are highly effective in offsetting the changes in cash flows of hedged items. 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 Derivatives that are not designated and do not qualify as hedges are adjusted to fair value through current earnings.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8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2019 or 2018.</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Estimated useful lives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Manufacturing equipment and machinery</w:t>
            </w:r>
          </w:p>
        </w:tc>
        <w:tc>
          <w:tcPr>
            <w:tcW w:w="4600" w:type="dxa"/>
            <w:vAlign w:val="bottom"/>
          </w:tcPr>
          <w:p>
            <w:pPr>
              <w:jc w:val="right"/>
              <w:spacing w:after="0"/>
              <w:rPr>
                <w:sz w:val="20"/>
                <w:szCs w:val="20"/>
                <w:color w:val="auto"/>
              </w:rPr>
            </w:pPr>
            <w:r>
              <w:rPr>
                <w:rFonts w:ascii="Arial" w:cs="Arial" w:eastAsia="Arial" w:hAnsi="Arial"/>
                <w:sz w:val="18"/>
                <w:szCs w:val="18"/>
                <w:color w:val="auto"/>
              </w:rPr>
              <w:t>5-10 years</w:t>
            </w:r>
          </w:p>
        </w:tc>
      </w:tr>
      <w:tr>
        <w:trPr>
          <w:trHeight w:val="27"/>
        </w:trPr>
        <w:tc>
          <w:tcPr>
            <w:tcW w:w="682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years</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6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33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Leasehold improvements are amortized over the shorter of the noncancelable term of our leases or their economic useful lives. Maintenance and repairs are expensed as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assets, other current liabilities, and operating lease liabilities on our consolidated balance sheets. Operating lease assets and operating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operating lease asset also includes any lease payments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reduced by lease incentives and increased by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62"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We have elected the short-term lease exemption and, therefore, do not recognize a right-of-use asset or corresponding liability for lease arrangements with an original term of 12 months or less. Rent expense under short-term leases is recognized on a straight-line basis over the lease term.</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test goodwill for impairment annually in October and when events or changes in circumstances indicate that the carrying value may not be recoverable.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18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revenue comprises product sales, net and royalty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79"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8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7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is amortization of acquired developed technology of $243.7 million, $201.3 million and $149.1 million in 2019, 2018 and 2017, respectively.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trial.</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$65.4 million, $37.4 million and $36.6 million in 2019,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unrecognized tax benefits are included in the income tax provision and classified with the related liability on the consolidated balance sheets.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We are currently evaluating the impact of adopting this new accounting guidance.</w:t>
      </w:r>
    </w:p>
    <w:p>
      <w:pPr>
        <w:spacing w:after="0" w:line="79" w:lineRule="exact"/>
        <w:rPr>
          <w:sz w:val="20"/>
          <w:szCs w:val="20"/>
          <w:color w:val="auto"/>
        </w:rPr>
      </w:pPr>
    </w:p>
    <w:p>
      <w:pPr>
        <w:ind w:right="380" w:firstLine="432"/>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standard is effective for us beginning January 1, 2020 and early adoption is permitted. The new guidance is not expected to have a material impact on our results of operations and financial position.</w:t>
      </w:r>
    </w:p>
    <w:p>
      <w:pPr>
        <w:spacing w:after="0" w:line="6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which simplifies the accounting for goodwill impairment by eliminating Step 2 of the current goodwill impairment test. Goodwill impairment will now be the amount by which the reporting unit’s carrying value exceeds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its fair value, limited to the carrying value of the goodwill. The standard is effective for us beginning January 1, 2020. Early adoption is permitted for any impairment tests performed after January 1, 2017. The new guidance is not expected to have a material impact on our results of operations and financial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 Acquisition, Collaborations and Disposition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August 12, 2019, we announced the acquisition of Cavion, Inc., or Cavion, a clinical-stage biotechnology company, for an upfront payment of $52.5 million with the potential for additional payments of up to $260.0 million upon the achievement of certain clinical, regulatory and commercial milestones, for a total potential consideration of $312.5 million. As a result of the acquisition, we added JZP-385, a modulator of T-type calcium channels, for the potential treatment of essential tremor, to our clinical pipeline. The acquisition of Cavion was accounted for as an asset acquisition because it did not meet the definition of a business.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total consideration for the acquisition and the value of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034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0"/>
              <w:spacing w:after="0"/>
              <w:rPr>
                <w:sz w:val="20"/>
                <w:szCs w:val="20"/>
                <w:color w:val="auto"/>
              </w:rPr>
            </w:pPr>
            <w:r>
              <w:rPr>
                <w:rFonts w:ascii="Arial" w:cs="Arial" w:eastAsia="Arial" w:hAnsi="Arial"/>
                <w:sz w:val="18"/>
                <w:szCs w:val="18"/>
                <w:color w:val="auto"/>
              </w:rPr>
              <w:t>Upfront payment for acquisition of Cavion's outstanding shares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52,500</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r>
      <w:tr>
        <w:trPr>
          <w:trHeight w:val="237"/>
        </w:trPr>
        <w:tc>
          <w:tcPr>
            <w:tcW w:w="97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55,471</w:t>
            </w:r>
          </w:p>
        </w:tc>
      </w:tr>
      <w:tr>
        <w:trPr>
          <w:trHeight w:val="67"/>
        </w:trPr>
        <w:tc>
          <w:tcPr>
            <w:tcW w:w="97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97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48,275</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7,995</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
        </w:trPr>
        <w:tc>
          <w:tcPr>
            <w:tcW w:w="9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assets acquired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55,471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firstLine="189"/>
        <w:spacing w:after="0" w:line="375" w:lineRule="auto"/>
        <w:rPr>
          <w:sz w:val="20"/>
          <w:szCs w:val="20"/>
          <w:color w:val="auto"/>
        </w:rPr>
      </w:pPr>
      <w:r>
        <w:rPr>
          <w:rFonts w:ascii="Arial" w:cs="Arial" w:eastAsia="Arial" w:hAnsi="Arial"/>
          <w:sz w:val="18"/>
          <w:szCs w:val="18"/>
          <w:color w:val="auto"/>
        </w:rPr>
        <w:t xml:space="preserve">The value attributed to in-process research and development relates to JZP-385 and was expensed as it was determined to have no alternative future use. </w:t>
      </w:r>
      <w:r>
        <w:rPr>
          <w:rFonts w:ascii="Arial" w:cs="Arial" w:eastAsia="Arial" w:hAnsi="Arial"/>
          <w:sz w:val="18"/>
          <w:szCs w:val="18"/>
          <w:b w:val="1"/>
          <w:bCs w:val="1"/>
          <w:i w:val="1"/>
          <w:iCs w:val="1"/>
          <w:color w:val="auto"/>
        </w:rPr>
        <w:t>Collaboration and License Agreement</w:t>
      </w:r>
    </w:p>
    <w:p>
      <w:pPr>
        <w:spacing w:after="0" w:line="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On January 2, 2019, we entered into a strategic collaboration agreement with Codiak BioSciences, Inc., or Codiak, focused on the research, development and commercialization of exosome therapeutics to treat cancer. Codiak granted us an exclusive, worldwide, royalty-bearing license to develop, manufacture and commercialize therapeutic candidates directed at five targets to be developed using Codiak's engEx™ precision engineering platform for exosome therapeutics.</w:t>
      </w:r>
    </w:p>
    <w:p>
      <w:pPr>
        <w:spacing w:after="0" w:line="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Under the terms of the agreement, Codiak is responsible for the execution of preclinical and early clinical development of therapeutic candidates directed at all five targets through Phase 1/2 proof of concept studies. Following the conclusion of the applicable Phase 1/2 study, we will be responsible for future development, potential regulatory submissions and commercialization for each product. Codiak has the option to participate in co-commercialization and cost/profit-sharing in the U.S. and Canada on up to two products.</w:t>
      </w:r>
    </w:p>
    <w:p>
      <w:pPr>
        <w:spacing w:after="0" w:line="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part of the agreement, we paid Codiak an upfront payment of $56.0 million in January 2019, which was recorded as acquired IPR&amp;D expense in our consolidated statements of income for the year ended December 31, 2019. Codiak is eligible to receive up to $20 million in preclinical development milestone payments. Codiak is also eligible to receive milestone payments totaling up to $200 million per target based on investigational new drug application acceptance, clinical and regulatory milestones, including approvals in the U.S., the European Union and Japan, and certain sales milestones. Codiak is also eligible to receive tiered royalties on net sales of each approved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and Option Agreement</w:t>
      </w:r>
    </w:p>
    <w:p>
      <w:pPr>
        <w:spacing w:after="0" w:line="11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In 2017, we entered into a collaboration and option agreement with ImmunoGen, Inc., or ImmunoGen, and we paid them a non-refundable upfront payment of $75.0 million, which was charged to acquired IPR&amp;D expense upon closing of the transaction.</w:t>
      </w:r>
    </w:p>
    <w:p>
      <w:pPr>
        <w:spacing w:after="0" w:line="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This agreement was amended in November 2019. Under the amended agreement we have the right to opt into an exclusive, worldwide license to develop and commercialize IMGN632, a CD123-targeted ADC for hematological malignancies, currently in Phase 1. ImmunoGen will be responsible for the development of IMGN632 prior to any potential opt-in by us. Following any opt-in, we would be responsible for any further development as well as for potential regulatory submissions and commercialization.</w:t>
      </w:r>
    </w:p>
    <w:p>
      <w:pPr>
        <w:spacing w:after="0" w:line="7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As part of the amended agreement, we will pay ImmunoGen up to $25 million in development funding. We may exercise our opt-in right at any time prior to a pivotal study or any time prior to a biologics license application upon payment of an option exercise fee. The option exercise fee depends on the timing of exercise and certain other conditions. If we elect to opt-in, ImmunoGen would be eligible to receive milestone payments based on receiving regulatory approval of the applicable product, plus tiered royalties as a percentage of commercial sales. After opt-in, we will share with ImmunoGen the costs associated with developing and obtaining regulatory approvals in the U.S. and the EU. ImmunoGen has the right to co-commercialize the product with us in the U.S. with U.S. profit-sharing in lieu of our payment of applicable U.S. milestone and royalties to ImmunoGen.</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Disposition</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On June 29, 2018, we entered into an asset purchase agreement, or APA, with TerSera Therapeutics LLC, or TerSera, pursuant to which TerSera agreed to purchase substantially all of our assets related to the manufacture, marketing and sale of Prialt, but excluding accounts receivable, and to assume certain related liabilities as set forth in the APA. We entered into an amendment to the APA, and the transaction closed, on September 27, 2018. The total sales price was $80.0 million, of which we received $50.0 million at closing and $15.0 million, less certain reimbursable expenses on December 30, 2019. We are entitled to receive a further $15.0 million, less certain reimbursable expenses payable on December 31, 2020, or earlier under certain conditions.</w:t>
      </w:r>
    </w:p>
    <w:p>
      <w:pPr>
        <w:spacing w:after="0" w:line="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related assets met the assets held for sale criteria and were reclassified to assets held for sale as of June 30, 2018. We adjusted the carrying value of the assets held for sale to fair value less costs to sell, which resulted in an impairment charge of $42.9 million in our consolidated statements of income in 2018, primarily related to the carrying balances of intangible assets. Upon closing, we recognized a loss on disposal of $0.5 million within selling, general and administrative expenses in our consolidated statements of income in 2018.</w:t>
      </w:r>
    </w:p>
    <w:p>
      <w:pPr>
        <w:spacing w:after="0" w:line="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determined that the disposal of these assets does not qualify for reporting as a discontinued operation since it does not represent a strategic shift that has or will have a major effect on our operations and financial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Available-for-Sale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and investments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4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333,172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284,172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1,077,344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1,077,344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637,344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1"/>
              </w:rPr>
              <w:t>F-18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515,000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94,016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824,622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824,622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309,622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Our investment balances represent time deposits with original maturities of greater than three months and less than one year. Interest income from available-for-sale securities was $20.5 million, $16.9 million and $4.1 million in 2019, 2018 and 2017,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Active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9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284,172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284,172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94,016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94,016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284,172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462,508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746,680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614,280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December 31, 2019,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2019 or in 2018.</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As of December 31, 2019 and 2018,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December 31, 2019, the estimated fair values of our 1.875% exchangeable senior notes due 2021, or the 2021 Notes, and our 1.50% exchangeable senior notes due 2024, or the 2024 Notes, were approximately $592 million and $579 million, respectively. The fair values of the 2021 Notes and the 2024 Notes, which we refer to together as the Exchangeable Senior Notes, were estimated using quoted market prices obtained from brokers (Level 2). The estimated fair value of our borrowings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December 31, 2019 and 2018, the interest rate swap agreements had a notional amount of $300.0 million. As a result of these agreements, the interest rate on a portion of our term loan borrowings was fixed at 1.895%, plus the borrowing spread, until July 2021.</w:t>
      </w:r>
    </w:p>
    <w:p>
      <w:pPr>
        <w:spacing w:after="0" w:line="79"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accumulated other comprehensive loss, net of tax</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0"/>
              </w:rPr>
              <w:t>Loss (gain) reclassified from accumulated other comprehensive loss to interest expense,</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1,695</w:t>
            </w:r>
          </w:p>
        </w:tc>
      </w:tr>
    </w:tbl>
    <w:p>
      <w:pPr>
        <w:spacing w:after="0" w:line="33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6"/>
          <w:szCs w:val="16"/>
          <w:color w:val="auto"/>
        </w:rPr>
        <w:t>A</w:t>
      </w:r>
      <w:r>
        <w:rPr>
          <w:rFonts w:ascii="Arial" w:cs="Arial" w:eastAsia="Arial" w:hAnsi="Arial"/>
          <w:sz w:val="18"/>
          <w:szCs w:val="18"/>
          <w:color w:val="auto"/>
        </w:rPr>
        <w:t>ssuming no change in LIBOR-based interest rates from market rates as of December 31, 2019, $0.8 million of losses recognized in accumulated other</w:t>
      </w:r>
      <w:r>
        <w:rPr>
          <w:rFonts w:ascii="Arial" w:cs="Arial" w:eastAsia="Arial" w:hAnsi="Arial"/>
          <w:sz w:val="16"/>
          <w:szCs w:val="16"/>
          <w:color w:val="auto"/>
        </w:rPr>
        <w:t xml:space="preserve"> </w:t>
      </w:r>
      <w:r>
        <w:rPr>
          <w:rFonts w:ascii="Arial" w:cs="Arial" w:eastAsia="Arial" w:hAnsi="Arial"/>
          <w:sz w:val="18"/>
          <w:szCs w:val="18"/>
          <w:color w:val="auto"/>
        </w:rPr>
        <w:t>comprehensive loss will be reclassified to earnings over the next 12 months.</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2019 and 2018, the notional amount of foreign exchange contracts where hedge accounting was not applied was $180.9 million and $271.5 million, respectively.</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foreign exchange loss in our consolidated statements of income included the following gains and losses associated with foreign exchange contracts not designated as hedging instruments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Exchange Forward Contracts: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r>
      <w:tr>
        <w:trPr>
          <w:trHeight w:val="26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17,902</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cash flow effects of our derivative contracts are included within net cash provided by operating activities in the 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outstanding derivatives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480" w:type="dxa"/>
            <w:vAlign w:val="bottom"/>
            <w:gridSpan w:val="2"/>
          </w:tcPr>
          <w:p>
            <w:pPr>
              <w:jc w:val="right"/>
              <w:ind w:right="39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20" w:type="dxa"/>
            <w:vAlign w:val="bottom"/>
            <w:gridSpan w:val="4"/>
          </w:tcPr>
          <w:p>
            <w:pPr>
              <w:ind w:left="80"/>
              <w:spacing w:after="0"/>
              <w:rPr>
                <w:sz w:val="20"/>
                <w:szCs w:val="20"/>
                <w:color w:val="auto"/>
              </w:rPr>
            </w:pPr>
            <w:r>
              <w:rPr>
                <w:rFonts w:ascii="Arial" w:cs="Arial" w:eastAsia="Arial" w:hAnsi="Arial"/>
                <w:sz w:val="18"/>
                <w:szCs w:val="18"/>
                <w:color w:val="auto"/>
                <w:w w:val="99"/>
              </w:rPr>
              <w:t>Other current assets</w:t>
            </w:r>
          </w:p>
        </w:tc>
        <w:tc>
          <w:tcPr>
            <w:tcW w:w="520" w:type="dxa"/>
            <w:vAlign w:val="bottom"/>
            <w:gridSpan w:val="2"/>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non-current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w w:val="99"/>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top w:val="single" w:sz="8" w:color="auto"/>
              <w:bottom w:val="single" w:sz="8" w:color="auto"/>
            </w:tcBorders>
            <w:gridSpan w:val="2"/>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00" w:type="dxa"/>
            <w:vAlign w:val="bottom"/>
          </w:tcPr>
          <w:p>
            <w:pPr>
              <w:spacing w:after="0"/>
              <w:rPr>
                <w:sz w:val="21"/>
                <w:szCs w:val="21"/>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7"/>
              </w:rPr>
              <w:t>Other current assets</w:t>
            </w:r>
          </w:p>
        </w:tc>
        <w:tc>
          <w:tcPr>
            <w:tcW w:w="52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Other non-current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vMerge w:val="restart"/>
          </w:tcPr>
          <w:p>
            <w:pPr>
              <w:ind w:left="74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consolidated balance sheets of offsetting our interest rate contracts and foreign exchange forward contracts subject to such provisions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20" w:type="dxa"/>
            <w:vAlign w:val="bottom"/>
          </w:tcPr>
          <w:p>
            <w:pPr>
              <w:spacing w:after="0"/>
              <w:rPr>
                <w:sz w:val="13"/>
                <w:szCs w:val="13"/>
                <w:color w:val="auto"/>
              </w:rPr>
            </w:pPr>
          </w:p>
        </w:tc>
        <w:tc>
          <w:tcPr>
            <w:tcW w:w="394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20" w:type="dxa"/>
            <w:vAlign w:val="bottom"/>
          </w:tcPr>
          <w:p>
            <w:pPr>
              <w:spacing w:after="0"/>
              <w:rPr>
                <w:sz w:val="9"/>
                <w:szCs w:val="9"/>
                <w:color w:val="auto"/>
              </w:rPr>
            </w:pPr>
          </w:p>
        </w:tc>
        <w:tc>
          <w:tcPr>
            <w:tcW w:w="1320" w:type="dxa"/>
            <w:vAlign w:val="bottom"/>
            <w:gridSpan w:val="4"/>
          </w:tcPr>
          <w:p>
            <w:pPr>
              <w:jc w:val="center"/>
              <w:ind w:right="120"/>
              <w:spacing w:after="0" w:line="111" w:lineRule="exact"/>
              <w:rPr>
                <w:sz w:val="20"/>
                <w:szCs w:val="20"/>
                <w:color w:val="auto"/>
              </w:rPr>
            </w:pPr>
            <w:r>
              <w:rPr>
                <w:rFonts w:ascii="Arial" w:cs="Arial" w:eastAsia="Arial" w:hAnsi="Arial"/>
                <w:sz w:val="12"/>
                <w:szCs w:val="12"/>
                <w:b w:val="1"/>
                <w:bCs w:val="1"/>
                <w:color w:val="auto"/>
              </w:rPr>
              <w:t>Assets/ Liabilities</w:t>
            </w:r>
          </w:p>
        </w:tc>
        <w:tc>
          <w:tcPr>
            <w:tcW w:w="2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Gross Amounts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4"/>
                <w:szCs w:val="1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Presented in the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Cash Collateral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Liabilities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Received (Pledged)</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20" w:type="dxa"/>
            <w:vAlign w:val="bottom"/>
          </w:tcPr>
          <w:p>
            <w:pPr>
              <w:spacing w:after="0"/>
              <w:rPr>
                <w:sz w:val="13"/>
                <w:szCs w:val="13"/>
                <w:color w:val="auto"/>
              </w:rPr>
            </w:pPr>
          </w:p>
        </w:tc>
        <w:tc>
          <w:tcPr>
            <w:tcW w:w="394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rPr>
              <w:t>Gross Amounts</w:t>
            </w:r>
          </w:p>
        </w:tc>
        <w:tc>
          <w:tcPr>
            <w:tcW w:w="20" w:type="dxa"/>
            <w:vAlign w:val="bottom"/>
          </w:tcPr>
          <w:p>
            <w:pPr>
              <w:spacing w:after="0"/>
              <w:rPr>
                <w:sz w:val="9"/>
                <w:szCs w:val="9"/>
                <w:color w:val="auto"/>
              </w:rPr>
            </w:pPr>
          </w:p>
        </w:tc>
        <w:tc>
          <w:tcPr>
            <w:tcW w:w="1320" w:type="dxa"/>
            <w:vAlign w:val="bottom"/>
            <w:gridSpan w:val="4"/>
          </w:tcPr>
          <w:p>
            <w:pPr>
              <w:jc w:val="center"/>
              <w:ind w:right="80"/>
              <w:spacing w:after="0" w:line="111" w:lineRule="exact"/>
              <w:rPr>
                <w:sz w:val="20"/>
                <w:szCs w:val="20"/>
                <w:color w:val="auto"/>
              </w:rPr>
            </w:pPr>
            <w:r>
              <w:rPr>
                <w:rFonts w:ascii="Arial" w:cs="Arial" w:eastAsia="Arial" w:hAnsi="Arial"/>
                <w:sz w:val="12"/>
                <w:szCs w:val="12"/>
                <w:b w:val="1"/>
                <w:bCs w:val="1"/>
                <w:color w:val="auto"/>
              </w:rPr>
              <w:t>Assets/ Liabilities</w:t>
            </w:r>
          </w:p>
        </w:tc>
        <w:tc>
          <w:tcPr>
            <w:tcW w:w="20" w:type="dxa"/>
            <w:vAlign w:val="bottom"/>
          </w:tcPr>
          <w:p>
            <w:pPr>
              <w:spacing w:after="0"/>
              <w:rPr>
                <w:sz w:val="9"/>
                <w:szCs w:val="9"/>
                <w:color w:val="auto"/>
              </w:rPr>
            </w:pPr>
          </w:p>
        </w:tc>
        <w:tc>
          <w:tcPr>
            <w:tcW w:w="394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Offset in the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Cash Collateral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3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Received (Pledged)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5,264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340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6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36,658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20,743</w:t>
            </w:r>
          </w:p>
        </w:tc>
      </w:tr>
      <w:tr>
        <w:trPr>
          <w:trHeight w:val="27"/>
        </w:trPr>
        <w:tc>
          <w:tcPr>
            <w:tcW w:w="34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28,355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21,318</w:t>
            </w: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4720" w:type="dxa"/>
            <w:vAlign w:val="bottom"/>
          </w:tcPr>
          <w:p>
            <w:pPr>
              <w:spacing w:after="0"/>
              <w:rPr>
                <w:sz w:val="20"/>
                <w:szCs w:val="20"/>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4"/>
              </w:rPr>
              <w:t>78,608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52,956</w:t>
            </w:r>
          </w:p>
        </w:tc>
      </w:tr>
      <w:tr>
        <w:trPr>
          <w:trHeight w:val="27"/>
        </w:trPr>
        <w:tc>
          <w:tcPr>
            <w:tcW w:w="34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53"/>
        </w:trPr>
        <w:tc>
          <w:tcPr>
            <w:tcW w:w="3400" w:type="dxa"/>
            <w:vAlign w:val="bottom"/>
          </w:tcPr>
          <w:p>
            <w:pPr>
              <w:spacing w:after="0"/>
              <w:rPr>
                <w:sz w:val="24"/>
                <w:szCs w:val="24"/>
                <w:color w:val="auto"/>
              </w:rPr>
            </w:pPr>
          </w:p>
        </w:tc>
        <w:tc>
          <w:tcPr>
            <w:tcW w:w="5680" w:type="dxa"/>
            <w:vAlign w:val="bottom"/>
            <w:gridSpan w:val="2"/>
          </w:tcPr>
          <w:p>
            <w:pPr>
              <w:jc w:val="right"/>
              <w:ind w:right="3119"/>
              <w:spacing w:after="0"/>
              <w:rPr>
                <w:sz w:val="20"/>
                <w:szCs w:val="20"/>
                <w:color w:val="auto"/>
              </w:rPr>
            </w:pPr>
            <w:r>
              <w:rPr>
                <w:rFonts w:ascii="Arial" w:cs="Arial" w:eastAsia="Arial" w:hAnsi="Arial"/>
                <w:sz w:val="18"/>
                <w:szCs w:val="18"/>
                <w:color w:val="auto"/>
              </w:rPr>
              <w:t>F-22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Land and buildings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46,650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equipment and machinery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25,680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19,062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8,155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Build-to-suit facility</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52,067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(49,608)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200,358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carrying amount of construction-in-progress and build-to-suit facility assets as of December 31, 2019 compared to December 31, 2018 primarily reflects the de-recognition of assets related to build-to-suit facility leases on adoption of ASU No. 2016-02.</w:t>
      </w:r>
    </w:p>
    <w:p>
      <w:pPr>
        <w:spacing w:after="0" w:line="6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Depreciation and amortization expense on property, plant and equipment amounted to $15.3 million, $15.2 million and $13.1 million for the years ended December 31, 2019,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927,630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13"/>
            <w:vMerge w:val="restart"/>
          </w:tcPr>
          <w:p>
            <w:pPr>
              <w:ind w:left="440"/>
              <w:spacing w:after="0"/>
              <w:rPr>
                <w:sz w:val="20"/>
                <w:szCs w:val="20"/>
                <w:color w:val="auto"/>
              </w:rPr>
            </w:pPr>
            <w:r>
              <w:rPr>
                <w:rFonts w:ascii="Arial" w:cs="Arial" w:eastAsia="Arial" w:hAnsi="Arial"/>
                <w:sz w:val="18"/>
                <w:szCs w:val="18"/>
                <w:color w:val="auto"/>
                <w:w w:val="90"/>
              </w:rPr>
              <w:t>The gross carrying amounts and net book values of our intangible assets were as follows (in thousands):</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000" w:type="dxa"/>
            <w:vAlign w:val="bottom"/>
            <w:gridSpan w:val="13"/>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6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Acquired developed technologies</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3,166,485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2,301,651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3,110,641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2,478,228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Priority review voucher (PRV)</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111,101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contracts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Total finite-lived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3,292,501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2,301,651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3,236,894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2,589,329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Acquired IPR&amp;D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139,326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139,326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142,005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142,005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3,431,827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2,440,977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3,378,899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increase in the gross carrying amount of intangible assets as of December 31, 2019 compared to December 31, 2018 reflects the capitalization of milestone payments triggered by FDA approval of Sunosi in March 2019 and subsequent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Drug Enforcement Agency scheduling in June 2019, partially offset by the negative impact of foreign currency translation adjustments due to the weakening of the euro against the U.S. dollar.</w:t>
      </w:r>
    </w:p>
    <w:p>
      <w:pPr>
        <w:spacing w:after="0" w:line="6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amortized the cost of the priority review voucher, or PRV, of $111.1 million in full in the fourth quarter of 2019, following the notification to the FDA of our intention to redeem it in the NDA submission for JZP-258.</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 We reduced the estimated remaining useful life of the Erwinaze intangible asset due to the receipt of a contract termination notice from Porton Biopharma Limited in February 2019. The reduction in the estimated remaining useful life increased intangible asset amortization expense by $54.9 million, reduced net income by $37.3 million, reduced basic net income per ordinary share by $0.66, and reduced diluted net income per ordinary share by $0.65 during the year ended December 31, 2019. The carrying value of the Erwinaze intangible asset as of December 31, 2019 was $136.0 million.</w:t>
      </w:r>
    </w:p>
    <w:p>
      <w:pPr>
        <w:spacing w:after="0" w:line="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Based on finite-lived intangible assets recorded as of December 31, 2019, and assuming the underlying assets will not be impaired and that we will not change the expected lives of any other assets, future amortization expenses were estimated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Estimated Amortization</w:t>
            </w:r>
          </w:p>
        </w:tc>
        <w:tc>
          <w:tcPr>
            <w:tcW w:w="0" w:type="dxa"/>
            <w:vAlign w:val="bottom"/>
          </w:tcPr>
          <w:p>
            <w:pPr>
              <w:spacing w:after="0"/>
              <w:rPr>
                <w:sz w:val="1"/>
                <w:szCs w:val="1"/>
                <w:color w:val="auto"/>
              </w:rPr>
            </w:pPr>
          </w:p>
        </w:tc>
      </w:tr>
      <w:tr>
        <w:trPr>
          <w:trHeight w:val="158"/>
        </w:trPr>
        <w:tc>
          <w:tcPr>
            <w:tcW w:w="81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center"/>
              <w:ind w:right="371"/>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251,032</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6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204,025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159,038</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6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159,038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159,038</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1,369,480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2,301,651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81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080" w:type="dxa"/>
            <w:vAlign w:val="bottom"/>
            <w:gridSpan w:val="2"/>
          </w:tcPr>
          <w:p>
            <w:pPr>
              <w:ind w:left="400"/>
              <w:spacing w:after="0"/>
              <w:rPr>
                <w:sz w:val="20"/>
                <w:szCs w:val="20"/>
                <w:color w:val="auto"/>
              </w:rPr>
            </w:pPr>
            <w:r>
              <w:rPr>
                <w:rFonts w:ascii="Arial" w:cs="Arial" w:eastAsia="Arial" w:hAnsi="Arial"/>
                <w:sz w:val="18"/>
                <w:szCs w:val="18"/>
                <w:color w:val="auto"/>
              </w:rPr>
              <w:t>Accrued liabilities consisted of the following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6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86,495</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Employee compensation and benefits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Selling and marketing accruals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Inventory-related accruals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Clinical trial accruals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construction-in-progress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Derivative instrument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loss contingency</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58,154</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7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2021 Notes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(60,910)</w:t>
            </w:r>
          </w:p>
        </w:tc>
      </w:tr>
      <w:tr>
        <w:trPr>
          <w:trHeight w:val="27"/>
        </w:trPr>
        <w:tc>
          <w:tcPr>
            <w:tcW w:w="42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536,135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514,090</w:t>
            </w:r>
          </w:p>
        </w:tc>
      </w:tr>
      <w:tr>
        <w:trPr>
          <w:trHeight w:val="318"/>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2024 Notes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(117,859)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(138,914)</w:t>
            </w:r>
          </w:p>
        </w:tc>
      </w:tr>
      <w:tr>
        <w:trPr>
          <w:trHeight w:val="27"/>
        </w:trPr>
        <w:tc>
          <w:tcPr>
            <w:tcW w:w="42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457,141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436,086</w:t>
            </w:r>
          </w:p>
        </w:tc>
      </w:tr>
      <w:tr>
        <w:trPr>
          <w:trHeight w:val="318"/>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613,981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646,236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1,607,257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1,596,412</w:t>
            </w: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1,573,870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1,563,025</w:t>
            </w:r>
          </w:p>
        </w:tc>
      </w:tr>
      <w:tr>
        <w:trPr>
          <w:trHeight w:val="20"/>
        </w:trPr>
        <w:tc>
          <w:tcPr>
            <w:tcW w:w="4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On June 18, 2015, Jazz Pharmaceuticals plc, as guarantor, and certain of our wholly owned subsidiaries, as borrowers, entered into a credit agreement, or the 2015 credit agreement, that provided for a $750.0 million principal amount term loan, which was drawn in full 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the credit agreement that we entered into in June 2012, as subsequently amended, which we refer to as the previous credit agreement, and to pay related fees and expenses. The previous credit agreement was terminated upon repayment of the term loans outstanding thereunder.</w:t>
      </w:r>
    </w:p>
    <w:p>
      <w:pPr>
        <w:spacing w:after="0" w:line="70"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On July 12, 2016, we amended the 2015 credit agreement to provide for a revolving credit facility of $1.25 billion and a $750.0 million term loan facility. We used the proceeds of $1.0 billion of loans under the revolving credit facility, together with cash on hand, to fund the acquisition of Celator Pharmaceuticals, Inc., or the Celator Acquisition.</w:t>
      </w:r>
    </w:p>
    <w:p>
      <w:pPr>
        <w:spacing w:after="0" w:line="73"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On June 7, 2018, we entered into the second amendment to the 2015 credit agreement to provide for a revolving credit facility of $1.6 billion, which replaced the existing revolving credit facility of $1.25 billion, and a new $667.7 million term loan facility, which replaced the $750.0 million term loan facility, of which $617.7 million principal amount was outstanding as of December 31, 2019. We refer to the 2015 credit agreement as amended by the first and second amendments as the amended credit agreement. We expect to use the proceeds from future loans under the revolving credit facility, if any, for permitted capital expenditures, permitted acquisitions, to provide for ongoing working capital requirements and for other general corporate purposes.</w:t>
      </w:r>
    </w:p>
    <w:p>
      <w:pPr>
        <w:spacing w:after="0" w:line="5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Under the amended credit agreement, the term loan matures on June 7, 2023 and the revolving credit facility terminates, and any loans outstanding thereunder become due and payable, on June 7, 2023.</w:t>
      </w:r>
    </w:p>
    <w:p>
      <w:pPr>
        <w:spacing w:after="0" w:line="62" w:lineRule="exact"/>
        <w:rPr>
          <w:sz w:val="20"/>
          <w:szCs w:val="20"/>
          <w:color w:val="auto"/>
        </w:rPr>
      </w:pPr>
    </w:p>
    <w:p>
      <w:pPr>
        <w:jc w:val="both"/>
        <w:ind w:right="360" w:firstLine="432"/>
        <w:spacing w:after="0" w:line="259"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1.375% to 1.750% per annum, based upon our secured leverage ratio, or (b) the prime lending rate, plus an applicable margin ranging from 0.375% to 0.750% per annum, based upon our secured leverage ratio. The revolving credit facility has a commitment fee payable on the undrawn amount ranging from 0.25% to 0.35% per annum based upon our secured leverage ratio.</w:t>
      </w:r>
    </w:p>
    <w:p>
      <w:pPr>
        <w:spacing w:after="0" w:line="79" w:lineRule="exact"/>
        <w:rPr>
          <w:sz w:val="20"/>
          <w:szCs w:val="20"/>
          <w:color w:val="auto"/>
        </w:rPr>
      </w:pPr>
    </w:p>
    <w:p>
      <w:pPr>
        <w:jc w:val="both"/>
        <w:ind w:right="360" w:firstLine="432"/>
        <w:spacing w:after="0" w:line="277" w:lineRule="auto"/>
        <w:rPr>
          <w:sz w:val="20"/>
          <w:szCs w:val="20"/>
          <w:color w:val="auto"/>
        </w:rPr>
      </w:pPr>
      <w:r>
        <w:rPr>
          <w:rFonts w:ascii="Arial" w:cs="Arial" w:eastAsia="Arial" w:hAnsi="Arial"/>
          <w:sz w:val="18"/>
          <w:szCs w:val="18"/>
          <w:color w:val="auto"/>
        </w:rPr>
        <w:t>As of December 31, 2019, the interest rate on the term loan was 3.17% and the effective interest rate was 3.66%. As of December 31, 2019, we had undrawn revolving credit facilities totaling $1.6 billion.</w:t>
      </w:r>
    </w:p>
    <w:p>
      <w:pPr>
        <w:spacing w:after="0" w:line="62"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our subsidiaries (including the issuer of the Exchangeable Senior Notes as described below) and are secured by substantially all of Jazz Pharmaceuticals plc’s, the borrowers’ and the guarantor subsidiaries’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other exceptions), (2) net cash proceeds from issuances of debt (other than certain permitted debt), and (3) casualty proceeds and condemnation awards (subject to other exceptions).</w:t>
      </w:r>
    </w:p>
    <w:p>
      <w:pPr>
        <w:spacing w:after="0" w:line="3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June 7, 2018 of $667.7 million, with any remaining balance payable on the maturity date.</w:t>
      </w:r>
    </w:p>
    <w:p>
      <w:pPr>
        <w:spacing w:after="0" w:line="6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our restricted subsidiaries to not (a) exceed a maximum secured net leverage ratio or (b) fall below a cash interest coverage ratio. As of December 31, 2019, we were in compliance with these financial covenants.</w:t>
      </w:r>
    </w:p>
    <w:p>
      <w:pPr>
        <w:spacing w:after="0" w:line="12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connection with our entry into the amendments to the 2015 credit agreement, we recorded a loss on extinguishment and modification of debt of $1.4 million in 2018.</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2024</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third quarter of 2017, we completed a private placement of $575.0 million principal amount of 2024 Notes. We used the net proceeds from this offering to repay $500.0 million in outstanding loans under the revolving credit facility and to pay related fees and expenses. We used the remainder of the net proceeds for general corporate purposes.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accounting for the issuance of the 2024 Notes, we separated the 2024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2024 Notes as a whole. The excess of the principal amount of the liability component over its carrying amount will be amortized to interest expense over the expected life of the 2024 Notes using the effective interest method with an effective interest rate of 6.8% per annum. We have determined the expected life of the 2024 Notes to be equal to the original seven-year term. The equity component is not remeasured as long as it continues to meet the conditions for equity classification. As of December 31, 2019 and 2018, the “if-converted value” did not exceed the principal amount of the 2024 Notes.</w:t>
      </w:r>
    </w:p>
    <w:p>
      <w:pPr>
        <w:spacing w:after="0" w:line="5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allocated the total issuance costs incurred of $15.6 million to the liability and equity components based on their relative values. Issuance costs attributable to the liability component will be amortized to expense over the term of the 2024 Notes, and issuance costs attributable to the equity component were included with the equity component in our shareholders’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right="320" w:firstLine="216"/>
        <w:spacing w:after="0" w:line="375" w:lineRule="auto"/>
        <w:rPr>
          <w:sz w:val="20"/>
          <w:szCs w:val="20"/>
          <w:color w:val="auto"/>
        </w:rPr>
      </w:pPr>
      <w:r>
        <w:rPr>
          <w:rFonts w:ascii="Arial" w:cs="Arial" w:eastAsia="Arial" w:hAnsi="Arial"/>
          <w:sz w:val="18"/>
          <w:szCs w:val="18"/>
          <w:color w:val="auto"/>
        </w:rPr>
        <w:t xml:space="preserve">As of December 31, 2019 and 2018, the carrying value of the equity component of the 2024 Notes, net of equity issuance costs, was $149.8 million. </w:t>
      </w:r>
      <w:r>
        <w:rPr>
          <w:rFonts w:ascii="Arial" w:cs="Arial" w:eastAsia="Arial" w:hAnsi="Arial"/>
          <w:sz w:val="18"/>
          <w:szCs w:val="18"/>
          <w:b w:val="1"/>
          <w:bCs w:val="1"/>
          <w:i w:val="1"/>
          <w:iCs w:val="1"/>
          <w:color w:val="auto"/>
        </w:rPr>
        <w:t>Exchangeable Senior Notes Due 2021</w:t>
      </w:r>
    </w:p>
    <w:p>
      <w:pPr>
        <w:spacing w:after="0" w:line="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August 2014, we completed a private placement of the 2021 Notes.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7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Jazz Pharmaceuticals plc undergoes certain fundamental changes.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7"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8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accounting for the issuance of the 2021 Notes, we separated the 2021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2021 Notes as a whole. The excess of the principal amount of the liability component over its carrying amount will be amortized to interest expense over the expected life of the 2021 Notes using the effective interest method with an effective interest rate of 6.4% per annum. We have determined the expected life of the 2021 Notes to be equal to the original seven-year term. The equity component is not remeasured as long as it continues to meet the conditions for equity classification. As of December 31, 2019 and 2018, the “if-converted value” did not exceed the principal amount of the 2021 Notes.</w:t>
      </w:r>
    </w:p>
    <w:p>
      <w:pPr>
        <w:spacing w:after="0" w:line="5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allocated the total issuance costs incurred of $16.1 million to the liability and equity components based on their relative values. Issuance costs attributable to the liability component will be amortized to expense over the term of the 2021 Notes, and issuance costs attributable to the equity component were included with the equity component in our shareholders’ equity.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2019 and 2018, the carrying value of the equity component of the 2021 Notes, net of equity issuance costs, was $126.9 million.</w:t>
      </w:r>
    </w:p>
    <w:p>
      <w:pPr>
        <w:spacing w:after="0" w:line="14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For the years ended December 31, 2019, 2018 and 2017, we recognized $59.1 million, $56.7 million and $37.8 million, respectively, in interest expense, net related to the contractual coupon rate and amortization of the debt discount on the Exchangeable Senior Notes.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90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Scheduled Long-Term Debt</w:t>
            </w:r>
          </w:p>
        </w:tc>
        <w:tc>
          <w:tcPr>
            <w:tcW w:w="0" w:type="dxa"/>
            <w:vAlign w:val="bottom"/>
          </w:tcPr>
          <w:p>
            <w:pPr>
              <w:spacing w:after="0"/>
              <w:rPr>
                <w:sz w:val="1"/>
                <w:szCs w:val="1"/>
                <w:color w:val="auto"/>
              </w:rPr>
            </w:pPr>
          </w:p>
        </w:tc>
      </w:tr>
      <w:tr>
        <w:trPr>
          <w:trHeight w:val="158"/>
        </w:trPr>
        <w:tc>
          <w:tcPr>
            <w:tcW w:w="9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Pr>
          <w:p>
            <w:pPr>
              <w:jc w:val="right"/>
              <w:ind w:right="614"/>
              <w:spacing w:after="0" w:line="158"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608,387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517,493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7"/>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1,767,654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lease expense for the year ended December 31, 2019 were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140" w:type="dxa"/>
            <w:vAlign w:val="bottom"/>
          </w:tcPr>
          <w:p>
            <w:pPr>
              <w:spacing w:after="0"/>
              <w:rPr>
                <w:sz w:val="14"/>
                <w:szCs w:val="14"/>
                <w:color w:val="auto"/>
              </w:rPr>
            </w:pPr>
          </w:p>
        </w:tc>
        <w:tc>
          <w:tcPr>
            <w:tcW w:w="1440" w:type="dxa"/>
            <w:vAlign w:val="bottom"/>
          </w:tcPr>
          <w:p>
            <w:pPr>
              <w:jc w:val="right"/>
              <w:ind w:right="35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24,923</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7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vMerge w:val="continue"/>
          </w:tcPr>
          <w:p>
            <w:pPr>
              <w:spacing w:after="0"/>
              <w:rPr>
                <w:sz w:val="16"/>
                <w:szCs w:val="16"/>
                <w:color w:val="auto"/>
              </w:rPr>
            </w:pPr>
          </w:p>
        </w:tc>
        <w:tc>
          <w:tcPr>
            <w:tcW w:w="700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assets</w:t>
            </w:r>
          </w:p>
        </w:tc>
        <w:tc>
          <w:tcPr>
            <w:tcW w:w="700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Operating lease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311"/>
        </w:trPr>
        <w:tc>
          <w:tcPr>
            <w:tcW w:w="278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000" w:type="dxa"/>
            <w:vAlign w:val="bottom"/>
            <w:gridSpan w:val="2"/>
          </w:tcPr>
          <w:p>
            <w:pPr>
              <w:ind w:left="5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000" w:type="dxa"/>
            <w:vAlign w:val="bottom"/>
            <w:gridSpan w:val="2"/>
          </w:tcPr>
          <w:p>
            <w:pPr>
              <w:ind w:left="56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6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163,954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6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vMerge w:val="continue"/>
          </w:tcPr>
          <w:p>
            <w:pPr>
              <w:spacing w:after="0"/>
              <w:rPr>
                <w:sz w:val="16"/>
                <w:szCs w:val="16"/>
                <w:color w:val="auto"/>
              </w:rPr>
            </w:pPr>
          </w:p>
        </w:tc>
        <w:tc>
          <w:tcPr>
            <w:tcW w:w="6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780" w:type="dxa"/>
            <w:vAlign w:val="bottom"/>
            <w:gridSpan w:val="3"/>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459"/>
        </w:trPr>
        <w:tc>
          <w:tcPr>
            <w:tcW w:w="2780" w:type="dxa"/>
            <w:vAlign w:val="bottom"/>
          </w:tcPr>
          <w:p>
            <w:pPr>
              <w:spacing w:after="0"/>
              <w:rPr>
                <w:sz w:val="24"/>
                <w:szCs w:val="24"/>
                <w:color w:val="auto"/>
              </w:rPr>
            </w:pPr>
          </w:p>
        </w:tc>
        <w:tc>
          <w:tcPr>
            <w:tcW w:w="7000" w:type="dxa"/>
            <w:vAlign w:val="bottom"/>
            <w:gridSpan w:val="2"/>
          </w:tcPr>
          <w:p>
            <w:pPr>
              <w:ind w:left="2760"/>
              <w:spacing w:after="0"/>
              <w:rPr>
                <w:sz w:val="20"/>
                <w:szCs w:val="20"/>
                <w:color w:val="auto"/>
              </w:rPr>
            </w:pPr>
            <w:r>
              <w:rPr>
                <w:rFonts w:ascii="Arial" w:cs="Arial" w:eastAsia="Arial" w:hAnsi="Arial"/>
                <w:sz w:val="18"/>
                <w:szCs w:val="18"/>
                <w:color w:val="auto"/>
              </w:rPr>
              <w:t>F-28</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40" w:type="dxa"/>
            <w:vAlign w:val="bottom"/>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17,066</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153,448</w:t>
            </w:r>
          </w:p>
        </w:tc>
      </w:tr>
      <w:tr>
        <w:trPr>
          <w:trHeight w:val="229"/>
        </w:trPr>
        <w:tc>
          <w:tcPr>
            <w:tcW w:w="9700" w:type="dxa"/>
            <w:vAlign w:val="bottom"/>
            <w:gridSpan w:val="4"/>
          </w:tcPr>
          <w:p>
            <w:pPr>
              <w:jc w:val="right"/>
              <w:ind w:right="7080"/>
              <w:spacing w:after="0"/>
              <w:rPr>
                <w:sz w:val="20"/>
                <w:szCs w:val="20"/>
                <w:color w:val="auto"/>
              </w:rPr>
            </w:pPr>
            <w:r>
              <w:rPr>
                <w:rFonts w:ascii="Arial" w:cs="Arial" w:eastAsia="Arial" w:hAnsi="Arial"/>
                <w:sz w:val="18"/>
                <w:szCs w:val="18"/>
                <w:color w:val="auto"/>
                <w:w w:val="89"/>
              </w:rPr>
              <w:t>_____________________________</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2"/>
          </w:tcPr>
          <w:p>
            <w:pPr>
              <w:jc w:val="right"/>
              <w:ind w:right="2860"/>
              <w:spacing w:after="0"/>
              <w:rPr>
                <w:sz w:val="20"/>
                <w:szCs w:val="20"/>
                <w:color w:val="auto"/>
              </w:rPr>
            </w:pPr>
            <w:r>
              <w:rPr>
                <w:rFonts w:ascii="Arial" w:cs="Arial" w:eastAsia="Arial" w:hAnsi="Arial"/>
                <w:sz w:val="18"/>
                <w:szCs w:val="18"/>
                <w:color w:val="auto"/>
                <w:w w:val="93"/>
              </w:rPr>
              <w:t>(1) Includes the balances recognized on January 1, 2019 on adoption of ASU No. 2016-02.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jc w:val="right"/>
              <w:ind w:right="4180"/>
              <w:spacing w:after="0"/>
              <w:rPr>
                <w:sz w:val="20"/>
                <w:szCs w:val="20"/>
                <w:color w:val="auto"/>
              </w:rPr>
            </w:pPr>
            <w:r>
              <w:rPr>
                <w:rFonts w:ascii="Arial" w:cs="Arial" w:eastAsia="Arial" w:hAnsi="Arial"/>
                <w:sz w:val="18"/>
                <w:szCs w:val="18"/>
                <w:color w:val="auto"/>
                <w:w w:val="98"/>
              </w:rPr>
              <w:t>Maturities of operating lease liabilities were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96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14"/>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21,315</w:t>
            </w:r>
          </w:p>
        </w:tc>
      </w:tr>
      <w:tr>
        <w:trPr>
          <w:trHeight w:val="243"/>
        </w:trPr>
        <w:tc>
          <w:tcPr>
            <w:tcW w:w="1720" w:type="dxa"/>
            <w:vAlign w:val="bottom"/>
            <w:gridSpan w:val="3"/>
          </w:tcPr>
          <w:p>
            <w:pPr>
              <w:ind w:left="60"/>
              <w:spacing w:after="0"/>
              <w:rPr>
                <w:sz w:val="20"/>
                <w:szCs w:val="20"/>
                <w:color w:val="auto"/>
              </w:rPr>
            </w:pPr>
            <w:r>
              <w:rPr>
                <w:rFonts w:ascii="Arial" w:cs="Arial" w:eastAsia="Arial" w:hAnsi="Arial"/>
                <w:sz w:val="18"/>
                <w:szCs w:val="18"/>
                <w:color w:val="auto"/>
              </w:rPr>
              <w:t>2021</w:t>
            </w:r>
          </w:p>
        </w:tc>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21,104</w:t>
            </w:r>
          </w:p>
        </w:tc>
      </w:tr>
      <w:tr>
        <w:trPr>
          <w:trHeight w:val="27"/>
        </w:trPr>
        <w:tc>
          <w:tcPr>
            <w:tcW w:w="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21,139</w:t>
            </w:r>
          </w:p>
        </w:tc>
      </w:tr>
      <w:tr>
        <w:trPr>
          <w:trHeight w:val="243"/>
        </w:trPr>
        <w:tc>
          <w:tcPr>
            <w:tcW w:w="1720" w:type="dxa"/>
            <w:vAlign w:val="bottom"/>
            <w:gridSpan w:val="3"/>
          </w:tcPr>
          <w:p>
            <w:pPr>
              <w:ind w:left="60"/>
              <w:spacing w:after="0"/>
              <w:rPr>
                <w:sz w:val="20"/>
                <w:szCs w:val="20"/>
                <w:color w:val="auto"/>
              </w:rPr>
            </w:pPr>
            <w:r>
              <w:rPr>
                <w:rFonts w:ascii="Arial" w:cs="Arial" w:eastAsia="Arial" w:hAnsi="Arial"/>
                <w:sz w:val="18"/>
                <w:szCs w:val="18"/>
                <w:color w:val="auto"/>
              </w:rPr>
              <w:t>2023</w:t>
            </w:r>
          </w:p>
        </w:tc>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21,508</w:t>
            </w:r>
          </w:p>
        </w:tc>
      </w:tr>
      <w:tr>
        <w:trPr>
          <w:trHeight w:val="27"/>
        </w:trPr>
        <w:tc>
          <w:tcPr>
            <w:tcW w:w="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23,857</w:t>
            </w: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104,655</w:t>
            </w: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213,578</w:t>
            </w: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(49,624)</w:t>
            </w: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163,954</w:t>
            </w: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2019 and December 31, 2018.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2019, we had $74.5 million of noncancelable purchase commitments due within one year, primarily related to agreements with third party manufacturers.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In November 2016, our board of directors authorized a share repurchase program pursuant to which we were authorized to repurchase a number of ordinary shares having an aggregate purchase price of up to $300.0 million, exclusive of any brokerage commissions. In November and December 2018, our board of directors increased the existing share repurchase program authorization by $320.0 million and $400.0 million. In October 2019, our board of directors authorized the additional repurchase of shares having an aggregate purchase price of up to $500.0 million,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2019, we spent a total of $301.5 million to repurchase 2.3 million of our ordinary shares at an average total purchase price, including brokerage commissions, of $133.97 per share. In 2018, we spent a total of $523.7 million to repurchase 3.5 million of our ordinary shares at an average total purchase price, including brokerage commissions, of $148.33 per share. All ordinary shares repurchased were canceled. As of December 31, 2019, the remaining amount authorized under the share repurchase program was $577.7 million.</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33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8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 Equity Incentive Plan</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19,552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17,729</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2007 Employee Stock Purchase Plan</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1,126</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Amended and Restated 2007 Non-Employee Directors Stock Award Plan</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Amended and Restated Directors Deferred Compensation Plan</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178</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2007 Equity Incentive Plan</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22,064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19,499</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2019 and 2018,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 (Loss)</w:t>
      </w:r>
    </w:p>
    <w:p>
      <w:pPr>
        <w:spacing w:after="0" w:line="12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Comprehensive income (loss) includes net income and all changes in shareholders’ equity during a period, except for those changes resulting from investments by shareholders or distributions to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accumulated other comprehensive loss as of December 31, 2019 and 2018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 (Loss) From</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loss, net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2019, other comprehensive loss reflects foreign currency translation adjustments, primarily due to the weakening of the euro against the U.S. dollar, and the net unrealized loss on derivatives that qualify as cash flow hedges.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Income per Ordinary Share</w:t>
      </w:r>
    </w:p>
    <w:p>
      <w:pPr>
        <w:spacing w:after="0" w:line="12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Basic net income per ordinary share attributable to Jazz Pharmaceuticals plc is based on the weighted-average number of ordinary shares outstanding. Diluted net income per ordinary share attributable to Jazz Pharmaceuticals plc is based on the weighted-average number of ordinary shares outstanding and potentially dilutive ordinary shares outstanding.</w:t>
      </w:r>
    </w:p>
    <w:p>
      <w:pPr>
        <w:spacing w:after="0" w:line="7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Basic and diluted net income per ordinary share attributable to Jazz Pharmaceuticals plc were computed as follows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523,367</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447,098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487,848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59,976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60,018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employee equity incentive and purchase plans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57,550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61,221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61,317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per ordinary share :</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per ordinary share because the average price of our ordinary shares in 2019, 2018 and 2017 did not exceed the effective exchange prices per ordinary share of the Exchangeable Senior Notes.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represents the weighted-average ordinary shares that were excluded from the computation of diluted net income attributable to Jazz Pharmaceuticals plc per ordinary share for the years presented because including them would have an anti-dilutive effect (in thousands):</w:t>
      </w:r>
    </w:p>
    <w:p>
      <w:pPr>
        <w:spacing w:after="0" w:line="192"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3,805</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Options, RSUs and ESPP</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3,333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Other Information</w:t>
      </w:r>
    </w:p>
    <w:p>
      <w:pPr>
        <w:spacing w:after="0" w:line="12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total long-lived assets by location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77,237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171,079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126,941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270,891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200,358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 w:hanging="496"/>
        <w:spacing w:after="0"/>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and operating lease assets.</w:t>
      </w:r>
    </w:p>
    <w:p>
      <w:pPr>
        <w:spacing w:after="0" w:line="314"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1,642,525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1,404,866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1,186,699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177,465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174,739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197,340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Vyxeos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33,790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49,920</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2,135,601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1,601,399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17,294</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2,161,761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1,618,693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1,463,457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150,201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125,911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125,624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29,612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2,161,761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1,890,922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1,618,693</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350"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23495</wp:posOffset>
            </wp:positionV>
            <wp:extent cx="3267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auto"/>
              </w:rPr>
              <w:t>2017</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ESSDS</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McKesson</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payment terms vary by the type and location of our customer but payment is generally required in a term ranging from 30 to 45 days.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deferred revenue balance as of December 31, 2019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$5.4 million in 2019 relating to these upfront payments. The deferred revenue balances are being recognized over an average of four years representing the period we expect to perform our research and developments obligations under each agreement.</w:t>
      </w:r>
    </w:p>
    <w:p>
      <w:pPr>
        <w:spacing w:after="0" w:line="8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year ended December 31, 2019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Contract Liabilities</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(5,414)</w:t>
            </w:r>
          </w:p>
        </w:tc>
      </w:tr>
      <w:tr>
        <w:trPr>
          <w:trHeight w:val="27"/>
        </w:trPr>
        <w:tc>
          <w:tcPr>
            <w:tcW w:w="9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9,581</w:t>
            </w:r>
          </w:p>
        </w:tc>
      </w:tr>
      <w:tr>
        <w:trPr>
          <w:trHeight w:val="20"/>
        </w:trPr>
        <w:tc>
          <w:tcPr>
            <w:tcW w:w="9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2019, a total of 27,012,330 of our ordinary shares had been authorized for issuance under the 2011 Plan. In addition, the share reserve under the 2011 Plan will automatically increase on January 1 of each year through January 1, 2022, by the least of (a) 4.5% of the total number of ordinary shares outstanding on December 31 of the preceding calendar year, (b) 5,000,000 shares, or (c) such lesser number of ordinary shares as determined by our board of directors. On January 1, 2020, the share reserve under the 2011 Plan automatically increased by 2,526,341 ordinary shares pursuant to this provision.</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11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stock options, RSUs, stock appreciation rights, performance stock awards and other forms of equity compensation to employees, including officers, non-employee directors and consultants. Prior to the consummation of the Azur Merger, all of the grants under the 2007 Plan were granted to employees and vest ratably over service periods of three to five years and expire no more than 10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years after the date of grant. Effective as of the closing of the Azur Merger on January 18, 2012, the number of shares reserved for issuance under the 2007 Plan was set to 1,000,000 ordinary shares. The share reserve under the 2007 Plan will not automatically increase. Since the Azur Merger, all of the new grants under the 2007 Plan were granted to non-employee directors, vest ratably over service periods of one to three years and expire no more than 10 years after the date of grant. The 2007 Plan expired in April 2017, and accordingly, no new grants can be awarded under the 2007 Plan. As of December 31, 2019, the number of shares reserved represents issuable shares from options granted but not yet exercised under the 2007 Plan.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2019, a total of 4,421,024 of our ordinary shares had been authorized for issuance under the ESPP. The share reserve under the ESPP will automatically increase on January 1 of each year through January 1, 2022, by the least of (a) 1.5% of the total number of ordinary shares outstanding on December 31 of the preceding calendar year, (b) 1,000,000 shares, and (c) such lesser number of ordinary shares as determined by our board of directors or a duly-authorized committee thereof. On January 1, 2020, the share reserve under the ESPP automatically increased by 842,113 ordinary shares pursuant to this provision.</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Award Plan</w:t>
      </w:r>
    </w:p>
    <w:p>
      <w:pPr>
        <w:spacing w:after="0" w:line="117"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The Amended and Restated 2007 Non-Employee Directors Stock Award Plan, or 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addition, the 2007 Directors Award Plan provides the source of shares to fund distributions made prior to August 15, 2010 under the Directors Deferred Compensation Plan described below.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As of December 31, 2019, a total of 903,938 of our ordinary shares had been authorized for issuance under the 2007 Directors Award Plan.</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 (i) reserved under the 2007 Directors Option Plan prior to August 15, 2010 and (ii) from a new reserve of 200,000 shares set up under the Directors Deferred Plan on August 15, 2010.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the consummation of the Azur Merger we have not permitted non-employee directors to defer any annual retainer fees under the Directors Deferred Plan. On October 31, 2019, our board of directors approved the termination of the Directors Deferred Plan, and all outstanding phantom stock will be distributed to each applicable non-employee director in November 2020. We recorded no expense in 2019, 2018 and 2017 related to retainer fees earned and deferred. As of December 31, 2019, 14,499 of our ordinary shares that were unissued related to retainer fees that were deferred under the Directors Deferred Plan.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table below shows, for all share option grants, the weighted-average assumptions used in the Black-Scholes option pricing model and the resulting weighted-average grant date fair value of share options granted in each of the past three years: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42.72</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1.6-2.1%</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73"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17,870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5,812</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110,563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102,441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106,900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share-based compensation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94,851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85,211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85,108</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right="940" w:firstLine="432"/>
        <w:spacing w:after="0" w:line="277" w:lineRule="auto"/>
        <w:rPr>
          <w:sz w:val="20"/>
          <w:szCs w:val="20"/>
          <w:color w:val="auto"/>
        </w:rPr>
      </w:pPr>
      <w:r>
        <w:rPr>
          <w:rFonts w:ascii="Arial" w:cs="Arial" w:eastAsia="Arial" w:hAnsi="Arial"/>
          <w:sz w:val="18"/>
          <w:szCs w:val="18"/>
          <w:color w:val="auto"/>
        </w:rPr>
        <w:t>We recognized income tax benefits related to share option exercises of $5.1 million, $7.7 million and $8.9 million in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2019 and activity during 2019 related to our share option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3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5,280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127.08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139.56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159.59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5,834</w:t>
            </w:r>
          </w:p>
        </w:tc>
        <w:tc>
          <w:tcPr>
            <w:tcW w:w="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131.57</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127,778</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December 31, 2019</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5,553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131.15</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124,884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3,402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102,366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$26.2 million, $43.4 million and $38.9 million during 2019, 2018 and 2017, respectively. We issued new ordinary shares upon exercise of share options.</w:t>
      </w:r>
    </w:p>
    <w:p>
      <w:pPr>
        <w:spacing w:after="0" w:line="7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December 31, 2019, total compensation cost not yet recognized related to unvested share options was $80.1 million, which is expected to be recognized over a weighted-average period of 2.6 years.</w:t>
      </w:r>
    </w:p>
    <w:p>
      <w:pPr>
        <w:spacing w:after="0" w:line="6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2019, total compensation cost not yet recognized related to grants under the ESPP was $4.6 million, which is expected to be recognized over a weighted-average period of 1.0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2019, we granted RSUs covering an equal number of our ordinary shares to employees with a weighted-average grant date fair value of $138.11. The fair value of RSUs is determined on the date of grant based on the market price of our ordinary shares as of that date. The fair value of the RSUs is recognized as an expense ratably over the vesting period of four years. In 2019, 391,000 RSUs were released with 265,000 ordinary shares issued and 126,000 ordinary shares withheld for tax purposes. The total fair value of shares vested was $52.0 million, $55.8 million and $53.2 million during 2019, 2018 and 2017, respectively.</w:t>
      </w:r>
    </w:p>
    <w:p>
      <w:pPr>
        <w:spacing w:after="0" w:line="8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2019, total compensation cost not yet recognized related to unvested RSUs was $101.0 million, which is expected to be recognized over a weighted-average period of 2.5 years.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2019 and activity during 2019 related to our RSUs: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 of RSUs (in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Grant-Date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RSUs 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released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144.34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RSUs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140.76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1,181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139.32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176,158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operate a number of defined contribution retirement plans. The costs of these plans are charged to the consolidated statements of income in the period they are incurred. We recorded expense related to our defined contribution plans of $8.2 million, $6.4 million and $5.5 million in 2019, 2018 and 2017, respectively. In Ireland, we operate a defined contribution plan in which we contribute up to 8% of an employee’s eligible earnings. We recorded expense of $1.3 million, $1.2 million and $1.0 million in 2019, 2018 and 2017, respectively, in connection with the contributions we made under the Irish defined contribution plan. In the U.S., we provide a qualified 401(k) savings plan for our U.S.-based employees. All U.S.-based employees are eligible to participate, provided they meet the requirements of the plan. We match certain employee contributions under the 401(k) savings plan. We recorded expense of $5.0 million, $4.2 million and $3.7 million in 2019, 2018 and 2017, respectively. In the United Kingdom, or UK, we operate a defined contribution plan in which we contribute up to 12% of an employee’s eligible earnings. We recorded expense of $1.1 million, $0.8 million and $0.7 million in 2019, 2018 and 2017, respectively, in connection with contributions we made under the UK defined contribution plan. In France, we operate a defined contribution plan in which we contribute up to 14% of an employee’s eligible earnings. We recorded expense of $0.6 million, $0.4 million and $0.3 million in 2019, 2018 and 2017, respectively, in connection with the contributions we made under the French defined contribution plan. In France, we also accrue for a potential liability which is payable if an employee leaves employment. The accrued liability for France was $0.6 million as of December 31, 2019 and $0.4 million as of December 31, 2018. In Italy, we accrue for a potential liability which is payable if an employee leaves employment. The accrued liability for Italy was $0.3 million as of December 31, 2019 and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the income tax provision (benefit) and equity in loss of investees were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3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170,666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77,476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317,728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294,621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271,440</w:t>
            </w: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143,025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92,201</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w:t>
            </w:r>
          </w:p>
        </w:tc>
        <w:tc>
          <w:tcPr>
            <w:tcW w:w="3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454,302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529,463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441,117</w:t>
            </w:r>
          </w:p>
        </w:tc>
      </w:tr>
      <w:tr>
        <w:trPr>
          <w:trHeight w:val="20"/>
        </w:trPr>
        <w:tc>
          <w:tcPr>
            <w:tcW w:w="3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3280" w:type="dxa"/>
            <w:vAlign w:val="bottom"/>
          </w:tcPr>
          <w:p>
            <w:pPr>
              <w:spacing w:after="0"/>
              <w:rPr>
                <w:sz w:val="24"/>
                <w:szCs w:val="24"/>
                <w:color w:val="auto"/>
              </w:rPr>
            </w:pPr>
          </w:p>
        </w:tc>
        <w:tc>
          <w:tcPr>
            <w:tcW w:w="3500" w:type="dxa"/>
            <w:vAlign w:val="bottom"/>
            <w:gridSpan w:val="2"/>
          </w:tcPr>
          <w:p>
            <w:pPr>
              <w:jc w:val="right"/>
              <w:ind w:right="810"/>
              <w:spacing w:after="0"/>
              <w:rPr>
                <w:sz w:val="20"/>
                <w:szCs w:val="20"/>
                <w:color w:val="auto"/>
              </w:rPr>
            </w:pPr>
            <w:r>
              <w:rPr>
                <w:rFonts w:ascii="Arial" w:cs="Arial" w:eastAsia="Arial" w:hAnsi="Arial"/>
                <w:sz w:val="18"/>
                <w:szCs w:val="18"/>
                <w:color w:val="auto"/>
              </w:rPr>
              <w:t>F-37</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details of the income tax provision (benefit)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Ireland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51,696</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33,431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28,045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135,608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14,198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168,977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177,851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 exclusive of other components below</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(27,559)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deferred, exclusive of other components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(66,376)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change in tax rates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(155,679)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deferred, change in tax rates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(159,215)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(225,591)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income tax provision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80,162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(47,740)</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December 22, 2017, the U.S. Tax Cuts and Jobs Act, or U.S. Tax Act, was signed into law. The legislation significantly changed U.S. tax law by, among other things, lowering corporate income tax rates, implementing a modified territorial tax system, imposing a one-time transition tax on deemed repatriated earnings of foreign subsidiaries and changing the rules which determine whether a U.S. person is a U.S. shareholder of a controlled foreign corporation, for 2017 and onwards. The U.S. Tax Act reduced the U.S. corporate income tax rate from a maximum of 35% to a flat 21% rate, effective January 1, 2018. It also included two new U.S. tax base erosion provisions, the global intangible low-taxed income, or GILTI, provisions and the base-erosion and anti-abuse tax, or BEAT, provisions. The GILTI provisions require us to include in our U.S. income tax return foreign subsidiary earnings in excess of an allowable return on the foreign subsidiary’s tangible assets. The GILTI tax expenses recognized in our consolidated statements of income in 2019 and 2018 were not significant. The Company elects to account for tax expenses associated with the GILTI provisions in the period they are incurred. The BEAT provisions in the U.S. Tax Act eliminate the deduction of certain base-erosion payments made to related foreign corporations, and impose a minimum tax if greater than regular tax. The Company was not subject to BEAT in 2019 or 2018.</w:t>
      </w:r>
    </w:p>
    <w:p>
      <w:pPr>
        <w:spacing w:after="0" w:line="7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use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in the U.S. federal income tax rate from 35% to 21% under the U.S. Tax Act, we remeasured our net deferred tax liabilities as of December 22, 2017 and recognized a $155.1 million income tax benefit in our consolidated statement of income in 2017.</w:t>
      </w:r>
    </w:p>
    <w:p>
      <w:pPr>
        <w:spacing w:after="0" w:line="5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income tax benefit of $73.2 million and $47.7 million in 2019 and 2017, respectively, and our income tax provision of $80.2 million in 2018 related to tax arising on income in Ireland, the U.S. and certain other foreign jurisdictions, certain unrecognized tax benefits and various expenses not deductible for income tax purposes. The income tax benefit in 2019 includes a discrete tax benefit of $112.3 million resulting from an intra-entity intellectual property asset transfer. The tax benefit, which represents a deferred future benefit, was recorded as a deferred tax asset. The income tax benefit in 2017 included a provisional benefit of $148.8 million relating to the impact of the enactment of the U.S Tax Act.</w:t>
      </w:r>
    </w:p>
    <w:p>
      <w:pPr>
        <w:spacing w:after="0" w:line="6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effective tax rates for 2019, 2018 and 2017 were (16.1)%, 15.1% and (10.8)%, respectively. The effective tax rate for 2019 was lower than the Irish statutory rate of 12.5% primarily due to the impact of the intra-entity intellectual property asset transfer. The effective tax rates for 2018 was higher than the Irish statutory rate of 12.5%, primarily due to income taxable at a rate higher than the Irish statutory rate and unrecognized tax benefits, partially offset by the release of reserves related to unrecognized tax benefits from the expiration of a statute of limitation, originating tax credits and the release of a valuation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allowance held against certain foreign net operating losses, or NOLs. The effective tax rate for 2017 was lower than the Irish statutory rate of 12.5%, primarily due to the impact of the enactment of the U.S. Tax Act. The decrease in the effective tax rate in 2019 compared to 2018 was primarily due to the impact of the intra-entity intellectual property asset transfer. Excluding this effect, the decrease in the effective tax rate in 2019 compared to 2018 was primarily due to the benefit from the application of the Italian patent box incentive regime for 2015 through 2019. The increase in the effective tax rate in 2018 compared to 2017 was primarily due to the impact of the enactment of the U.S. Tax Act in 2017. Excluding this effect, the effective tax rate in 2018 decreased compared to 2017, primarily due to a decrease in the U.S. corporate income tax rate.</w:t>
      </w:r>
    </w:p>
    <w:p>
      <w:pPr>
        <w:spacing w:after="0" w:line="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reconciliation between the statutory income tax rate applied to income before the income tax provision (benefit) and equity in loss of investees and our effective income tax rate was as follows:</w:t>
      </w:r>
    </w:p>
    <w:p>
      <w:pPr>
        <w:spacing w:after="0" w:line="28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80"/>
              <w:spacing w:after="0"/>
              <w:rPr>
                <w:sz w:val="20"/>
                <w:szCs w:val="20"/>
                <w:color w:val="auto"/>
              </w:rPr>
            </w:pPr>
            <w:r>
              <w:rPr>
                <w:rFonts w:ascii="Arial" w:cs="Arial" w:eastAsia="Arial" w:hAnsi="Arial"/>
                <w:sz w:val="14"/>
                <w:szCs w:val="14"/>
                <w:b w:val="1"/>
                <w:bCs w:val="1"/>
                <w:color w:val="auto"/>
                <w:w w:val="96"/>
              </w:rPr>
              <w:t>2019</w:t>
            </w:r>
          </w:p>
        </w:tc>
        <w:tc>
          <w:tcPr>
            <w:tcW w:w="1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Intra-entity transfer of intellectual property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income tax rate differential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Research and other tax credits</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Patent box incentive benefit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Deduction on subsidiary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valuation allowance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Non-deductible acquired IPR&amp;D</w:t>
            </w:r>
          </w:p>
        </w:tc>
        <w:tc>
          <w:tcPr>
            <w:tcW w:w="6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Non-deductible compensation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Financing costs</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tax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Change in estimates</w:t>
            </w:r>
          </w:p>
        </w:tc>
        <w:tc>
          <w:tcPr>
            <w:tcW w:w="66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unrecognized tax benefits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Excess tax benefits from share-based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Non-deductible loss contingency</w:t>
            </w:r>
          </w:p>
        </w:tc>
        <w:tc>
          <w:tcPr>
            <w:tcW w:w="18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Impact of U.S. Tax Act</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subsidiaries</w:t>
            </w:r>
          </w:p>
        </w:tc>
        <w:tc>
          <w:tcPr>
            <w:tcW w:w="18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15.1 %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7200" w:type="dxa"/>
            <w:vAlign w:val="bottom"/>
            <w:gridSpan w:val="2"/>
          </w:tcPr>
          <w:p>
            <w:pPr>
              <w:ind w:left="5540"/>
              <w:spacing w:after="0"/>
              <w:rPr>
                <w:sz w:val="20"/>
                <w:szCs w:val="20"/>
                <w:color w:val="auto"/>
              </w:rPr>
            </w:pPr>
            <w:r>
              <w:rPr>
                <w:rFonts w:ascii="Arial" w:cs="Arial" w:eastAsia="Arial" w:hAnsi="Arial"/>
                <w:sz w:val="18"/>
                <w:szCs w:val="18"/>
                <w:color w:val="auto"/>
              </w:rPr>
              <w:t>F-39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net deferred tax assets/(liabilities) were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90,670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106,128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230,447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156,242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154,844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23,469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Accruals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49,063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57,575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Indirect effects of unrecognized tax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Investment in subsidiaries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25,585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48,630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51,175</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673,024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479,115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(61,237)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606,717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(595,746)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Operating lease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(73,350)</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(669,096)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net change in valuation allowance was an increase of $5.1 million and $9.1 million in 2019 and 2018, respectively, and a decrease of $1.0 million in 2017.</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presentation of deferred tax assets and liabilities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221,403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(224,095)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(309,097)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(251,218)</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2019, we had NOL carryforwards and tax credit carryforwards for U.S. federal income tax purposes of approximately $273.0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and $173.1 million, respectively, available to reduce future income subject to income taxes. These NOL carryforwards are inclusive of $204.7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Celator Acquisition in 2016 and $18.7 million from the Cavion acquisition in 2019. The U.S. federal NOL carryforwards will expire, if not utilized,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tax years 2020 to 2036, and the U.S. federal tax credits will expire, if not utilized, in the tax years 2020 to 2039. In addition, we had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$94.0 million of NOL carryforwards and $11.3 million of tax credit carryforwards as of December 31, 2019 available to reduce future taxable income for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 purposes. The U.S. state NOL carryforwards will expire, if not utilized, in the tax years 2020 to 2038. As of December 31, 2019, there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NOL and other carryforwards for income tax purposes of approximately $78.4 million, $46.2 million, $45.2 million and $24.6 million available to reduce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future income subject to income taxes in Ireland, United Kingdom, Luxembourg and Malta, respectively. The NOLs and other deductions generated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Ireland, the United Kingdom, Luxembourg and Malta have no expiration date. We also had foreign tax credit carryforwards in Ireland,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2019, of $41.7 million, which may only be utilized against certain sources of income. The foreign tax credit carryforwards have no expiration date.</w:t>
      </w:r>
    </w:p>
    <w:p>
      <w:pPr>
        <w:spacing w:after="0" w:line="11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 result of the Azur Merger, until 2022 we are subject to certain limitations under the Internal Revenue Code in relation to the utilization of U.S. NOLs to offset U.S. taxable income resulting from certain transactions.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Valuation allowances require an assessment of both positive and negative evidence when determining whether it is more likely than not that deferred tax assets are recoverable. Such assessment is required on a jurisdiction-by-jurisdiction basis. Our valuation allowance was $66.3 million and $61.2 million as of December 31, 2019 and 2018, respectively, for certain Irish, U.S. (federal and state) and foreign deferred tax assets which we maintain until sufficient positive evidence exists to support reversal. During 2019, as part of the overall change in valuation allowance, we recognized a net income tax provision of $6.3 million relating primarily to the creation of a valuation allowance of $15.7 million against certain deferred tax assets primarily associated with foreign tax credits and temporary differences related to foreign subsidiaries, partially offset by the net release of valuation allowances against certain deferred tax assets primarily associated with NOLs. During 2018, as part of the overall change in valuation allowance, we recognized a net income tax provision of $11.2 million relating primarily to the creation of a valuation allowance of $25.7 million against certain deferred tax assets primarily associated with temporary differences related to foreign subsidiaries, partially offset by the net release of valuation allowances against certain deferred tax assets primarily associated with NOLs and foreign tax credits. The $11.2 million net income tax provision included a benefit of $10.9 million relating to a change in judgment leading to the reversal of a valuation allowance against certain deferred tax assets, primarily related to NOLs in the United Kingdom and a benefit of $5.9 million relating to the reversal of a valuation allowance upon completing our analysis of our ability to utilize certain foreign tax credits generated by the one-time transition tax in the U.S. Management determined that valuation allowances were no longer needed on these deferred tax assets based on an assessment of the relative impact of all positive and negative evidence that existed at December 31, 2018, including an evaluation of cumulative income in recent years, future sources of taxable income exclusive of reversing temporary differences, and significant risks and uncertainties related to our business. During 2017, as part of the overall change in valuation allowance, we recognized a net income tax benefit of $6.6 million relating to the net release of a valuation allowance against certain deferred tax assets primarily associated with NOLs, partially offset by the creation of a provisional valuation allowance of $5.9 million against certain deferred tax assets primarily associated with excess foreign tax credits generated during the year as a result of the U.S. Tax Act. The $6.6 million net income tax benefit included a benefit of $9.1 million relating to the utilization of NOL carryforwards against which a valuation allowance was carried. We periodically evaluate the likelihood of the realization of deferred tax assets and will adjust such amounts in light of changing facts and circumstances including, but not limited to, future projections of taxable income, tax legislation, rulings by relevant tax authorities, the progress of tax audits and the regulatory approval of products currently under development. Realization of substantially all the deferred tax assets is dependent on future book income.</w:t>
      </w:r>
    </w:p>
    <w:p>
      <w:pPr>
        <w:spacing w:after="0" w:line="86" w:lineRule="exact"/>
        <w:rPr>
          <w:sz w:val="20"/>
          <w:szCs w:val="20"/>
          <w:color w:val="auto"/>
        </w:rPr>
      </w:pPr>
    </w:p>
    <w:p>
      <w:pPr>
        <w:ind w:right="40" w:firstLine="432"/>
        <w:spacing w:after="0" w:line="272" w:lineRule="auto"/>
        <w:rPr>
          <w:sz w:val="20"/>
          <w:szCs w:val="20"/>
          <w:color w:val="auto"/>
        </w:rPr>
      </w:pPr>
      <w:r>
        <w:rPr>
          <w:rFonts w:ascii="Arial" w:cs="Arial" w:eastAsia="Arial" w:hAnsi="Arial"/>
          <w:sz w:val="18"/>
          <w:szCs w:val="18"/>
          <w:color w:val="auto"/>
        </w:rPr>
        <w:t>Temporary differences related to foreign subsidiaries that are considered indefinitely reinvested totaled approximately $1.6 billion and $1.2 billion as of December 31, 2019 and 2018, respectively. In the event of the distribution of those earnings in the form of dividends, a sale of the subsidiaries, or certain other transactions, we may be liable for income taxes, subject to an adjustment, if any, for foreign tax credits and foreign withholding taxes payable to certain foreign tax authorities. As of December 31, 2019, it was not practicable to determine the amount of the unrecognized deferred tax liability related to these earnings.</w:t>
      </w:r>
    </w:p>
    <w:p>
      <w:pPr>
        <w:spacing w:after="0" w:line="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our gross unrecognized tax benefits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22,649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27,875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the applicable statute of limitations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124,319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118,213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106,162</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unrecognized tax benefits were included in other non-current liabilities and deferred tax assets, net, in our consolidated balance sheets. Interest related to our unrecognized tax benefits is recorded in the income tax provision in our consolidated statements of income. As of December 31, 2019 and 2018, our accrued interest and penalties related to unrecognized tax benefits was $7.4 million and $6.3 million, respectively. Interest and penalties related to unrecognized tax benefits recognized in the statements of income were not significant. Included in the balance of unrecognized tax benefits were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potential benefits of $78.8 million and $78.5 million at December 31, 2019 and 2018, respectively, that, if recognized, would affect the effective tax rate on income.</w:t>
      </w:r>
    </w:p>
    <w:p>
      <w:pPr>
        <w:spacing w:after="0" w:line="6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file income tax returns in multiple tax jurisdictions, the most significant of which are Ireland and the U.S. (both at the federal level and in various state jurisdictions). For Ireland we are no longer subject to income tax audits by taxing authorities for the years prior to 2014. The U.S. jurisdictions generally have statute of limitations three to four years from the later of the return due date or the date when the return was filed. However, in the U.S. (at the federal level and in most states), carryforward tax attributes that were generated in 2015 and earlier may still be adjusted upon examination by the tax authorities. Certain of our subsidiaries are currently under examination by the French tax authorities for the years ended December 31, 2012, 2013, 2015, 2016 and 2017. These examinations may lead to ordinary course adjustments or proposed adjustments to our taxes. In December 2015, we received proposed tax assessment notices, and, in October 2018 and December 2019, we received revised tax assessment notices from the French tax authorities for 2012 and 2013 and in December 2018 and September 2019, we received a proposed tax assessment notice for 2015, 2016 and 2017, relating to certain transfer pricing adjustments. The notices propose additional French tax of approximately $42 million for 2012 and 2013 and approximately $12 million for 2015, 2016 and 2017 including interest and penalties through the respective dates of the proposed assessments, translated at the foreign exchange rate at December 31, 2019. We disagree with the proposed assessments and are contesting them vigorously. Certain of our Italian subsidiaries are currently under examination by the Italian tax authorities for the year ended December 31, 2017.</w:t>
      </w:r>
    </w:p>
    <w:p>
      <w:pPr>
        <w:spacing w:after="0" w:line="284" w:lineRule="exact"/>
        <w:rPr>
          <w:sz w:val="20"/>
          <w:szCs w:val="20"/>
          <w:color w:val="auto"/>
        </w:rPr>
      </w:pPr>
    </w:p>
    <w:p>
      <w:pPr>
        <w:jc w:val="right"/>
        <w:ind w:right="9760"/>
        <w:spacing w:after="0"/>
        <w:rPr>
          <w:sz w:val="20"/>
          <w:szCs w:val="20"/>
          <w:color w:val="auto"/>
        </w:rPr>
      </w:pPr>
      <w:r>
        <w:rPr>
          <w:rFonts w:ascii="Arial" w:cs="Arial" w:eastAsia="Arial" w:hAnsi="Arial"/>
          <w:sz w:val="15"/>
          <w:szCs w:val="15"/>
          <w:b w:val="1"/>
          <w:bCs w:val="1"/>
          <w:color w:val="auto"/>
        </w:rPr>
        <w:t>22. Subsequent Event</w:t>
      </w:r>
    </w:p>
    <w:p>
      <w:pPr>
        <w:spacing w:after="0" w:line="156" w:lineRule="exact"/>
        <w:rPr>
          <w:sz w:val="20"/>
          <w:szCs w:val="20"/>
          <w:color w:val="auto"/>
        </w:rPr>
      </w:pPr>
    </w:p>
    <w:p>
      <w:pPr>
        <w:jc w:val="right"/>
        <w:ind w:right="9780"/>
        <w:spacing w:after="0"/>
        <w:rPr>
          <w:sz w:val="20"/>
          <w:szCs w:val="20"/>
          <w:color w:val="auto"/>
        </w:rPr>
      </w:pPr>
      <w:r>
        <w:rPr>
          <w:rFonts w:ascii="Arial" w:cs="Arial" w:eastAsia="Arial" w:hAnsi="Arial"/>
          <w:sz w:val="17"/>
          <w:szCs w:val="17"/>
          <w:b w:val="1"/>
          <w:bCs w:val="1"/>
          <w:i w:val="1"/>
          <w:iCs w:val="1"/>
          <w:color w:val="auto"/>
        </w:rPr>
        <w:t>License Agreement</w:t>
      </w:r>
    </w:p>
    <w:p>
      <w:pPr>
        <w:spacing w:after="0" w:line="129"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On December 19, 2019, we entered into an exclusive license agreement with Pharma Mar, S.A., or PharmaMar, for development and U.S. commercialization of lurbinectedin, a product candidate under clinical investigation for the treatment of patients with relapsed SCLC. Lurbinectedin was granted orphan drug designation for SCLC by the FDA in August 2018. In December 2019, PharmaMar submitted an NDA to the FDA for accelerated approval of lurbinectedin for relapsed SCLC based on data from a Phase 2 trial, and in February 2020, the FDA accepted the NDA for filing with priority review.</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terms of this agreement, which become effective in January 2020 upon expiration of the waiting period under the Hart-Scott-Rodino Antitrust Improvements Act of 1976, as amended, we paid PharmaMar an upfront payment of $200 million, which will be recorded as acquired IPR&amp;D expense in our consolidated statements of income in the first quarter of 2020.</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PharmaMar is eligible to receive potential regulatory milestone payments of up to $250 million upon the achievement of accelerated and/or full regulatory approval of lurbinectedin by FDA within certain timelines. PharmaMar is also eligible to receive up to $550 million in potential commercial milestone payments, as well as incremental tiered royalties on future net sales of lurbinectedin ranging from the high teens up to 30 percent. PharmaMar may receive additional payments on approval of other indications, with any such payments creditable against commercial milestone payment obligations. PharmaMar retains production rights for lurbinectedin and will supply the product to Jazz.</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Data (Unaudited)</w:t>
      </w:r>
    </w:p>
    <w:p>
      <w:pPr>
        <w:spacing w:after="0" w:line="12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interim financial information presents our 2019 and 2018 results of operations on a quarterly basis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2019</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534,133</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581,740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469,825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495,747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500,921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541,178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ordinary share, basic</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 diluted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r>
      <w:tr>
        <w:trPr>
          <w:trHeight w:val="507"/>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2018</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500,479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476,457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margin (1)</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406,928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461,381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438,623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440,997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159,470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ordinary share, basic</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ordinary share, diluted</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00" w:right="360" w:hanging="411"/>
        <w:spacing w:after="0" w:line="367" w:lineRule="auto"/>
        <w:tabs>
          <w:tab w:leader="none" w:pos="4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Gross margin is computed by subtracting cost of product sales (excluding amortization of acquired developed technologies) from product sales, net. The interim financial information above includes the following items:</w:t>
      </w:r>
    </w:p>
    <w:p>
      <w:pPr>
        <w:ind w:left="740" w:hanging="327"/>
        <w:spacing w:after="0"/>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Estimated loss contingency of $57.0 million in the first quarter of 2018;</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Impairment charges and disposal costs of $44.0 million in the second quarter of 2018;</w:t>
      </w:r>
    </w:p>
    <w:p>
      <w:pPr>
        <w:spacing w:after="0" w:line="117"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Upfront and milestone payments of $56.0 million and $48.3 million in the first and third quarters of 2019, respectively, and $11.0 million in the first quarter of 2018;</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 one-time tax benefit of $112.3 million resulting from an intra-entity intellectual property asset transfer in the second quarter of 2019; and</w:t>
      </w:r>
    </w:p>
    <w:p>
      <w:pPr>
        <w:spacing w:after="0" w:line="128" w:lineRule="exact"/>
        <w:rPr>
          <w:rFonts w:ascii="Arial" w:cs="Arial" w:eastAsia="Arial" w:hAnsi="Arial"/>
          <w:sz w:val="17"/>
          <w:szCs w:val="17"/>
          <w:color w:val="auto"/>
        </w:rPr>
      </w:pPr>
    </w:p>
    <w:p>
      <w:pPr>
        <w:ind w:left="740" w:hanging="327"/>
        <w:spacing w:after="0"/>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Amortization costs of $111.1 million in the fourth quarter of 2019 in respect of the PRV.</w:t>
      </w:r>
    </w:p>
    <w:p>
      <w:pPr>
        <w:spacing w:after="0" w:line="11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FFFFFF"/>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charged to</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Additions</w:t>
            </w:r>
          </w:p>
        </w:tc>
        <w:tc>
          <w:tcPr>
            <w:tcW w:w="20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2019</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66,307</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2018</w:t>
            </w: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61,237</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41,941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18"/>
        </w:trPr>
        <w:tc>
          <w:tcPr>
            <w:tcW w:w="338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18" w:lineRule="exact"/>
        <w:rPr>
          <w:rFonts w:ascii="Arial" w:cs="Arial" w:eastAsia="Arial" w:hAnsi="Arial"/>
          <w:sz w:val="17"/>
          <w:szCs w:val="17"/>
          <w:color w:val="auto"/>
        </w:rPr>
      </w:pPr>
    </w:p>
    <w:p>
      <w:pPr>
        <w:ind w:left="540" w:hanging="532"/>
        <w:spacing w:after="0" w:line="28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spacing w:after="0" w:line="1" w:lineRule="exact"/>
        <w:rPr>
          <w:rFonts w:ascii="Arial" w:cs="Arial" w:eastAsia="Arial" w:hAnsi="Arial"/>
          <w:sz w:val="16"/>
          <w:szCs w:val="16"/>
          <w:color w:val="auto"/>
        </w:rPr>
      </w:pPr>
    </w:p>
    <w:p>
      <w:pPr>
        <w:ind w:left="540" w:right="260" w:hanging="532"/>
        <w:spacing w:after="0" w:line="25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Deductions to the deferred tax asset valuation allowance include movements relating to utilization of NOLs and tax credit carryforwards, release in valuation allowance and other movements including adjustments following finalization of tax returns.</w:t>
      </w:r>
    </w:p>
    <w:p>
      <w:pPr>
        <w:ind w:left="540" w:right="480" w:hanging="532"/>
        <w:spacing w:after="0" w:line="25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additions to the deferred tax asset valuation allowance relate to currency translation adjustments recorded directly in other comprehensive income and, in 2019, additions resulting from the Cavion asset acquisition.</w:t>
      </w:r>
    </w:p>
    <w:p>
      <w:pPr>
        <w:ind w:left="540"/>
        <w:spacing w:after="0"/>
        <w:rPr>
          <w:rFonts w:ascii="Arial" w:cs="Arial" w:eastAsia="Arial" w:hAnsi="Arial"/>
          <w:sz w:val="18"/>
          <w:szCs w:val="18"/>
          <w:color w:val="auto"/>
        </w:rPr>
      </w:pPr>
      <w:r>
        <w:rPr>
          <w:rFonts w:ascii="Arial" w:cs="Arial" w:eastAsia="Arial" w:hAnsi="Arial"/>
          <w:sz w:val="18"/>
          <w:szCs w:val="18"/>
          <w:color w:val="FFFFFF"/>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125"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231F20"/>
        </w:rPr>
        <w:t>Exhibit 4.6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DESCRIPTION OF SHARE CAPITAL</w:t>
      </w:r>
    </w:p>
    <w:p>
      <w:pPr>
        <w:spacing w:after="0" w:line="229" w:lineRule="exact"/>
        <w:rPr>
          <w:sz w:val="20"/>
          <w:szCs w:val="20"/>
          <w:color w:val="auto"/>
        </w:rPr>
      </w:pPr>
    </w:p>
    <w:p>
      <w:pPr>
        <w:ind w:right="20" w:firstLine="351"/>
        <w:spacing w:after="0" w:line="257" w:lineRule="auto"/>
        <w:rPr>
          <w:sz w:val="20"/>
          <w:szCs w:val="20"/>
          <w:color w:val="auto"/>
        </w:rPr>
      </w:pPr>
      <w:r>
        <w:rPr>
          <w:rFonts w:ascii="Arial" w:cs="Arial" w:eastAsia="Arial" w:hAnsi="Arial"/>
          <w:sz w:val="18"/>
          <w:szCs w:val="18"/>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Arial" w:cs="Arial" w:eastAsia="Arial" w:hAnsi="Arial"/>
          <w:sz w:val="18"/>
          <w:szCs w:val="18"/>
          <w:color w:val="231F20"/>
        </w:rPr>
        <w:t>and the complete text of the Company’s</w:t>
      </w:r>
      <w:r>
        <w:rPr>
          <w:rFonts w:ascii="Arial" w:cs="Arial" w:eastAsia="Arial" w:hAnsi="Arial"/>
          <w:sz w:val="18"/>
          <w:szCs w:val="18"/>
          <w:color w:val="auto"/>
        </w:rPr>
        <w:t xml:space="preserve"> </w:t>
      </w:r>
      <w:r>
        <w:rPr>
          <w:rFonts w:ascii="Arial" w:cs="Arial" w:eastAsia="Arial" w:hAnsi="Arial"/>
          <w:sz w:val="18"/>
          <w:szCs w:val="18"/>
          <w:color w:val="231F20"/>
        </w:rPr>
        <w:t>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Arial" w:cs="Arial" w:eastAsia="Arial" w:hAnsi="Arial"/>
          <w:sz w:val="18"/>
          <w:szCs w:val="18"/>
          <w:color w:val="000000"/>
        </w:rPr>
        <w:t>. You should read those laws and documents carefully.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Structure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Authorized Share Capital</w:t>
      </w:r>
    </w:p>
    <w:p>
      <w:pPr>
        <w:spacing w:after="0" w:line="18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3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231F20"/>
        </w:rPr>
        <w:t>The Company’s board of directors is authorized pursuant to shareholder resolutions passed on August 4, 2016 to issue new ordinary or preferred shares for cash without shareholder approval for a period of five years from the date of the passing of the resolutions.</w:t>
      </w:r>
    </w:p>
    <w:p>
      <w:pPr>
        <w:spacing w:after="0" w:line="13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38"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Issued Share Capital</w:t>
      </w:r>
    </w:p>
    <w:p>
      <w:pPr>
        <w:spacing w:after="0" w:line="18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231F20"/>
        </w:rPr>
        <w:t>As of December 31, 2019, 56,140,917 ordinary shares were issued and outstanding. In addition, as of December 31, 2019,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61"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231F20"/>
        </w:rPr>
        <w:t>holder thereof only to the repayment of the amounts paid up on such shares after repayment of the capital paid up on ordinary shares plus the payment of</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231F20"/>
        </w:rPr>
        <w:t>$5,000,000 on each of the ordinary shares and the holders of the euro deferred shares (as such) will not be entitled to any further participation in the assets or profits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Preemption Rights, Share Warrants and Share Options</w:t>
      </w:r>
    </w:p>
    <w:p>
      <w:pPr>
        <w:spacing w:after="0" w:line="18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and Parent’s current opt-out will expire on August 4, 2021. If the opt-out is not renewed before then, shares issued for cash must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Dividends</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Parent and the amount by which Parent’s accumulated unrealized profits, so far as not previously utilized by any capitalization, exceed Parent’s accumulated unrealized losses, so far as not previously written off in a reduction or reorganization of capital.</w:t>
      </w:r>
    </w:p>
    <w:p>
      <w:pPr>
        <w:spacing w:after="0" w:line="13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231F20"/>
        </w:rPr>
        <w:t>The Company’s board of directors may deduct from any dividend payable to any shareholder any amounts payable by such shareholder to the Company in relation to its shares.</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231F20"/>
        </w:rPr>
        <w:t>The Company may issue shares with preferred rights to participate in dividends declared by the Company from time to time, as determined by ordinary resolution. The holders of preferred shares may, depending on their terms,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136" w:name="page137"/>
    <w:bookmarkEnd w:id="136"/>
    <w:p>
      <w:pPr>
        <w:ind w:right="160"/>
        <w:spacing w:after="0" w:line="277" w:lineRule="auto"/>
        <w:rPr>
          <w:sz w:val="20"/>
          <w:szCs w:val="20"/>
          <w:color w:val="auto"/>
        </w:rPr>
      </w:pPr>
      <w:r>
        <w:rPr>
          <w:rFonts w:ascii="Arial" w:cs="Arial" w:eastAsia="Arial" w:hAnsi="Arial"/>
          <w:sz w:val="18"/>
          <w:szCs w:val="18"/>
          <w:color w:val="231F20"/>
        </w:rPr>
        <w:t>rank senior to ordinary shares in terms of dividend rights and/or be entitled to claim arrears of a declared dividend out of subsequently declared dividends in priority to ordinary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 Repurchases, Redemptions and Conversions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Overview</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Arial" w:cs="Arial" w:eastAsia="Arial" w:hAnsi="Arial"/>
          <w:sz w:val="16"/>
          <w:szCs w:val="16"/>
          <w:i w:val="1"/>
          <w:iCs w:val="1"/>
          <w:color w:val="231F20"/>
        </w:rPr>
        <w:t>—Repurchases and Redemptions</w:t>
      </w:r>
      <w:r>
        <w:rPr>
          <w:rFonts w:ascii="Arial" w:cs="Arial" w:eastAsia="Arial" w:hAnsi="Arial"/>
          <w:sz w:val="16"/>
          <w:szCs w:val="16"/>
          <w:color w:val="231F20"/>
        </w:rPr>
        <w:t>.” If the Company’s Constitution did not contain such provision, repurchases by the Company would be subject to many of the same rules that apply to purchases of its ordinary shares by subsidiaries described below under “</w:t>
      </w:r>
      <w:r>
        <w:rPr>
          <w:rFonts w:ascii="Arial" w:cs="Arial" w:eastAsia="Arial" w:hAnsi="Arial"/>
          <w:sz w:val="16"/>
          <w:szCs w:val="16"/>
          <w:i w:val="1"/>
          <w:iCs w:val="1"/>
          <w:color w:val="231F20"/>
        </w:rPr>
        <w:t>—Purchases by the Company’s Subsidiaries</w:t>
      </w:r>
      <w:r>
        <w:rPr>
          <w:rFonts w:ascii="Arial" w:cs="Arial" w:eastAsia="Arial" w:hAnsi="Arial"/>
          <w:sz w:val="16"/>
          <w:szCs w:val="16"/>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Repurchases and Redemptions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231F20"/>
        </w:rPr>
        <w:t>Under Irish law, a company may issue redeemable shares and redeem them out of distributable reserves or the proceeds of a new issue of shares for that purpose. Please see also “</w:t>
      </w:r>
      <w:r>
        <w:rPr>
          <w:rFonts w:ascii="Arial" w:cs="Arial" w:eastAsia="Arial" w:hAnsi="Arial"/>
          <w:sz w:val="18"/>
          <w:szCs w:val="18"/>
          <w:i w:val="1"/>
          <w:iCs w:val="1"/>
          <w:color w:val="231F20"/>
        </w:rPr>
        <w:t>—Dividends</w:t>
      </w:r>
      <w:r>
        <w:rPr>
          <w:rFonts w:ascii="Arial" w:cs="Arial" w:eastAsia="Arial" w:hAnsi="Arial"/>
          <w:sz w:val="18"/>
          <w:szCs w:val="18"/>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48"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83"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Parent shares together with the par value of any shares acquired by Parent. The Company may not exercise any voting rights in respect of any shares held as treasury shares.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Treasury shares may be canceled by the Company or re-issued subject to certain conditions.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Purchases by the Company’s Subsidiaries</w:t>
      </w:r>
    </w:p>
    <w:p>
      <w:pPr>
        <w:spacing w:after="0" w:line="18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Parent’s shareholders at the registered office of Parent.</w:t>
      </w:r>
    </w:p>
    <w:p>
      <w:pPr>
        <w:spacing w:after="0" w:line="12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14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231F20"/>
        </w:rPr>
        <w:t>The number of shares held by the Company’s subsidiaries at any time will count as treasury shares and will be included in any calculation of the permitted treasury share threshold of 10% of the aggregate of the par value 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137" w:name="page138"/>
    <w:bookmarkEnd w:id="137"/>
    <w:p>
      <w:pPr>
        <w:ind w:right="20"/>
        <w:spacing w:after="0" w:line="259" w:lineRule="auto"/>
        <w:rPr>
          <w:sz w:val="20"/>
          <w:szCs w:val="20"/>
          <w:color w:val="auto"/>
        </w:rPr>
      </w:pPr>
      <w:r>
        <w:rPr>
          <w:rFonts w:ascii="Arial" w:cs="Arial" w:eastAsia="Arial" w:hAnsi="Arial"/>
          <w:sz w:val="18"/>
          <w:szCs w:val="18"/>
          <w:color w:val="231F20"/>
        </w:rPr>
        <w:t>share premium received in respect of the allotment of Parent shares together with the par value of any shares acquired by Parent.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Lien on Shares, Calls on Shares and Forfeiture of Shares</w:t>
      </w:r>
    </w:p>
    <w:p>
      <w:pPr>
        <w:spacing w:after="0" w:line="189" w:lineRule="exact"/>
        <w:rPr>
          <w:sz w:val="20"/>
          <w:szCs w:val="20"/>
          <w:color w:val="auto"/>
        </w:rPr>
      </w:pPr>
    </w:p>
    <w:p>
      <w:pPr>
        <w:jc w:val="both"/>
        <w:ind w:right="200" w:firstLine="324"/>
        <w:spacing w:after="0" w:line="302" w:lineRule="auto"/>
        <w:rPr>
          <w:sz w:val="20"/>
          <w:szCs w:val="20"/>
          <w:color w:val="auto"/>
        </w:rPr>
      </w:pPr>
      <w:r>
        <w:rPr>
          <w:rFonts w:ascii="Arial" w:cs="Arial" w:eastAsia="Arial" w:hAnsi="Arial"/>
          <w:sz w:val="16"/>
          <w:szCs w:val="16"/>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Bonus Shares</w:t>
      </w:r>
    </w:p>
    <w:p>
      <w:pPr>
        <w:spacing w:after="0" w:line="18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231F20"/>
        </w:rPr>
        <w:t>Under the Company’s Constitution, the Company’s board of directors may resolve to capitalize any amount for the time being standing to the credit of any of Parent’s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 and Division; Subdivision</w:t>
      </w:r>
    </w:p>
    <w:p>
      <w:pPr>
        <w:spacing w:after="0" w:line="18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Reduction of Share Capital</w:t>
      </w:r>
    </w:p>
    <w:p>
      <w:pPr>
        <w:spacing w:after="0" w:line="18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Meetings of Shareholders</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Parent’s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Extraordinary General Meetings of Shareholders</w:t>
      </w:r>
    </w:p>
    <w:p>
      <w:pPr>
        <w:spacing w:after="0" w:line="18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231F20"/>
        </w:rPr>
        <w:t>time. At any extraordinary general meeting only such business shall be conducted as is set forth in the notice thereof.</w:t>
      </w:r>
    </w:p>
    <w:p>
      <w:pPr>
        <w:spacing w:after="0" w:line="18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4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53"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Quorum for General Meetings</w:t>
      </w:r>
    </w:p>
    <w:p>
      <w:pPr>
        <w:spacing w:after="0" w:line="18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Voting</w:t>
      </w:r>
    </w:p>
    <w:p>
      <w:pPr>
        <w:spacing w:after="0" w:line="18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10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18"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3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231F20"/>
        </w:rPr>
        <w:t>Irish law requires special resolutions of the Company’s shareholders at a general meeting to approve certain matters. Examples of matters requiring special resolutions include:</w:t>
      </w:r>
    </w:p>
    <w:p>
      <w:pPr>
        <w:spacing w:after="0" w:line="14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amending the objects or memorandum of association of the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amending the articles of association of the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approving a change of name of the Company;</w:t>
      </w:r>
    </w:p>
    <w:p>
      <w:pPr>
        <w:spacing w:after="0" w:line="144" w:lineRule="exact"/>
        <w:rPr>
          <w:rFonts w:ascii="Arial" w:cs="Arial" w:eastAsia="Arial" w:hAnsi="Arial"/>
          <w:sz w:val="18"/>
          <w:szCs w:val="18"/>
          <w:color w:val="231F20"/>
        </w:rPr>
      </w:pPr>
    </w:p>
    <w:p>
      <w:pPr>
        <w:ind w:left="660" w:right="460" w:hanging="328"/>
        <w:spacing w:after="0" w:line="309" w:lineRule="auto"/>
        <w:tabs>
          <w:tab w:leader="none" w:pos="66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139" w:name="page140"/>
    <w:bookmarkEnd w:id="139"/>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opting out of preemption rights on the issuance of new shares;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re-registration of the Company from a public limited company to a private company;</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variation of class rights attaching to classes of shares (where the articles of association do not provide otherwise);</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purchase of the Company’s shares off market;</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reduction of issued share capital;</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sanctioning a compromise/scheme of arrangement with creditors or shareholders;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resolving that the Company be wound up by the Irish courts;</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resolving in favor of a shareholders’ voluntary winding-up; and</w:t>
      </w:r>
    </w:p>
    <w:p>
      <w:pPr>
        <w:spacing w:after="0" w:line="144" w:lineRule="exact"/>
        <w:rPr>
          <w:rFonts w:ascii="Arial" w:cs="Arial" w:eastAsia="Arial" w:hAnsi="Arial"/>
          <w:sz w:val="18"/>
          <w:szCs w:val="18"/>
          <w:color w:val="231F20"/>
        </w:rPr>
      </w:pPr>
    </w:p>
    <w:p>
      <w:pPr>
        <w:ind w:left="660" w:hanging="328"/>
        <w:spacing w:after="0"/>
        <w:tabs>
          <w:tab w:leader="none" w:pos="66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setting the re-issue price of treasury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Unanimous Shareholder Consent to Action Without Meeting</w:t>
      </w:r>
    </w:p>
    <w:p>
      <w:pPr>
        <w:spacing w:after="0" w:line="18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Variation of Rights Attaching to a Class or Series of Shares</w:t>
      </w:r>
    </w:p>
    <w:p>
      <w:pPr>
        <w:spacing w:after="0" w:line="18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4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Inspection of Books and Records</w:t>
      </w:r>
    </w:p>
    <w:p>
      <w:pPr>
        <w:spacing w:after="0" w:line="18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w:t>
      </w:r>
    </w:p>
    <w:p>
      <w:pPr>
        <w:ind w:right="160" w:firstLine="8"/>
        <w:spacing w:after="0" w:line="271" w:lineRule="auto"/>
        <w:tabs>
          <w:tab w:leader="none" w:pos="305" w:val="left"/>
        </w:tabs>
        <w:numPr>
          <w:ilvl w:val="0"/>
          <w:numId w:val="58"/>
        </w:numPr>
        <w:rPr>
          <w:rFonts w:ascii="Arial" w:cs="Arial" w:eastAsia="Arial" w:hAnsi="Arial"/>
          <w:sz w:val="17"/>
          <w:szCs w:val="17"/>
          <w:color w:val="231F20"/>
        </w:rPr>
      </w:pPr>
      <w:r>
        <w:rPr>
          <w:rFonts w:ascii="Arial" w:cs="Arial" w:eastAsia="Arial" w:hAnsi="Arial"/>
          <w:sz w:val="17"/>
          <w:szCs w:val="17"/>
          <w:color w:val="231F20"/>
        </w:rPr>
        <w:t>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Irish public limited company may be acquired in a number of ways, including:</w:t>
      </w:r>
    </w:p>
    <w:p>
      <w:pPr>
        <w:spacing w:after="0" w:line="198" w:lineRule="exact"/>
        <w:rPr>
          <w:sz w:val="20"/>
          <w:szCs w:val="20"/>
          <w:color w:val="auto"/>
        </w:rPr>
      </w:pPr>
    </w:p>
    <w:p>
      <w:pPr>
        <w:ind w:left="660" w:hanging="328"/>
        <w:spacing w:after="0" w:line="295" w:lineRule="auto"/>
        <w:tabs>
          <w:tab w:leader="none" w:pos="66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55" w:right="279" w:bottom="1440" w:gutter="0" w:footer="0" w:header="0"/>
        </w:sectPr>
      </w:pPr>
    </w:p>
    <w:bookmarkStart w:id="140" w:name="page141"/>
    <w:bookmarkEnd w:id="140"/>
    <w:p>
      <w:pPr>
        <w:ind w:left="660" w:right="60" w:hanging="328"/>
        <w:spacing w:after="0" w:line="309" w:lineRule="auto"/>
        <w:tabs>
          <w:tab w:leader="none" w:pos="660" w:val="left"/>
        </w:tabs>
        <w:numPr>
          <w:ilvl w:val="0"/>
          <w:numId w:val="60"/>
        </w:numPr>
        <w:rPr>
          <w:rFonts w:ascii="Arial" w:cs="Arial" w:eastAsia="Arial" w:hAnsi="Arial"/>
          <w:sz w:val="17"/>
          <w:szCs w:val="17"/>
          <w:color w:val="231F20"/>
        </w:rPr>
      </w:pPr>
      <w:r>
        <w:rPr>
          <w:rFonts w:ascii="Arial" w:cs="Arial" w:eastAsia="Arial" w:hAnsi="Arial"/>
          <w:sz w:val="17"/>
          <w:szCs w:val="17"/>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65" w:lineRule="exact"/>
        <w:rPr>
          <w:rFonts w:ascii="Arial" w:cs="Arial" w:eastAsia="Arial" w:hAnsi="Arial"/>
          <w:sz w:val="17"/>
          <w:szCs w:val="17"/>
          <w:color w:val="231F20"/>
        </w:rPr>
      </w:pPr>
    </w:p>
    <w:p>
      <w:pPr>
        <w:ind w:left="660" w:right="40" w:hanging="328"/>
        <w:spacing w:after="0" w:line="309" w:lineRule="auto"/>
        <w:tabs>
          <w:tab w:leader="none" w:pos="66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by way of a merger with an EU-incorporated company under the EU Cross-Border Mergers Directive 2005/56/EC. Such a merger must be approved by a special resolution.</w:t>
      </w:r>
    </w:p>
    <w:p>
      <w:pPr>
        <w:spacing w:after="0" w:line="11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Appraisal Rights</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231F20"/>
        </w:rPr>
        <w:t>Generally, under Irish law, shareholders of an Irish company do not have dissenters’ or appraisal rights. Under the European Communities (Cross-Border Mergers) Regulations 2008 governing the merger of an Irish company limited by shares such as the Company and a company incorporated in the European Economic Area (the European Economic Area includes all member states of the European Union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Disclosure of Interests in Shares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 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38" w:lineRule="exact"/>
        <w:rPr>
          <w:sz w:val="20"/>
          <w:szCs w:val="20"/>
          <w:color w:val="auto"/>
        </w:rPr>
      </w:pPr>
    </w:p>
    <w:p>
      <w:pPr>
        <w:ind w:left="660" w:hanging="368"/>
        <w:spacing w:after="0"/>
        <w:tabs>
          <w:tab w:leader="none" w:pos="660" w:val="left"/>
        </w:tabs>
        <w:numPr>
          <w:ilvl w:val="0"/>
          <w:numId w:val="61"/>
        </w:numPr>
        <w:rPr>
          <w:rFonts w:ascii="Arial" w:cs="Arial" w:eastAsia="Arial" w:hAnsi="Arial"/>
          <w:sz w:val="16"/>
          <w:szCs w:val="16"/>
          <w:color w:val="231F20"/>
        </w:rPr>
      </w:pPr>
      <w:r>
        <w:rPr>
          <w:rFonts w:ascii="Arial" w:cs="Arial" w:eastAsia="Arial" w:hAnsi="Arial"/>
          <w:sz w:val="16"/>
          <w:szCs w:val="16"/>
          <w:color w:val="231F20"/>
        </w:rPr>
        <w:t>any transfer of those shares or, in the case of unissued shares, any transfer of the right to be issued with shares and any issue of shares, shall be void;</w:t>
      </w:r>
    </w:p>
    <w:p>
      <w:pPr>
        <w:spacing w:after="0" w:line="167" w:lineRule="exact"/>
        <w:rPr>
          <w:rFonts w:ascii="Arial" w:cs="Arial" w:eastAsia="Arial" w:hAnsi="Arial"/>
          <w:sz w:val="16"/>
          <w:szCs w:val="16"/>
          <w:color w:val="231F20"/>
        </w:rPr>
      </w:pPr>
    </w:p>
    <w:p>
      <w:pPr>
        <w:ind w:left="660" w:hanging="368"/>
        <w:spacing w:after="0"/>
        <w:tabs>
          <w:tab w:leader="none" w:pos="66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no voting rights shall be exercisable in respect of those shares;</w:t>
      </w:r>
    </w:p>
    <w:p>
      <w:pPr>
        <w:spacing w:after="0" w:line="144" w:lineRule="exact"/>
        <w:rPr>
          <w:rFonts w:ascii="Arial" w:cs="Arial" w:eastAsia="Arial" w:hAnsi="Arial"/>
          <w:sz w:val="18"/>
          <w:szCs w:val="18"/>
          <w:color w:val="231F20"/>
        </w:rPr>
      </w:pPr>
    </w:p>
    <w:p>
      <w:pPr>
        <w:ind w:left="660" w:hanging="368"/>
        <w:spacing w:after="0"/>
        <w:tabs>
          <w:tab w:leader="none" w:pos="66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no further shares shall be issued in right of those shares or in pursuance of any offer made to the holder of those shares; and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55" w:right="279" w:bottom="1440" w:gutter="0" w:footer="0" w:header="0"/>
        </w:sectPr>
      </w:pPr>
    </w:p>
    <w:bookmarkStart w:id="141" w:name="page142"/>
    <w:bookmarkEnd w:id="141"/>
    <w:p>
      <w:pPr>
        <w:ind w:left="660" w:hanging="36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no payment shall be made of any sums due from the Company on those shares, whether in respect of capital or otherwise.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court may also order that shares subject to any of these restrictions be sold with the restrictions terminating upon the completion of the sale.</w:t>
      </w:r>
    </w:p>
    <w:p>
      <w:pPr>
        <w:spacing w:after="0" w:line="19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Irish Takeover Rules and Substantial Acquisition Rules</w:t>
      </w:r>
    </w:p>
    <w:p>
      <w:pPr>
        <w:spacing w:after="0" w:line="1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231F20"/>
        </w:rPr>
        <w:t>A transaction in which a third party seeks to acquire 30% or more of the voting rights of the Company and certain other acquisitions of the Company’s securities are governed by the Irish Takeover Panel Act 1997 and the Irish Takeover Rules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Principles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Irish takeover rules are built on the following General Principles which will apply to any transaction regulated by the Irish Takeover Panel:</w:t>
      </w:r>
    </w:p>
    <w:p>
      <w:pPr>
        <w:spacing w:after="0" w:line="210" w:lineRule="exact"/>
        <w:rPr>
          <w:sz w:val="20"/>
          <w:szCs w:val="20"/>
          <w:color w:val="auto"/>
        </w:rPr>
      </w:pPr>
    </w:p>
    <w:p>
      <w:pPr>
        <w:ind w:left="660" w:right="260" w:hanging="368"/>
        <w:spacing w:after="0" w:line="309"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in the event of an offer, all holders of securities of the target company must be afforded equivalent treatment and, if a person acquires control of a company, the other holders of securities must be protected;</w:t>
      </w:r>
    </w:p>
    <w:p>
      <w:pPr>
        <w:spacing w:after="0" w:line="61" w:lineRule="exact"/>
        <w:rPr>
          <w:rFonts w:ascii="Arial" w:cs="Arial" w:eastAsia="Arial" w:hAnsi="Arial"/>
          <w:sz w:val="18"/>
          <w:szCs w:val="18"/>
          <w:color w:val="231F20"/>
        </w:rPr>
      </w:pPr>
    </w:p>
    <w:p>
      <w:pPr>
        <w:jc w:val="both"/>
        <w:ind w:left="660" w:hanging="368"/>
        <w:spacing w:after="0" w:line="319" w:lineRule="auto"/>
        <w:tabs>
          <w:tab w:leader="none" w:pos="660" w:val="left"/>
        </w:tabs>
        <w:numPr>
          <w:ilvl w:val="0"/>
          <w:numId w:val="63"/>
        </w:numPr>
        <w:rPr>
          <w:rFonts w:ascii="Arial" w:cs="Arial" w:eastAsia="Arial" w:hAnsi="Arial"/>
          <w:sz w:val="17"/>
          <w:szCs w:val="17"/>
          <w:color w:val="231F20"/>
        </w:rPr>
      </w:pPr>
      <w:r>
        <w:rPr>
          <w:rFonts w:ascii="Arial" w:cs="Arial" w:eastAsia="Arial" w:hAnsi="Arial"/>
          <w:sz w:val="17"/>
          <w:szCs w:val="17"/>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57" w:lineRule="exact"/>
        <w:rPr>
          <w:rFonts w:ascii="Arial" w:cs="Arial" w:eastAsia="Arial" w:hAnsi="Arial"/>
          <w:sz w:val="17"/>
          <w:szCs w:val="17"/>
          <w:color w:val="231F20"/>
        </w:rPr>
      </w:pPr>
    </w:p>
    <w:p>
      <w:pPr>
        <w:ind w:left="660" w:right="40" w:hanging="368"/>
        <w:spacing w:after="0" w:line="309"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target company’s board of directors must act in the interests of the company as a whole and must not deny the holders of securities the opportunity to decide on the merits of the offer;</w:t>
      </w:r>
    </w:p>
    <w:p>
      <w:pPr>
        <w:spacing w:after="0" w:line="61" w:lineRule="exact"/>
        <w:rPr>
          <w:rFonts w:ascii="Arial" w:cs="Arial" w:eastAsia="Arial" w:hAnsi="Arial"/>
          <w:sz w:val="18"/>
          <w:szCs w:val="18"/>
          <w:color w:val="231F20"/>
        </w:rPr>
      </w:pPr>
    </w:p>
    <w:p>
      <w:pPr>
        <w:ind w:left="660" w:right="100" w:hanging="368"/>
        <w:spacing w:after="0" w:line="309"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61" w:lineRule="exact"/>
        <w:rPr>
          <w:rFonts w:ascii="Arial" w:cs="Arial" w:eastAsia="Arial" w:hAnsi="Arial"/>
          <w:sz w:val="18"/>
          <w:szCs w:val="18"/>
          <w:color w:val="231F20"/>
        </w:rPr>
      </w:pPr>
    </w:p>
    <w:p>
      <w:pPr>
        <w:ind w:left="660" w:right="420" w:hanging="368"/>
        <w:spacing w:after="0" w:line="309"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61" w:lineRule="exact"/>
        <w:rPr>
          <w:rFonts w:ascii="Arial" w:cs="Arial" w:eastAsia="Arial" w:hAnsi="Arial"/>
          <w:sz w:val="18"/>
          <w:szCs w:val="18"/>
          <w:color w:val="231F20"/>
        </w:rPr>
      </w:pPr>
    </w:p>
    <w:p>
      <w:pPr>
        <w:jc w:val="both"/>
        <w:ind w:left="660" w:right="20" w:hanging="368"/>
        <w:spacing w:after="0" w:line="295"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74" w:lineRule="exact"/>
        <w:rPr>
          <w:rFonts w:ascii="Arial" w:cs="Arial" w:eastAsia="Arial" w:hAnsi="Arial"/>
          <w:sz w:val="18"/>
          <w:szCs w:val="18"/>
          <w:color w:val="231F20"/>
        </w:rPr>
      </w:pPr>
    </w:p>
    <w:p>
      <w:pPr>
        <w:ind w:left="660" w:right="360" w:hanging="368"/>
        <w:spacing w:after="0" w:line="290" w:lineRule="auto"/>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Mandatory Bid</w:t>
      </w:r>
    </w:p>
    <w:p>
      <w:pPr>
        <w:spacing w:after="0" w:line="18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231F20"/>
        </w:rPr>
        <w:t>Under certain circumstances, a person who acquires ordinary shares, or other of the Company’s voting securities, may be required under the Irish takeover rules to make a mandatory cash offer for the remaining issued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55" w:right="279" w:bottom="1440" w:gutter="0" w:footer="0" w:header="0"/>
        </w:sectPr>
      </w:pPr>
    </w:p>
    <w:bookmarkStart w:id="142" w:name="page143"/>
    <w:bookmarkEnd w:id="142"/>
    <w:p>
      <w:pPr>
        <w:spacing w:after="0" w:line="271" w:lineRule="auto"/>
        <w:rPr>
          <w:sz w:val="20"/>
          <w:szCs w:val="20"/>
          <w:color w:val="auto"/>
        </w:rPr>
      </w:pPr>
      <w:r>
        <w:rPr>
          <w:rFonts w:ascii="Arial" w:cs="Arial" w:eastAsia="Arial" w:hAnsi="Arial"/>
          <w:sz w:val="17"/>
          <w:szCs w:val="17"/>
          <w:color w:val="231F20"/>
        </w:rPr>
        <w:t>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Voluntary bid; Requirements to Make a Cash Offer and Minimum Price Requirements</w:t>
      </w:r>
    </w:p>
    <w:p>
      <w:pPr>
        <w:spacing w:after="0" w:line="18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4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offer period will generally commence on the date of the first announcement of the offer or proposed offer.</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Substantial Acquisition Rules</w:t>
      </w:r>
    </w:p>
    <w:p>
      <w:pPr>
        <w:spacing w:after="0" w:line="18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Frustrating Action</w:t>
      </w:r>
    </w:p>
    <w:p>
      <w:pPr>
        <w:spacing w:after="0" w:line="18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51" w:lineRule="exact"/>
        <w:rPr>
          <w:sz w:val="20"/>
          <w:szCs w:val="20"/>
          <w:color w:val="auto"/>
        </w:rPr>
      </w:pPr>
    </w:p>
    <w:p>
      <w:pPr>
        <w:ind w:left="660" w:hanging="368"/>
        <w:spacing w:after="0"/>
        <w:tabs>
          <w:tab w:leader="none" w:pos="66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action is approved by the Company’s shareholders at a general meeting; or</w:t>
      </w:r>
    </w:p>
    <w:p>
      <w:pPr>
        <w:spacing w:after="0" w:line="144" w:lineRule="exact"/>
        <w:rPr>
          <w:rFonts w:ascii="Arial" w:cs="Arial" w:eastAsia="Arial" w:hAnsi="Arial"/>
          <w:sz w:val="18"/>
          <w:szCs w:val="18"/>
          <w:color w:val="231F20"/>
        </w:rPr>
      </w:pPr>
    </w:p>
    <w:p>
      <w:pPr>
        <w:ind w:left="660" w:hanging="368"/>
        <w:spacing w:after="0"/>
        <w:tabs>
          <w:tab w:leader="none" w:pos="66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Irish Takeover Panel has given its consent, where:</w:t>
      </w:r>
    </w:p>
    <w:p>
      <w:pPr>
        <w:spacing w:after="0" w:line="144" w:lineRule="exact"/>
        <w:rPr>
          <w:rFonts w:ascii="Arial" w:cs="Arial" w:eastAsia="Arial" w:hAnsi="Arial"/>
          <w:sz w:val="18"/>
          <w:szCs w:val="18"/>
          <w:color w:val="231F20"/>
        </w:rPr>
      </w:pPr>
    </w:p>
    <w:p>
      <w:pPr>
        <w:ind w:left="660" w:hanging="368"/>
        <w:spacing w:after="0"/>
        <w:tabs>
          <w:tab w:leader="none" w:pos="66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it is satisfied the action would not constitute frustrating action;</w:t>
      </w:r>
    </w:p>
    <w:p>
      <w:pPr>
        <w:spacing w:after="0" w:line="144" w:lineRule="exact"/>
        <w:rPr>
          <w:rFonts w:ascii="Arial" w:cs="Arial" w:eastAsia="Arial" w:hAnsi="Arial"/>
          <w:sz w:val="18"/>
          <w:szCs w:val="18"/>
          <w:color w:val="231F20"/>
        </w:rPr>
      </w:pPr>
    </w:p>
    <w:p>
      <w:pPr>
        <w:ind w:left="660" w:right="360" w:hanging="368"/>
        <w:spacing w:after="0" w:line="309" w:lineRule="auto"/>
        <w:tabs>
          <w:tab w:leader="none" w:pos="66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Company’s shareholders holding more than 50% of the voting rights state in writing that they approve the proposed action and would vote in favor of it at a general meeting;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43" w:name="page144"/>
    <w:bookmarkEnd w:id="143"/>
    <w:p>
      <w:pPr>
        <w:ind w:left="660" w:right="320" w:hanging="368"/>
        <w:spacing w:after="0" w:line="309" w:lineRule="auto"/>
        <w:tabs>
          <w:tab w:leader="none" w:pos="660" w:val="left"/>
        </w:tabs>
        <w:numPr>
          <w:ilvl w:val="0"/>
          <w:numId w:val="65"/>
        </w:numPr>
        <w:rPr>
          <w:rFonts w:ascii="Arial" w:cs="Arial" w:eastAsia="Arial" w:hAnsi="Arial"/>
          <w:sz w:val="18"/>
          <w:szCs w:val="18"/>
          <w:color w:val="231F20"/>
        </w:rPr>
      </w:pPr>
      <w:r>
        <w:rPr>
          <w:rFonts w:ascii="Arial" w:cs="Arial" w:eastAsia="Arial" w:hAnsi="Arial"/>
          <w:sz w:val="18"/>
          <w:szCs w:val="18"/>
          <w:color w:val="231F20"/>
        </w:rPr>
        <w:t>the action is taken in accordance with a contract entered into prior to the announcement of the offer (or any earlier time at which the Company’s board of directors considered the offer to be imminent); or</w:t>
      </w:r>
    </w:p>
    <w:p>
      <w:pPr>
        <w:spacing w:after="0" w:line="61" w:lineRule="exact"/>
        <w:rPr>
          <w:rFonts w:ascii="Arial" w:cs="Arial" w:eastAsia="Arial" w:hAnsi="Arial"/>
          <w:sz w:val="18"/>
          <w:szCs w:val="18"/>
          <w:color w:val="231F20"/>
        </w:rPr>
      </w:pPr>
    </w:p>
    <w:p>
      <w:pPr>
        <w:ind w:left="660" w:right="540" w:hanging="368"/>
        <w:spacing w:after="0" w:line="309" w:lineRule="auto"/>
        <w:tabs>
          <w:tab w:leader="none" w:pos="660" w:val="left"/>
        </w:tabs>
        <w:numPr>
          <w:ilvl w:val="0"/>
          <w:numId w:val="65"/>
        </w:numPr>
        <w:rPr>
          <w:rFonts w:ascii="Arial" w:cs="Arial" w:eastAsia="Arial" w:hAnsi="Arial"/>
          <w:sz w:val="18"/>
          <w:szCs w:val="18"/>
          <w:color w:val="231F20"/>
        </w:rPr>
      </w:pPr>
      <w:r>
        <w:rPr>
          <w:rFonts w:ascii="Arial" w:cs="Arial" w:eastAsia="Arial" w:hAnsi="Arial"/>
          <w:sz w:val="18"/>
          <w:szCs w:val="18"/>
          <w:color w:val="231F20"/>
        </w:rPr>
        <w:t>the decision to take such action was made before the announcement of the offer and either has been at least partially implemented or is in the ordinary course of business.</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Provisions</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Arial" w:cs="Arial" w:eastAsia="Arial" w:hAnsi="Arial"/>
          <w:sz w:val="18"/>
          <w:szCs w:val="18"/>
          <w:i w:val="1"/>
          <w:iCs w:val="1"/>
          <w:color w:val="231F20"/>
        </w:rPr>
        <w:t>—Capital Structure—</w:t>
      </w:r>
      <w:r>
        <w:rPr>
          <w:rFonts w:ascii="Arial" w:cs="Arial" w:eastAsia="Arial" w:hAnsi="Arial"/>
          <w:sz w:val="18"/>
          <w:szCs w:val="18"/>
          <w:color w:val="231F20"/>
        </w:rPr>
        <w:t xml:space="preserve"> </w:t>
      </w:r>
      <w:r>
        <w:rPr>
          <w:rFonts w:ascii="Arial" w:cs="Arial" w:eastAsia="Arial" w:hAnsi="Arial"/>
          <w:sz w:val="18"/>
          <w:szCs w:val="18"/>
          <w:i w:val="1"/>
          <w:iCs w:val="1"/>
          <w:color w:val="231F20"/>
        </w:rPr>
        <w:t>Authorized Share Capital</w:t>
      </w:r>
      <w:r>
        <w:rPr>
          <w:rFonts w:ascii="Arial" w:cs="Arial" w:eastAsia="Arial" w:hAnsi="Arial"/>
          <w:sz w:val="18"/>
          <w:szCs w:val="18"/>
          <w:color w:val="231F20"/>
        </w:rPr>
        <w:t>” (regarding issuance of preferred shares), “</w:t>
      </w:r>
      <w:r>
        <w:rPr>
          <w:rFonts w:ascii="Arial" w:cs="Arial" w:eastAsia="Arial" w:hAnsi="Arial"/>
          <w:sz w:val="18"/>
          <w:szCs w:val="18"/>
          <w:i w:val="1"/>
          <w:iCs w:val="1"/>
          <w:color w:val="231F20"/>
        </w:rPr>
        <w:t>—Preemption Rights, Share Warrants and Share Options</w:t>
      </w:r>
      <w:r>
        <w:rPr>
          <w:rFonts w:ascii="Arial" w:cs="Arial" w:eastAsia="Arial" w:hAnsi="Arial"/>
          <w:sz w:val="18"/>
          <w:szCs w:val="18"/>
          <w:color w:val="231F20"/>
        </w:rPr>
        <w:t>,” “</w:t>
      </w:r>
      <w:r>
        <w:rPr>
          <w:rFonts w:ascii="Arial" w:cs="Arial" w:eastAsia="Arial" w:hAnsi="Arial"/>
          <w:sz w:val="18"/>
          <w:szCs w:val="18"/>
          <w:i w:val="1"/>
          <w:iCs w:val="1"/>
          <w:color w:val="231F20"/>
        </w:rPr>
        <w:t>—Disclosure of Interests in Shares</w:t>
      </w:r>
      <w:r>
        <w:rPr>
          <w:rFonts w:ascii="Arial" w:cs="Arial" w:eastAsia="Arial" w:hAnsi="Arial"/>
          <w:sz w:val="18"/>
          <w:szCs w:val="18"/>
          <w:color w:val="231F20"/>
        </w:rPr>
        <w:t>” and “</w:t>
      </w:r>
      <w:r>
        <w:rPr>
          <w:rFonts w:ascii="Arial" w:cs="Arial" w:eastAsia="Arial" w:hAnsi="Arial"/>
          <w:sz w:val="18"/>
          <w:szCs w:val="18"/>
          <w:i w:val="1"/>
          <w:iCs w:val="1"/>
          <w:color w:val="231F20"/>
        </w:rPr>
        <w:t>—Corporate Governance</w:t>
      </w:r>
      <w:r>
        <w:rPr>
          <w:rFonts w:ascii="Arial" w:cs="Arial" w:eastAsia="Arial" w:hAnsi="Arial"/>
          <w:sz w:val="18"/>
          <w:szCs w:val="18"/>
          <w:color w:val="231F20"/>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18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 Committees may meet and adjourn as they determine proper. A vote at any committee meeting will be determined by a majority of votes of the members present.</w:t>
      </w:r>
    </w:p>
    <w:p>
      <w:pPr>
        <w:spacing w:after="0" w:line="14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231F20"/>
        </w:rPr>
        <w:t>The Companies Act require a minimum of two directors. The Company’s Constitution provides that the board may determine the size of the board from time to time.</w:t>
      </w:r>
    </w:p>
    <w:p>
      <w:pPr>
        <w:spacing w:after="0" w:line="13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The Company’s board of directors is divided into three classes, designated Class I, Class II and Class III. The term of the Class I directors will expire on the date of the 2021 annual general meeting; the term of the Class II directors will expire on the date of the 2022 annual general meeting; and the term of the Class III directors will expire on the date of the 2020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14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3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231F20"/>
        </w:rPr>
        <w:t>The Company’s Constitution provides that the board of directors may fill any vacancy occurring on the board of directors. If the Company’s board of directors fills a vacancy, the director’s term expires at the next annual</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355" w:right="319" w:bottom="1440" w:gutter="0" w:footer="0" w:header="0"/>
        </w:sectPr>
      </w:pPr>
    </w:p>
    <w:bookmarkStart w:id="144" w:name="page145"/>
    <w:bookmarkEnd w:id="144"/>
    <w:p>
      <w:pPr>
        <w:ind w:right="420"/>
        <w:spacing w:after="0" w:line="308" w:lineRule="auto"/>
        <w:rPr>
          <w:sz w:val="20"/>
          <w:szCs w:val="20"/>
          <w:color w:val="auto"/>
        </w:rPr>
      </w:pPr>
      <w:r>
        <w:rPr>
          <w:rFonts w:ascii="Arial" w:cs="Arial" w:eastAsia="Arial" w:hAnsi="Arial"/>
          <w:sz w:val="17"/>
          <w:szCs w:val="17"/>
          <w:color w:val="231F20"/>
        </w:rPr>
        <w:t>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Legal Name; Formation; Fiscal Year; Registered Office</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Duration; Dissolution; Rights Upon Liquidation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13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Certificated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Pursuant to the Companies Act, a shareholder is entitled to be issued a share certificate on request and subject to payment of a nominal fee.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Sinking Fund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Ordinary shares have no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Exchange Listing</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231F20"/>
        </w:rPr>
        <w:t>Ordinary shares are listed on The NASDAQ Global Select Market under the trading symbol “JAZZ.” Ordinary shares are not currently intended to be listed on the Irish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Transfer and Registration of Shares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3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41" w:right="259" w:bottom="1440" w:gutter="0" w:footer="0" w:header="0"/>
        </w:sectPr>
      </w:pPr>
    </w:p>
    <w:bookmarkStart w:id="145" w:name="page146"/>
    <w:bookmarkEnd w:id="145"/>
    <w:p>
      <w:pPr>
        <w:ind w:right="80" w:firstLine="324"/>
        <w:spacing w:after="0" w:line="289" w:lineRule="auto"/>
        <w:rPr>
          <w:sz w:val="20"/>
          <w:szCs w:val="20"/>
          <w:color w:val="auto"/>
        </w:rPr>
      </w:pPr>
      <w:r>
        <w:rPr>
          <w:rFonts w:ascii="Arial" w:cs="Arial" w:eastAsia="Arial" w:hAnsi="Arial"/>
          <w:sz w:val="16"/>
          <w:szCs w:val="16"/>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 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26"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4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directors may suspend registration of transfers from time to time, not exceeding 30 days in aggregate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Irish Restrictions on Import and Export of Capital</w:t>
      </w:r>
    </w:p>
    <w:p>
      <w:pPr>
        <w:spacing w:after="0" w:line="18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4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231F20"/>
        </w:rPr>
        <w:t>The Financial Transfers Act, 1992, provides that the Irish Minister for Finance can make provision for the restriction of financial transfers between Ireland and other countries. For the purposes of this Act, “financial transfers” include all transfers which would be movements of capital or payments within the meaning of the treaties governing the European Communities if they had been made between Member States of the Communities. This Act has been used by the Minister for Finance to implement European Council Directives, which provide for the restriction of financial transfers to certain countries, organizations and people including the Al-Qaeda network and the Taliban, Afghanistan, Belarus, Burma (Myanmar), Democratic People’s Republic of Korea, Democratic Republic of Congo, Egypt, Iran, Iraq, Ivory Coast, Lebanon, Liberia, Libya, Republic of Guinea, Somalia, Sudan, and Syria.</w:t>
      </w:r>
    </w:p>
    <w:p>
      <w:pPr>
        <w:spacing w:after="0" w:line="124"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41" w:right="279" w:bottom="1440" w:gutter="0" w:footer="0" w:header="0"/>
        </w:sectPr>
      </w:pPr>
    </w:p>
    <w:bookmarkStart w:id="146" w:name="page147"/>
    <w:bookmarkEnd w:id="146"/>
    <w:p>
      <w:pPr>
        <w:ind w:left="40"/>
        <w:spacing w:after="0"/>
        <w:tabs>
          <w:tab w:leader="none" w:pos="10140" w:val="left"/>
        </w:tabs>
        <w:rPr>
          <w:sz w:val="20"/>
          <w:szCs w:val="20"/>
          <w:color w:val="auto"/>
        </w:rPr>
      </w:pPr>
      <w:r>
        <w:rPr>
          <w:rFonts w:ascii="Arial" w:cs="Arial" w:eastAsia="Arial" w:hAnsi="Arial"/>
          <w:sz w:val="22"/>
          <w:szCs w:val="22"/>
          <w:color w:val="auto"/>
        </w:rPr>
        <w:t>Execution Version</w:t>
      </w:r>
      <w:r>
        <w:rPr>
          <w:sz w:val="20"/>
          <w:szCs w:val="20"/>
          <w:color w:val="auto"/>
        </w:rPr>
        <w:tab/>
      </w:r>
      <w:r>
        <w:rPr>
          <w:rFonts w:ascii="Arial" w:cs="Arial" w:eastAsia="Arial" w:hAnsi="Arial"/>
          <w:sz w:val="19"/>
          <w:szCs w:val="19"/>
          <w:b w:val="1"/>
          <w:bCs w:val="1"/>
          <w:color w:val="auto"/>
        </w:rPr>
        <w:t>Exhibit 10.10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CONTRACT MANUFACTURING AGREEMENT</w:t>
      </w:r>
    </w:p>
    <w:p>
      <w:pPr>
        <w:spacing w:after="0" w:line="30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API AND DRUG PRODUCT</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Agreement is made as of 20 January 2020 (the </w:t>
      </w:r>
      <w:r>
        <w:rPr>
          <w:rFonts w:ascii="Arial" w:cs="Arial" w:eastAsia="Arial" w:hAnsi="Arial"/>
          <w:sz w:val="20"/>
          <w:szCs w:val="20"/>
          <w:b w:val="1"/>
          <w:bCs w:val="1"/>
          <w:color w:val="auto"/>
        </w:rPr>
        <w:t>Effective Date</w:t>
      </w:r>
      <w:r>
        <w:rPr>
          <w:rFonts w:ascii="Arial" w:cs="Arial" w:eastAsia="Arial" w:hAnsi="Arial"/>
          <w:sz w:val="20"/>
          <w:szCs w:val="20"/>
          <w:color w:val="auto"/>
        </w:rPr>
        <w:t>) between</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Siegfried AG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Untere Bruehlstrasse 4, 4800 Zofingen, Switzerland (</w:t>
      </w:r>
      <w:r>
        <w:rPr>
          <w:rFonts w:ascii="Arial" w:cs="Arial" w:eastAsia="Arial" w:hAnsi="Arial"/>
          <w:sz w:val="20"/>
          <w:szCs w:val="20"/>
          <w:b w:val="1"/>
          <w:bCs w:val="1"/>
          <w:color w:val="auto"/>
        </w:rPr>
        <w:t>Siegfried</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Pharmaceuticals Ireland Limited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Waterloo Exchange, Waterloo Road, Dublin 4, Ireland (</w:t>
      </w:r>
      <w:r>
        <w:rPr>
          <w:rFonts w:ascii="Arial" w:cs="Arial" w:eastAsia="Arial" w:hAnsi="Arial"/>
          <w:sz w:val="20"/>
          <w:szCs w:val="20"/>
          <w:b w:val="1"/>
          <w:bCs w:val="1"/>
          <w:color w:val="auto"/>
        </w:rPr>
        <w:t>Jazz</w:t>
      </w:r>
      <w:r>
        <w:rPr>
          <w:rFonts w:ascii="Arial" w:cs="Arial" w:eastAsia="Arial" w:hAnsi="Arial"/>
          <w:sz w:val="20"/>
          <w:szCs w:val="20"/>
          <w:color w:val="auto"/>
        </w:rPr>
        <w:t>).</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199" w:lineRule="exact"/>
        <w:rPr>
          <w:sz w:val="20"/>
          <w:szCs w:val="20"/>
          <w:color w:val="auto"/>
        </w:rPr>
      </w:pPr>
    </w:p>
    <w:p>
      <w:pPr>
        <w:ind w:left="640" w:hanging="308"/>
        <w:spacing w:after="0" w:line="317" w:lineRule="auto"/>
        <w:tabs>
          <w:tab w:leader="none" w:pos="622" w:val="left"/>
        </w:tabs>
        <w:numPr>
          <w:ilvl w:val="0"/>
          <w:numId w:val="66"/>
        </w:numPr>
        <w:rPr>
          <w:rFonts w:ascii="Arial" w:cs="Arial" w:eastAsia="Arial" w:hAnsi="Arial"/>
          <w:sz w:val="20"/>
          <w:szCs w:val="20"/>
          <w:color w:val="auto"/>
        </w:rPr>
      </w:pPr>
      <w:r>
        <w:rPr>
          <w:rFonts w:ascii="Arial" w:cs="Arial" w:eastAsia="Arial" w:hAnsi="Arial"/>
          <w:sz w:val="20"/>
          <w:szCs w:val="20"/>
          <w:color w:val="auto"/>
        </w:rPr>
        <w:t>Siegfried is engaged in the business of, among other things, providing development and/or manufacturing services with regard to drug substances and drug products for the pharmaceutical industry;</w:t>
      </w:r>
    </w:p>
    <w:p>
      <w:pPr>
        <w:spacing w:after="0" w:line="94" w:lineRule="exact"/>
        <w:rPr>
          <w:rFonts w:ascii="Arial" w:cs="Arial" w:eastAsia="Arial" w:hAnsi="Arial"/>
          <w:sz w:val="20"/>
          <w:szCs w:val="20"/>
          <w:color w:val="auto"/>
        </w:rPr>
      </w:pPr>
    </w:p>
    <w:p>
      <w:pPr>
        <w:ind w:left="640" w:hanging="308"/>
        <w:spacing w:after="0" w:line="317" w:lineRule="auto"/>
        <w:tabs>
          <w:tab w:leader="none" w:pos="622" w:val="left"/>
        </w:tabs>
        <w:numPr>
          <w:ilvl w:val="0"/>
          <w:numId w:val="66"/>
        </w:numPr>
        <w:rPr>
          <w:rFonts w:ascii="Arial" w:cs="Arial" w:eastAsia="Arial" w:hAnsi="Arial"/>
          <w:sz w:val="20"/>
          <w:szCs w:val="20"/>
          <w:color w:val="auto"/>
        </w:rPr>
      </w:pPr>
      <w:r>
        <w:rPr>
          <w:rFonts w:ascii="Arial" w:cs="Arial" w:eastAsia="Arial" w:hAnsi="Arial"/>
          <w:sz w:val="20"/>
          <w:szCs w:val="20"/>
          <w:color w:val="auto"/>
        </w:rPr>
        <w:t>Jazz is engaged in the business of, among other things, developing, producing, formulating, distributing and commercializing pharmaceutical products;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Jazz desires to have Siegfried Manufacture and supply to Jazz Product (as defined herein) in commercial quantities; and</w:t>
      </w:r>
    </w:p>
    <w:p>
      <w:pPr>
        <w:spacing w:after="0" w:line="175" w:lineRule="exact"/>
        <w:rPr>
          <w:rFonts w:ascii="Arial" w:cs="Arial" w:eastAsia="Arial" w:hAnsi="Arial"/>
          <w:sz w:val="20"/>
          <w:szCs w:val="20"/>
          <w:color w:val="auto"/>
        </w:rPr>
      </w:pPr>
    </w:p>
    <w:p>
      <w:pPr>
        <w:ind w:left="620" w:hanging="288"/>
        <w:spacing w:after="0"/>
        <w:tabs>
          <w:tab w:leader="none" w:pos="6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Siegfried, subject to the terms and conditions of this Agreement, desires to Manufacture and supply Product to Jazz.</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Parties agree as follows:</w:t>
      </w:r>
    </w:p>
    <w:p>
      <w:pPr>
        <w:spacing w:after="0" w:line="337"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99" w:lineRule="exact"/>
        <w:rPr>
          <w:rFonts w:ascii="Arial" w:cs="Arial" w:eastAsia="Arial" w:hAnsi="Arial"/>
          <w:sz w:val="20"/>
          <w:szCs w:val="20"/>
          <w:b w:val="1"/>
          <w:bCs w:val="1"/>
          <w:color w:val="auto"/>
        </w:rPr>
      </w:pPr>
    </w:p>
    <w:p>
      <w:pPr>
        <w:jc w:val="both"/>
        <w:ind w:left="500"/>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Unless elsewhere defined in this Agreement, each of the capitalized terms used in this Agreement (other than the names of the Parties and the headings of the Sections) shall have the meanings indicated below. Such meanings shall apply equally to all forms of such terms, including singular and plural forms, unless otherwise clearly indicated.</w:t>
      </w:r>
    </w:p>
    <w:p>
      <w:pPr>
        <w:spacing w:after="0" w:line="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 xml:space="preserve">Active Pharmaceutical Ingredient/API </w:t>
      </w:r>
      <w:r>
        <w:rPr>
          <w:rFonts w:ascii="Arial" w:cs="Arial" w:eastAsia="Arial" w:hAnsi="Arial"/>
          <w:sz w:val="19"/>
          <w:szCs w:val="19"/>
          <w:color w:val="auto"/>
        </w:rPr>
        <w:t>shall mean the active pharmaceutical ingredient(s)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Annex 1.1</w:t>
      </w:r>
      <w:r>
        <w:rPr>
          <w:rFonts w:ascii="Arial" w:cs="Arial" w:eastAsia="Arial" w:hAnsi="Arial"/>
          <w:sz w:val="19"/>
          <w:szCs w:val="19"/>
          <w:color w:val="auto"/>
        </w:rPr>
        <w:t>.</w:t>
      </w:r>
    </w:p>
    <w:p>
      <w:pPr>
        <w:spacing w:after="0" w:line="337"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74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color w:val="auto"/>
        </w:rPr>
        <w:t>2 / 37</w:t>
      </w:r>
    </w:p>
    <w:p>
      <w:pPr>
        <w:spacing w:after="0" w:line="200" w:lineRule="exact"/>
        <w:rPr>
          <w:sz w:val="20"/>
          <w:szCs w:val="20"/>
          <w:color w:val="auto"/>
        </w:rPr>
      </w:pPr>
    </w:p>
    <w:p>
      <w:pPr>
        <w:spacing w:after="0" w:line="255" w:lineRule="exact"/>
        <w:rPr>
          <w:sz w:val="20"/>
          <w:szCs w:val="20"/>
          <w:color w:val="auto"/>
        </w:rPr>
      </w:pPr>
    </w:p>
    <w:p>
      <w:pPr>
        <w:jc w:val="both"/>
        <w:ind w:left="500" w:hanging="499"/>
        <w:spacing w:after="0" w:line="346" w:lineRule="auto"/>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0"/>
          <w:szCs w:val="20"/>
          <w:b w:val="1"/>
          <w:bCs w:val="1"/>
          <w:color w:val="auto"/>
        </w:rPr>
        <w:t xml:space="preserve">Affiliate </w:t>
      </w:r>
      <w:r>
        <w:rPr>
          <w:rFonts w:ascii="Arial" w:cs="Arial" w:eastAsia="Arial" w:hAnsi="Arial"/>
          <w:sz w:val="20"/>
          <w:szCs w:val="20"/>
          <w:color w:val="auto"/>
        </w:rPr>
        <w:t>shall mean with respect to any Party any person or entity Controlling, Controlled by, or under common Control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 Party at any time during the Term of this Agreement. For purposes of this definition, the term </w:t>
      </w:r>
      <w:r>
        <w:rPr>
          <w:rFonts w:ascii="Arial" w:cs="Arial" w:eastAsia="Arial" w:hAnsi="Arial"/>
          <w:sz w:val="20"/>
          <w:szCs w:val="20"/>
          <w:b w:val="1"/>
          <w:bCs w:val="1"/>
          <w:color w:val="auto"/>
        </w:rPr>
        <w:t>Control</w:t>
      </w:r>
      <w:r>
        <w:rPr>
          <w:rFonts w:ascii="Arial" w:cs="Arial" w:eastAsia="Arial" w:hAnsi="Arial"/>
          <w:sz w:val="20"/>
          <w:szCs w:val="20"/>
          <w:color w:val="auto"/>
        </w:rPr>
        <w:t xml:space="preserve"> shall mean the power to direct or cause the direction of the management and policies of an entity, whether through the ownership of voting stock, by contract or otherwise. In the case of a corporation, the term Control shall mean the direct or indirect ownership of at least fifty per cent (50%) of the outstanding voting stock.</w:t>
      </w:r>
    </w:p>
    <w:p>
      <w:pPr>
        <w:spacing w:after="0" w:line="71" w:lineRule="exact"/>
        <w:rPr>
          <w:sz w:val="20"/>
          <w:szCs w:val="20"/>
          <w:color w:val="auto"/>
        </w:rPr>
      </w:pPr>
    </w:p>
    <w:p>
      <w:pPr>
        <w:jc w:val="both"/>
        <w:ind w:left="500" w:hanging="499"/>
        <w:spacing w:after="0" w:line="354" w:lineRule="auto"/>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0"/>
          <w:szCs w:val="20"/>
          <w:b w:val="1"/>
          <w:bCs w:val="1"/>
          <w:color w:val="auto"/>
        </w:rPr>
        <w:t xml:space="preserve">Agreement </w:t>
      </w:r>
      <w:r>
        <w:rPr>
          <w:rFonts w:ascii="Arial" w:cs="Arial" w:eastAsia="Arial" w:hAnsi="Arial"/>
          <w:sz w:val="20"/>
          <w:szCs w:val="20"/>
          <w:color w:val="auto"/>
        </w:rPr>
        <w:t>shall mean this Contract Manufacturing Agreement, including its Annexes (and appendices, if applicable),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Quality Agreement, in each case as may be amended from time to time according to the applicable terms and conditions of this Agreement or the Quality Agreement.</w:t>
      </w:r>
    </w:p>
    <w:p>
      <w:pPr>
        <w:spacing w:after="0" w:line="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 xml:space="preserve">Alternative Manufacturer </w:t>
      </w:r>
      <w:r>
        <w:rPr>
          <w:rFonts w:ascii="Arial" w:cs="Arial" w:eastAsia="Arial" w:hAnsi="Arial"/>
          <w:sz w:val="19"/>
          <w:szCs w:val="19"/>
          <w:color w:val="auto"/>
        </w:rPr>
        <w:t>shall have the meaning as set out in Section 12.10.</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 xml:space="preserve">API Manufacturing Site </w:t>
      </w:r>
      <w:r>
        <w:rPr>
          <w:rFonts w:ascii="Arial" w:cs="Arial" w:eastAsia="Arial" w:hAnsi="Arial"/>
          <w:sz w:val="19"/>
          <w:szCs w:val="19"/>
          <w:color w:val="auto"/>
        </w:rPr>
        <w:t>shall mean Siegfried’s facilities located at Untere Bruehlstrasse 4, 4800 Zofingen, Switzerland.</w:t>
      </w:r>
    </w:p>
    <w:p>
      <w:pPr>
        <w:spacing w:after="0" w:line="179" w:lineRule="exact"/>
        <w:rPr>
          <w:sz w:val="20"/>
          <w:szCs w:val="20"/>
          <w:color w:val="auto"/>
        </w:rPr>
      </w:pPr>
    </w:p>
    <w:p>
      <w:pPr>
        <w:jc w:val="both"/>
        <w:ind w:left="500" w:hanging="499"/>
        <w:spacing w:after="0" w:line="367" w:lineRule="auto"/>
        <w:tabs>
          <w:tab w:leader="none" w:pos="4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Applicable Laws </w:t>
      </w:r>
      <w:r>
        <w:rPr>
          <w:rFonts w:ascii="Arial" w:cs="Arial" w:eastAsia="Arial" w:hAnsi="Arial"/>
          <w:sz w:val="19"/>
          <w:szCs w:val="19"/>
          <w:color w:val="auto"/>
        </w:rPr>
        <w:t>shall mean all laws, rules and regulations applicable to the Manufacturing of API at the API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Site or to the Manufacturing of Drug Product at the Drug Product Manufacturing Site, respectively, including without limitation the (i) U.S. Federal Food, Drug and Cosmetic Act, and all rules and regulations thereunder, (ii) EU Commission Directives 2001/83/EC as amended, and 2003/94/EC, and Directive 91/412/EEC, (iii) cGMP Regulations, and (iv) the counterparts to the foregoing in other jurisdictions, to the extent that Siegfried performs any Manufacturing in such jurisdiction.</w:t>
      </w:r>
    </w:p>
    <w:p>
      <w:pPr>
        <w:spacing w:after="0" w:line="58" w:lineRule="exact"/>
        <w:rPr>
          <w:sz w:val="20"/>
          <w:szCs w:val="20"/>
          <w:color w:val="auto"/>
        </w:rPr>
      </w:pPr>
    </w:p>
    <w:p>
      <w:pPr>
        <w:jc w:val="both"/>
        <w:ind w:left="500" w:hanging="499"/>
        <w:spacing w:after="0" w:line="370" w:lineRule="auto"/>
        <w:tabs>
          <w:tab w:leader="none" w:pos="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0"/>
          <w:szCs w:val="20"/>
          <w:b w:val="1"/>
          <w:bCs w:val="1"/>
          <w:color w:val="auto"/>
        </w:rPr>
        <w:t xml:space="preserve">Arising Intellectual Property Rights </w:t>
      </w:r>
      <w:r>
        <w:rPr>
          <w:rFonts w:ascii="Arial" w:cs="Arial" w:eastAsia="Arial" w:hAnsi="Arial"/>
          <w:sz w:val="20"/>
          <w:szCs w:val="20"/>
          <w:color w:val="auto"/>
        </w:rPr>
        <w:t>means all Intellectual Property Rights which are made, developed or reduced to</w:t>
      </w:r>
      <w:r>
        <w:rPr>
          <w:rFonts w:ascii="Arial" w:cs="Arial" w:eastAsia="Arial" w:hAnsi="Arial"/>
          <w:sz w:val="20"/>
          <w:szCs w:val="20"/>
          <w:b w:val="1"/>
          <w:bCs w:val="1"/>
          <w:color w:val="auto"/>
        </w:rPr>
        <w:t xml:space="preserve"> </w:t>
      </w:r>
      <w:r>
        <w:rPr>
          <w:rFonts w:ascii="Arial" w:cs="Arial" w:eastAsia="Arial" w:hAnsi="Arial"/>
          <w:sz w:val="20"/>
          <w:szCs w:val="20"/>
          <w:color w:val="auto"/>
        </w:rPr>
        <w:t>practice by a Party in the performance of, or in connection with or related to, this Agreement.</w:t>
      </w:r>
    </w:p>
    <w:p>
      <w:pPr>
        <w:spacing w:after="0" w:line="47" w:lineRule="exact"/>
        <w:rPr>
          <w:sz w:val="20"/>
          <w:szCs w:val="20"/>
          <w:color w:val="auto"/>
        </w:rPr>
      </w:pPr>
    </w:p>
    <w:p>
      <w:pPr>
        <w:jc w:val="both"/>
        <w:ind w:left="500" w:hanging="499"/>
        <w:spacing w:after="0" w:line="370" w:lineRule="auto"/>
        <w:tabs>
          <w:tab w:leader="none" w:pos="4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0"/>
          <w:szCs w:val="20"/>
          <w:b w:val="1"/>
          <w:bCs w:val="1"/>
          <w:color w:val="auto"/>
        </w:rPr>
        <w:t xml:space="preserve">Batch </w:t>
      </w:r>
      <w:r>
        <w:rPr>
          <w:rFonts w:ascii="Arial" w:cs="Arial" w:eastAsia="Arial" w:hAnsi="Arial"/>
          <w:sz w:val="20"/>
          <w:szCs w:val="20"/>
          <w:color w:val="auto"/>
        </w:rPr>
        <w:t>shall mean a specific quantity of Product or other Material that is intended to have uniform character and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within specified limits, and is produced during the same cycle of manufacture.</w:t>
      </w:r>
    </w:p>
    <w:p>
      <w:pPr>
        <w:spacing w:after="0" w:line="47" w:lineRule="exact"/>
        <w:rPr>
          <w:sz w:val="20"/>
          <w:szCs w:val="20"/>
          <w:color w:val="auto"/>
        </w:rPr>
      </w:pPr>
    </w:p>
    <w:p>
      <w:pPr>
        <w:jc w:val="both"/>
        <w:ind w:left="500" w:hanging="499"/>
        <w:spacing w:after="0" w:line="370" w:lineRule="auto"/>
        <w:tabs>
          <w:tab w:leader="none" w:pos="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shall mean a day (not being a Saturday or Sunday) on which banks are open for business in Zurich,</w:t>
      </w:r>
      <w:r>
        <w:rPr>
          <w:rFonts w:ascii="Arial" w:cs="Arial" w:eastAsia="Arial" w:hAnsi="Arial"/>
          <w:sz w:val="20"/>
          <w:szCs w:val="20"/>
          <w:b w:val="1"/>
          <w:bCs w:val="1"/>
          <w:color w:val="auto"/>
        </w:rPr>
        <w:t xml:space="preserve"> </w:t>
      </w:r>
      <w:r>
        <w:rPr>
          <w:rFonts w:ascii="Arial" w:cs="Arial" w:eastAsia="Arial" w:hAnsi="Arial"/>
          <w:sz w:val="20"/>
          <w:szCs w:val="20"/>
          <w:color w:val="auto"/>
        </w:rPr>
        <w:t>Switzerland, Hal-Far, Malta or Dublin, Ireland, as the context requires.</w:t>
      </w:r>
    </w:p>
    <w:p>
      <w:pPr>
        <w:spacing w:after="0" w:line="47" w:lineRule="exact"/>
        <w:rPr>
          <w:sz w:val="20"/>
          <w:szCs w:val="20"/>
          <w:color w:val="auto"/>
        </w:rPr>
      </w:pPr>
    </w:p>
    <w:p>
      <w:pPr>
        <w:jc w:val="both"/>
        <w:ind w:left="500" w:hanging="499"/>
        <w:spacing w:after="0" w:line="388"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19"/>
          <w:szCs w:val="19"/>
          <w:b w:val="1"/>
          <w:bCs w:val="1"/>
          <w:color w:val="auto"/>
        </w:rPr>
        <w:t>cGMP</w:t>
      </w:r>
      <w:r>
        <w:rPr>
          <w:rFonts w:ascii="Arial" w:cs="Arial" w:eastAsia="Arial" w:hAnsi="Arial"/>
          <w:sz w:val="22"/>
          <w:szCs w:val="22"/>
          <w:color w:val="auto"/>
        </w:rPr>
        <w:t xml:space="preserve"> </w:t>
      </w:r>
      <w:r>
        <w:rPr>
          <w:rFonts w:ascii="Arial" w:cs="Arial" w:eastAsia="Arial" w:hAnsi="Arial"/>
          <w:sz w:val="19"/>
          <w:szCs w:val="19"/>
          <w:color w:val="auto"/>
        </w:rPr>
        <w:t>shall mean good manufacturing practices as described in regulations and guidance documents pertaining to</w:t>
      </w:r>
      <w:r>
        <w:rPr>
          <w:rFonts w:ascii="Arial" w:cs="Arial" w:eastAsia="Arial" w:hAnsi="Arial"/>
          <w:sz w:val="22"/>
          <w:szCs w:val="22"/>
          <w:color w:val="auto"/>
        </w:rPr>
        <w:t xml:space="preserve"> </w:t>
      </w:r>
      <w:r>
        <w:rPr>
          <w:rFonts w:ascii="Arial" w:cs="Arial" w:eastAsia="Arial" w:hAnsi="Arial"/>
          <w:sz w:val="19"/>
          <w:szCs w:val="19"/>
          <w:color w:val="auto"/>
        </w:rPr>
        <w:t>manufacturing and quality control practice applicable for respective Product as may be further defined in the Quality Agreement.</w:t>
      </w:r>
    </w:p>
    <w:p>
      <w:pPr>
        <w:spacing w:after="0" w:line="318" w:lineRule="exact"/>
        <w:rPr>
          <w:sz w:val="20"/>
          <w:szCs w:val="20"/>
          <w:color w:val="auto"/>
        </w:rPr>
      </w:pPr>
    </w:p>
    <w:p>
      <w:pPr>
        <w:jc w:val="both"/>
        <w:ind w:left="500" w:hanging="499"/>
        <w:spacing w:after="0" w:line="388"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19"/>
          <w:szCs w:val="19"/>
          <w:b w:val="1"/>
          <w:bCs w:val="1"/>
          <w:color w:val="auto"/>
        </w:rPr>
        <w:t>Change</w:t>
      </w:r>
      <w:r>
        <w:rPr>
          <w:rFonts w:ascii="Arial" w:cs="Arial" w:eastAsia="Arial" w:hAnsi="Arial"/>
          <w:sz w:val="22"/>
          <w:szCs w:val="22"/>
          <w:color w:val="auto"/>
        </w:rPr>
        <w:t xml:space="preserve"> </w:t>
      </w:r>
      <w:r>
        <w:rPr>
          <w:rFonts w:ascii="Arial" w:cs="Arial" w:eastAsia="Arial" w:hAnsi="Arial"/>
          <w:sz w:val="19"/>
          <w:szCs w:val="19"/>
          <w:color w:val="auto"/>
        </w:rPr>
        <w:t>shall mean any change to the Specifications, Master Batch Record, Raw Materials, Consigned Materials,</w:t>
      </w:r>
      <w:r>
        <w:rPr>
          <w:rFonts w:ascii="Arial" w:cs="Arial" w:eastAsia="Arial" w:hAnsi="Arial"/>
          <w:sz w:val="22"/>
          <w:szCs w:val="22"/>
          <w:color w:val="auto"/>
        </w:rPr>
        <w:t xml:space="preserve"> </w:t>
      </w:r>
      <w:r>
        <w:rPr>
          <w:rFonts w:ascii="Arial" w:cs="Arial" w:eastAsia="Arial" w:hAnsi="Arial"/>
          <w:sz w:val="19"/>
          <w:szCs w:val="19"/>
          <w:color w:val="auto"/>
        </w:rPr>
        <w:t xml:space="preserve">Designated Vendor, API Manufacturing Site or the Drug Product Manufacturing Site, such Change being either (i) a </w:t>
      </w:r>
      <w:r>
        <w:rPr>
          <w:rFonts w:ascii="Arial" w:cs="Arial" w:eastAsia="Arial" w:hAnsi="Arial"/>
          <w:sz w:val="19"/>
          <w:szCs w:val="19"/>
          <w:b w:val="1"/>
          <w:bCs w:val="1"/>
          <w:color w:val="auto"/>
        </w:rPr>
        <w:t xml:space="preserve">Required Change </w:t>
      </w:r>
      <w:r>
        <w:rPr>
          <w:rFonts w:ascii="Arial" w:cs="Arial" w:eastAsia="Arial" w:hAnsi="Arial"/>
          <w:sz w:val="19"/>
          <w:szCs w:val="19"/>
          <w:color w:val="auto"/>
        </w:rPr>
        <w:t>(as</w:t>
      </w:r>
    </w:p>
    <w:p>
      <w:pPr>
        <w:spacing w:after="0" w:line="200" w:lineRule="exact"/>
        <w:rPr>
          <w:sz w:val="20"/>
          <w:szCs w:val="20"/>
          <w:color w:val="auto"/>
        </w:rPr>
      </w:pPr>
    </w:p>
    <w:p>
      <w:pPr>
        <w:spacing w:after="0" w:line="276"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00" w:type="dxa"/>
            <w:vAlign w:val="bottom"/>
            <w:gridSpan w:val="5"/>
          </w:tcPr>
          <w:p>
            <w:pPr>
              <w:jc w:val="right"/>
              <w:spacing w:after="0"/>
              <w:rPr>
                <w:sz w:val="20"/>
                <w:szCs w:val="20"/>
                <w:color w:val="auto"/>
              </w:rPr>
            </w:pPr>
            <w:r>
              <w:rPr>
                <w:rFonts w:ascii="Arial" w:cs="Arial" w:eastAsia="Arial" w:hAnsi="Arial"/>
                <w:sz w:val="14"/>
                <w:szCs w:val="14"/>
                <w:color w:val="auto"/>
              </w:rPr>
              <w:t>3 / 37</w:t>
            </w:r>
          </w:p>
        </w:tc>
      </w:tr>
      <w:tr>
        <w:trPr>
          <w:trHeight w:val="691"/>
        </w:trPr>
        <w:tc>
          <w:tcPr>
            <w:tcW w:w="460" w:type="dxa"/>
            <w:vAlign w:val="bottom"/>
          </w:tcPr>
          <w:p>
            <w:pPr>
              <w:spacing w:after="0"/>
              <w:rPr>
                <w:sz w:val="24"/>
                <w:szCs w:val="24"/>
                <w:color w:val="auto"/>
              </w:rPr>
            </w:pPr>
          </w:p>
        </w:tc>
        <w:tc>
          <w:tcPr>
            <w:tcW w:w="10960" w:type="dxa"/>
            <w:vAlign w:val="bottom"/>
            <w:gridSpan w:val="7"/>
          </w:tcPr>
          <w:p>
            <w:pPr>
              <w:ind w:left="40"/>
              <w:spacing w:after="0"/>
              <w:rPr>
                <w:sz w:val="20"/>
                <w:szCs w:val="20"/>
                <w:color w:val="auto"/>
              </w:rPr>
            </w:pPr>
            <w:r>
              <w:rPr>
                <w:rFonts w:ascii="Arial" w:cs="Arial" w:eastAsia="Arial" w:hAnsi="Arial"/>
                <w:sz w:val="20"/>
                <w:szCs w:val="20"/>
                <w:color w:val="auto"/>
              </w:rPr>
              <w:t xml:space="preserve">defined in Section 6.5), (ii) a </w:t>
            </w:r>
            <w:r>
              <w:rPr>
                <w:rFonts w:ascii="Arial" w:cs="Arial" w:eastAsia="Arial" w:hAnsi="Arial"/>
                <w:sz w:val="20"/>
                <w:szCs w:val="20"/>
                <w:b w:val="1"/>
                <w:bCs w:val="1"/>
                <w:color w:val="auto"/>
              </w:rPr>
              <w:t>Customer Change</w:t>
            </w:r>
            <w:r>
              <w:rPr>
                <w:rFonts w:ascii="Arial" w:cs="Arial" w:eastAsia="Arial" w:hAnsi="Arial"/>
                <w:sz w:val="20"/>
                <w:szCs w:val="20"/>
                <w:color w:val="auto"/>
              </w:rPr>
              <w:t xml:space="preserve"> (as defined in Section 6.6), or (iii) a </w:t>
            </w:r>
            <w:r>
              <w:rPr>
                <w:rFonts w:ascii="Arial" w:cs="Arial" w:eastAsia="Arial" w:hAnsi="Arial"/>
                <w:sz w:val="20"/>
                <w:szCs w:val="20"/>
                <w:b w:val="1"/>
                <w:bCs w:val="1"/>
                <w:color w:val="auto"/>
              </w:rPr>
              <w:t>Siegfried Change</w:t>
            </w:r>
            <w:r>
              <w:rPr>
                <w:rFonts w:ascii="Arial" w:cs="Arial" w:eastAsia="Arial" w:hAnsi="Arial"/>
                <w:sz w:val="20"/>
                <w:szCs w:val="20"/>
                <w:color w:val="auto"/>
              </w:rPr>
              <w:t xml:space="preserve"> (as defined in</w:t>
            </w:r>
          </w:p>
        </w:tc>
      </w:tr>
      <w:tr>
        <w:trPr>
          <w:trHeight w:val="297"/>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Section 6.7).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5"/>
        </w:trPr>
        <w:tc>
          <w:tcPr>
            <w:tcW w:w="460" w:type="dxa"/>
            <w:vAlign w:val="bottom"/>
          </w:tcPr>
          <w:p>
            <w:pPr>
              <w:jc w:val="right"/>
              <w:spacing w:after="0"/>
              <w:rPr>
                <w:sz w:val="20"/>
                <w:szCs w:val="20"/>
                <w:color w:val="auto"/>
              </w:rPr>
            </w:pPr>
            <w:r>
              <w:rPr>
                <w:rFonts w:ascii="Arial" w:cs="Arial" w:eastAsia="Arial" w:hAnsi="Arial"/>
                <w:sz w:val="22"/>
                <w:szCs w:val="22"/>
                <w:color w:val="auto"/>
                <w:w w:val="93"/>
              </w:rPr>
              <w:t>1.12</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w w:val="98"/>
              </w:rPr>
              <w:t xml:space="preserve">Chemistry, Manufacturing and Control/CMC </w:t>
            </w:r>
            <w:r>
              <w:rPr>
                <w:rFonts w:ascii="Arial" w:cs="Arial" w:eastAsia="Arial" w:hAnsi="Arial"/>
                <w:sz w:val="20"/>
                <w:szCs w:val="20"/>
                <w:color w:val="auto"/>
                <w:w w:val="98"/>
              </w:rPr>
              <w:t>shall mean the part of pharmaceutical development that deals with the nature</w:t>
            </w:r>
          </w:p>
        </w:tc>
      </w:tr>
      <w:tr>
        <w:trPr>
          <w:trHeight w:val="318"/>
        </w:trPr>
        <w:tc>
          <w:tcPr>
            <w:tcW w:w="460" w:type="dxa"/>
            <w:vAlign w:val="bottom"/>
          </w:tcPr>
          <w:p>
            <w:pPr>
              <w:spacing w:after="0"/>
              <w:rPr>
                <w:sz w:val="24"/>
                <w:szCs w:val="24"/>
                <w:color w:val="auto"/>
              </w:rPr>
            </w:pPr>
          </w:p>
        </w:tc>
        <w:tc>
          <w:tcPr>
            <w:tcW w:w="10960" w:type="dxa"/>
            <w:vAlign w:val="bottom"/>
            <w:gridSpan w:val="7"/>
          </w:tcPr>
          <w:p>
            <w:pPr>
              <w:ind w:left="40"/>
              <w:spacing w:after="0"/>
              <w:rPr>
                <w:sz w:val="20"/>
                <w:szCs w:val="20"/>
                <w:color w:val="auto"/>
              </w:rPr>
            </w:pPr>
            <w:r>
              <w:rPr>
                <w:rFonts w:ascii="Arial" w:cs="Arial" w:eastAsia="Arial" w:hAnsi="Arial"/>
                <w:sz w:val="20"/>
                <w:szCs w:val="20"/>
                <w:color w:val="auto"/>
              </w:rPr>
              <w:t>of the API or Drug Product, respectively, the manner in which both are made, and the manner by which the manufacturing</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process is shown to be in control.</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1.13</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shall have the meaning as set out in Section 10.1.</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1.14</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Consigned Materials </w:t>
            </w:r>
            <w:r>
              <w:rPr>
                <w:rFonts w:ascii="Arial" w:cs="Arial" w:eastAsia="Arial" w:hAnsi="Arial"/>
                <w:sz w:val="20"/>
                <w:szCs w:val="20"/>
                <w:color w:val="auto"/>
              </w:rPr>
              <w:t>shall mean the materials that are owned by Jazz or that are to be provided by or on behalf of Jazz to</w:t>
            </w:r>
          </w:p>
        </w:tc>
      </w:tr>
      <w:tr>
        <w:trPr>
          <w:trHeight w:val="318"/>
        </w:trPr>
        <w:tc>
          <w:tcPr>
            <w:tcW w:w="460" w:type="dxa"/>
            <w:vAlign w:val="bottom"/>
          </w:tcPr>
          <w:p>
            <w:pPr>
              <w:spacing w:after="0"/>
              <w:rPr>
                <w:sz w:val="24"/>
                <w:szCs w:val="24"/>
                <w:color w:val="auto"/>
              </w:rPr>
            </w:pPr>
          </w:p>
        </w:tc>
        <w:tc>
          <w:tcPr>
            <w:tcW w:w="10960" w:type="dxa"/>
            <w:vAlign w:val="bottom"/>
            <w:gridSpan w:val="7"/>
          </w:tcPr>
          <w:p>
            <w:pPr>
              <w:ind w:left="40"/>
              <w:spacing w:after="0"/>
              <w:rPr>
                <w:sz w:val="20"/>
                <w:szCs w:val="20"/>
                <w:color w:val="auto"/>
              </w:rPr>
            </w:pPr>
            <w:r>
              <w:rPr>
                <w:rFonts w:ascii="Arial" w:cs="Arial" w:eastAsia="Arial" w:hAnsi="Arial"/>
                <w:sz w:val="20"/>
                <w:szCs w:val="20"/>
                <w:color w:val="auto"/>
              </w:rPr>
              <w:t>Siegfried for the Manufacture of the API or Drug Product, respectively; including without limitation the Key Material and API</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(in accordance with Section 5.2).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1.15</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Designated Vendor </w:t>
            </w:r>
            <w:r>
              <w:rPr>
                <w:rFonts w:ascii="Arial" w:cs="Arial" w:eastAsia="Arial" w:hAnsi="Arial"/>
                <w:sz w:val="20"/>
                <w:szCs w:val="20"/>
                <w:color w:val="auto"/>
              </w:rPr>
              <w:t>shall have the meaning as set out in Section 6.4.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1.16</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Delivery Shortfall </w:t>
            </w:r>
            <w:r>
              <w:rPr>
                <w:rFonts w:ascii="Arial" w:cs="Arial" w:eastAsia="Arial" w:hAnsi="Arial"/>
                <w:sz w:val="20"/>
                <w:szCs w:val="20"/>
                <w:color w:val="auto"/>
              </w:rPr>
              <w:t>shall have the meaning as set out in Section 14.2.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2"/>
        </w:trPr>
        <w:tc>
          <w:tcPr>
            <w:tcW w:w="460" w:type="dxa"/>
            <w:vAlign w:val="bottom"/>
          </w:tcPr>
          <w:p>
            <w:pPr>
              <w:jc w:val="right"/>
              <w:spacing w:after="0"/>
              <w:rPr>
                <w:sz w:val="20"/>
                <w:szCs w:val="20"/>
                <w:color w:val="auto"/>
              </w:rPr>
            </w:pPr>
            <w:r>
              <w:rPr>
                <w:rFonts w:ascii="Arial" w:cs="Arial" w:eastAsia="Arial" w:hAnsi="Arial"/>
                <w:sz w:val="22"/>
                <w:szCs w:val="22"/>
                <w:color w:val="auto"/>
                <w:w w:val="93"/>
              </w:rPr>
              <w:t>1.17</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Drug Product </w:t>
            </w:r>
            <w:r>
              <w:rPr>
                <w:rFonts w:ascii="Arial" w:cs="Arial" w:eastAsia="Arial" w:hAnsi="Arial"/>
                <w:sz w:val="20"/>
                <w:szCs w:val="20"/>
                <w:color w:val="auto"/>
              </w:rPr>
              <w:t>shall mean the drug product containing the API (film-coated tablets in bulk form), as set forth in Annex 1.2.</w:t>
            </w:r>
          </w:p>
        </w:tc>
      </w:tr>
      <w:tr>
        <w:trPr>
          <w:trHeight w:val="20"/>
        </w:trPr>
        <w:tc>
          <w:tcPr>
            <w:tcW w:w="4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3"/>
        </w:trPr>
        <w:tc>
          <w:tcPr>
            <w:tcW w:w="460" w:type="dxa"/>
            <w:vAlign w:val="bottom"/>
          </w:tcPr>
          <w:p>
            <w:pPr>
              <w:jc w:val="right"/>
              <w:spacing w:after="0"/>
              <w:rPr>
                <w:sz w:val="20"/>
                <w:szCs w:val="20"/>
                <w:color w:val="auto"/>
              </w:rPr>
            </w:pPr>
            <w:r>
              <w:rPr>
                <w:rFonts w:ascii="Arial" w:cs="Arial" w:eastAsia="Arial" w:hAnsi="Arial"/>
                <w:sz w:val="22"/>
                <w:szCs w:val="22"/>
                <w:color w:val="auto"/>
                <w:w w:val="93"/>
              </w:rPr>
              <w:t>1.18</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w w:val="99"/>
              </w:rPr>
              <w:t xml:space="preserve">Drug Product Manufacturing Site </w:t>
            </w:r>
            <w:r>
              <w:rPr>
                <w:rFonts w:ascii="Arial" w:cs="Arial" w:eastAsia="Arial" w:hAnsi="Arial"/>
                <w:sz w:val="20"/>
                <w:szCs w:val="20"/>
                <w:color w:val="auto"/>
                <w:w w:val="99"/>
              </w:rPr>
              <w:t>shall mean Siegfried’s Affiliate (Siegfried Malta Limited) facilities located in HHF070 Hal</w:t>
            </w:r>
          </w:p>
        </w:tc>
      </w:tr>
      <w:tr>
        <w:trPr>
          <w:trHeight w:val="318"/>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Far Industrial Estate, Hal Far BBG 3000, Malta.</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1.19</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DEA </w:t>
            </w:r>
            <w:r>
              <w:rPr>
                <w:rFonts w:ascii="Arial" w:cs="Arial" w:eastAsia="Arial" w:hAnsi="Arial"/>
                <w:sz w:val="20"/>
                <w:szCs w:val="20"/>
                <w:color w:val="auto"/>
              </w:rPr>
              <w:t>shall mean the United States Drug Enforcement Administration or any successor entity thereto.</w:t>
            </w: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1.20</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w w:val="99"/>
              </w:rPr>
              <w:t xml:space="preserve">Effective Date </w:t>
            </w:r>
            <w:r>
              <w:rPr>
                <w:rFonts w:ascii="Arial" w:cs="Arial" w:eastAsia="Arial" w:hAnsi="Arial"/>
                <w:sz w:val="20"/>
                <w:szCs w:val="20"/>
                <w:color w:val="auto"/>
                <w:w w:val="99"/>
              </w:rPr>
              <w:t>shall have the meaning set forth on the front page of this Agreement.</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1.21</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EMA </w:t>
            </w:r>
            <w:r>
              <w:rPr>
                <w:rFonts w:ascii="Arial" w:cs="Arial" w:eastAsia="Arial" w:hAnsi="Arial"/>
                <w:sz w:val="20"/>
                <w:szCs w:val="20"/>
                <w:color w:val="auto"/>
              </w:rPr>
              <w:t>shall mean the European Medicines Agency or any successor entity thereto.</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1.22</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Entitled Person </w:t>
            </w:r>
            <w:r>
              <w:rPr>
                <w:rFonts w:ascii="Arial" w:cs="Arial" w:eastAsia="Arial" w:hAnsi="Arial"/>
                <w:sz w:val="20"/>
                <w:szCs w:val="20"/>
                <w:color w:val="auto"/>
              </w:rPr>
              <w:t>shall have the meaning as set out in Section 10.3.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1.23</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Equipment </w:t>
            </w:r>
            <w:r>
              <w:rPr>
                <w:rFonts w:ascii="Arial" w:cs="Arial" w:eastAsia="Arial" w:hAnsi="Arial"/>
                <w:sz w:val="20"/>
                <w:szCs w:val="20"/>
                <w:color w:val="auto"/>
              </w:rPr>
              <w:t>means any equipment used in the Manufacture of a Product by Siegfried hereunder.</w:t>
            </w: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1.24</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FDA </w:t>
            </w:r>
            <w:r>
              <w:rPr>
                <w:rFonts w:ascii="Arial" w:cs="Arial" w:eastAsia="Arial" w:hAnsi="Arial"/>
                <w:sz w:val="20"/>
                <w:szCs w:val="20"/>
                <w:color w:val="auto"/>
              </w:rPr>
              <w:t>shall mean the United States Food and Drug Administration or any successor entity thereto.</w:t>
            </w: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1.25</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Forecast </w:t>
            </w:r>
            <w:r>
              <w:rPr>
                <w:rFonts w:ascii="Arial" w:cs="Arial" w:eastAsia="Arial" w:hAnsi="Arial"/>
                <w:sz w:val="20"/>
                <w:szCs w:val="20"/>
                <w:color w:val="auto"/>
              </w:rPr>
              <w:t>shall have the meaning as set out in Section 3.2.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1.26</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Force Majeure Event </w:t>
            </w:r>
            <w:r>
              <w:rPr>
                <w:rFonts w:ascii="Arial" w:cs="Arial" w:eastAsia="Arial" w:hAnsi="Arial"/>
                <w:sz w:val="20"/>
                <w:szCs w:val="20"/>
                <w:color w:val="auto"/>
              </w:rPr>
              <w:t>shall have the meaning as set out in Section 16.3.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1.27</w:t>
            </w:r>
          </w:p>
        </w:tc>
        <w:tc>
          <w:tcPr>
            <w:tcW w:w="10960" w:type="dxa"/>
            <w:vAlign w:val="bottom"/>
            <w:gridSpan w:val="7"/>
          </w:tcPr>
          <w:p>
            <w:pPr>
              <w:ind w:left="40"/>
              <w:spacing w:after="0"/>
              <w:rPr>
                <w:sz w:val="20"/>
                <w:szCs w:val="20"/>
                <w:color w:val="auto"/>
              </w:rPr>
            </w:pPr>
            <w:r>
              <w:rPr>
                <w:rFonts w:ascii="Arial" w:cs="Arial" w:eastAsia="Arial" w:hAnsi="Arial"/>
                <w:sz w:val="20"/>
                <w:szCs w:val="20"/>
                <w:b w:val="1"/>
                <w:bCs w:val="1"/>
                <w:color w:val="auto"/>
              </w:rPr>
              <w:t xml:space="preserve">Hidden Defects </w:t>
            </w:r>
            <w:r>
              <w:rPr>
                <w:rFonts w:ascii="Arial" w:cs="Arial" w:eastAsia="Arial" w:hAnsi="Arial"/>
                <w:sz w:val="20"/>
                <w:szCs w:val="20"/>
                <w:color w:val="auto"/>
              </w:rPr>
              <w:t>shall mean a failure of Product to conform to the Specifications upon delivery, such failure not being</w:t>
            </w:r>
          </w:p>
        </w:tc>
      </w:tr>
      <w:tr>
        <w:trPr>
          <w:trHeight w:val="318"/>
        </w:trPr>
        <w:tc>
          <w:tcPr>
            <w:tcW w:w="460" w:type="dxa"/>
            <w:vAlign w:val="bottom"/>
          </w:tcPr>
          <w:p>
            <w:pPr>
              <w:spacing w:after="0"/>
              <w:rPr>
                <w:sz w:val="24"/>
                <w:szCs w:val="24"/>
                <w:color w:val="auto"/>
              </w:rPr>
            </w:pPr>
          </w:p>
        </w:tc>
        <w:tc>
          <w:tcPr>
            <w:tcW w:w="10960" w:type="dxa"/>
            <w:vAlign w:val="bottom"/>
            <w:gridSpan w:val="7"/>
          </w:tcPr>
          <w:p>
            <w:pPr>
              <w:ind w:left="40"/>
              <w:spacing w:after="0"/>
              <w:rPr>
                <w:sz w:val="20"/>
                <w:szCs w:val="20"/>
                <w:color w:val="auto"/>
              </w:rPr>
            </w:pPr>
            <w:r>
              <w:rPr>
                <w:rFonts w:ascii="Arial" w:cs="Arial" w:eastAsia="Arial" w:hAnsi="Arial"/>
                <w:sz w:val="20"/>
                <w:szCs w:val="20"/>
                <w:color w:val="auto"/>
              </w:rPr>
              <w:t>discoverable by Jazz or its designee upon reasonable physical inspection upon receipt of the Product pursuant to Section</w:t>
            </w:r>
          </w:p>
        </w:tc>
      </w:tr>
      <w:tr>
        <w:trPr>
          <w:trHeight w:val="324"/>
        </w:trPr>
        <w:tc>
          <w:tcPr>
            <w:tcW w:w="460" w:type="dxa"/>
            <w:vAlign w:val="bottom"/>
          </w:tcPr>
          <w:p>
            <w:pPr>
              <w:spacing w:after="0"/>
              <w:rPr>
                <w:sz w:val="24"/>
                <w:szCs w:val="24"/>
                <w:color w:val="auto"/>
              </w:rPr>
            </w:pPr>
          </w:p>
        </w:tc>
        <w:tc>
          <w:tcPr>
            <w:tcW w:w="6680" w:type="dxa"/>
            <w:vAlign w:val="bottom"/>
          </w:tcPr>
          <w:p>
            <w:pPr>
              <w:ind w:left="40"/>
              <w:spacing w:after="0"/>
              <w:rPr>
                <w:sz w:val="20"/>
                <w:szCs w:val="20"/>
                <w:color w:val="auto"/>
              </w:rPr>
            </w:pPr>
            <w:r>
              <w:rPr>
                <w:rFonts w:ascii="Arial" w:cs="Arial" w:eastAsia="Arial" w:hAnsi="Arial"/>
                <w:sz w:val="20"/>
                <w:szCs w:val="20"/>
                <w:color w:val="auto"/>
              </w:rPr>
              <w:t>4.3.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36"/>
        </w:trPr>
        <w:tc>
          <w:tcPr>
            <w:tcW w:w="4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KG</w:t>
            </w:r>
          </w:p>
        </w:tc>
        <w:tc>
          <w:tcPr>
            <w:tcW w:w="2840" w:type="dxa"/>
            <w:vAlign w:val="bottom"/>
            <w:gridSpan w:val="3"/>
          </w:tcPr>
          <w:p>
            <w:pPr>
              <w:spacing w:after="0"/>
              <w:rPr>
                <w:sz w:val="24"/>
                <w:szCs w:val="24"/>
                <w:color w:val="auto"/>
              </w:rPr>
            </w:pPr>
          </w:p>
        </w:tc>
      </w:tr>
      <w:tr>
        <w:trPr>
          <w:trHeight w:val="237"/>
        </w:trPr>
        <w:tc>
          <w:tcPr>
            <w:tcW w:w="4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3320" w:type="dxa"/>
            <w:vAlign w:val="bottom"/>
            <w:gridSpan w:val="4"/>
          </w:tcPr>
          <w:p>
            <w:pPr>
              <w:jc w:val="center"/>
              <w:ind w:right="2900"/>
              <w:spacing w:after="0"/>
              <w:rPr>
                <w:sz w:val="20"/>
                <w:szCs w:val="20"/>
                <w:color w:val="auto"/>
              </w:rPr>
            </w:pPr>
            <w:r>
              <w:rPr>
                <w:rFonts w:ascii="Arial" w:cs="Arial" w:eastAsia="Arial" w:hAnsi="Arial"/>
                <w:sz w:val="18"/>
                <w:szCs w:val="18"/>
                <w:color w:val="auto"/>
                <w:w w:val="80"/>
              </w:rPr>
              <w:t>Jazz</w:t>
            </w:r>
          </w:p>
        </w:tc>
      </w:tr>
    </w:tbl>
    <w:p>
      <w:pPr>
        <w:sectPr>
          <w:pgSz w:w="11900" w:h="16838" w:orient="portrait"/>
          <w:cols w:equalWidth="0" w:num="1">
            <w:col w:w="11420"/>
          </w:cols>
          <w:pgMar w:left="240" w:top="144"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00" w:type="dxa"/>
            <w:vAlign w:val="bottom"/>
            <w:gridSpan w:val="3"/>
          </w:tcPr>
          <w:p>
            <w:pPr>
              <w:jc w:val="right"/>
              <w:spacing w:after="0"/>
              <w:rPr>
                <w:sz w:val="20"/>
                <w:szCs w:val="20"/>
                <w:color w:val="auto"/>
              </w:rPr>
            </w:pPr>
            <w:r>
              <w:rPr>
                <w:rFonts w:ascii="Arial" w:cs="Arial" w:eastAsia="Arial" w:hAnsi="Arial"/>
                <w:sz w:val="14"/>
                <w:szCs w:val="14"/>
                <w:color w:val="auto"/>
              </w:rPr>
              <w:t>4 / 37</w:t>
            </w:r>
          </w:p>
        </w:tc>
      </w:tr>
      <w:tr>
        <w:trPr>
          <w:trHeight w:val="711"/>
        </w:trPr>
        <w:tc>
          <w:tcPr>
            <w:tcW w:w="460" w:type="dxa"/>
            <w:vAlign w:val="bottom"/>
          </w:tcPr>
          <w:p>
            <w:pPr>
              <w:jc w:val="right"/>
              <w:spacing w:after="0"/>
              <w:rPr>
                <w:sz w:val="20"/>
                <w:szCs w:val="20"/>
                <w:color w:val="auto"/>
              </w:rPr>
            </w:pPr>
            <w:r>
              <w:rPr>
                <w:rFonts w:ascii="Arial" w:cs="Arial" w:eastAsia="Arial" w:hAnsi="Arial"/>
                <w:sz w:val="22"/>
                <w:szCs w:val="22"/>
                <w:color w:val="auto"/>
                <w:w w:val="93"/>
              </w:rPr>
              <w:t>1.28</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Improvement </w:t>
            </w:r>
            <w:r>
              <w:rPr>
                <w:rFonts w:ascii="Arial" w:cs="Arial" w:eastAsia="Arial" w:hAnsi="Arial"/>
                <w:sz w:val="20"/>
                <w:szCs w:val="20"/>
                <w:color w:val="auto"/>
              </w:rPr>
              <w:t>shall mean any result, data, documentation, invention, improvement, innovation, development, discovery,</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computer program, device, trade secret, method, know-how, process, technique or the like, whether or not written or</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otherwise fixed in any form or medium, regardless of the media on which contained and whether or not patentable or</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copyrightable.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1.29</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Initial Period </w:t>
            </w:r>
            <w:r>
              <w:rPr>
                <w:rFonts w:ascii="Arial" w:cs="Arial" w:eastAsia="Arial" w:hAnsi="Arial"/>
                <w:sz w:val="20"/>
                <w:szCs w:val="20"/>
                <w:color w:val="auto"/>
              </w:rPr>
              <w:t>shall have the meaning as set forth in Section 12.1.</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1.30</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Intellectual Property Rights </w:t>
            </w:r>
            <w:r>
              <w:rPr>
                <w:rFonts w:ascii="Arial" w:cs="Arial" w:eastAsia="Arial" w:hAnsi="Arial"/>
                <w:sz w:val="20"/>
                <w:szCs w:val="20"/>
                <w:color w:val="auto"/>
              </w:rPr>
              <w:t>shall mean, without limitation, all Improvements, inventions, patent applications, rights in</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patents, registered or unregistered design rights, copyrights, database rights, trademarks, trade names, know-how, trade</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secrets and other industrial or intellectual property rights of whatever kind.</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1.31</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Key Material </w:t>
            </w:r>
            <w:r>
              <w:rPr>
                <w:rFonts w:ascii="Arial" w:cs="Arial" w:eastAsia="Arial" w:hAnsi="Arial"/>
                <w:sz w:val="20"/>
                <w:szCs w:val="20"/>
                <w:color w:val="auto"/>
              </w:rPr>
              <w:t>shall mean the key starting material as set forth in Annex 1.3.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1.32</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Losses </w:t>
            </w:r>
            <w:r>
              <w:rPr>
                <w:rFonts w:ascii="Arial" w:cs="Arial" w:eastAsia="Arial" w:hAnsi="Arial"/>
                <w:sz w:val="20"/>
                <w:szCs w:val="20"/>
                <w:color w:val="auto"/>
              </w:rPr>
              <w:t>shall mean all liabilities, claims, demands, actions, suits, losses, damages, costs and expenses (including</w:t>
            </w:r>
          </w:p>
        </w:tc>
      </w:tr>
      <w:tr>
        <w:trPr>
          <w:trHeight w:val="318"/>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reasonable attorney's fees) incurred by a Party.</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1.33</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Manufacture/Manufacturing/Manufactured </w:t>
            </w:r>
            <w:r>
              <w:rPr>
                <w:rFonts w:ascii="Arial" w:cs="Arial" w:eastAsia="Arial" w:hAnsi="Arial"/>
                <w:sz w:val="20"/>
                <w:szCs w:val="20"/>
                <w:color w:val="auto"/>
              </w:rPr>
              <w:t>shall mean all activities with respect to the manufacturing of the API or Drug</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Product, respectively, including, without limitation, the purchase of Raw Materials and primary packaging materials,</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production, quality control, quality assurance, release testing and stability testing, packaging and release of Product for</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shipment (but excluding, without limitation, (i) release of Drug Product for the market and (ii) shipment).</w:t>
            </w: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1.34</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Manufacturing Site </w:t>
            </w:r>
            <w:r>
              <w:rPr>
                <w:rFonts w:ascii="Arial" w:cs="Arial" w:eastAsia="Arial" w:hAnsi="Arial"/>
                <w:sz w:val="20"/>
                <w:szCs w:val="20"/>
                <w:color w:val="auto"/>
              </w:rPr>
              <w:t>shall mean the API Manufacturing Site, the Drug Product Manufacturing Site, or both of them, as the</w:t>
            </w:r>
          </w:p>
        </w:tc>
      </w:tr>
      <w:tr>
        <w:trPr>
          <w:trHeight w:val="318"/>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case may be.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1.35</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Marketing Authorization/MA </w:t>
            </w:r>
            <w:r>
              <w:rPr>
                <w:rFonts w:ascii="Arial" w:cs="Arial" w:eastAsia="Arial" w:hAnsi="Arial"/>
                <w:sz w:val="20"/>
                <w:szCs w:val="20"/>
                <w:color w:val="auto"/>
              </w:rPr>
              <w:t>shall mean the formal authorization (and associated documentation) granted or issued by a</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Regulatory Authority necessary for the lawful marketing and sale of the Drug Product in the respective country/countries of</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the Territory over which such Regulatory Authority has jurisdiction.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1.36</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Master Batch Record </w:t>
            </w:r>
            <w:r>
              <w:rPr>
                <w:rFonts w:ascii="Arial" w:cs="Arial" w:eastAsia="Arial" w:hAnsi="Arial"/>
                <w:sz w:val="20"/>
                <w:szCs w:val="20"/>
                <w:color w:val="auto"/>
              </w:rPr>
              <w:t>shall mean the production Batch record for the Manufacture of the API or Drug Product, developed</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by Siegfried in part from the Technology, specifying the process, manufacture, deviations and testing of the API or Drug</w:t>
            </w:r>
          </w:p>
        </w:tc>
      </w:tr>
      <w:tr>
        <w:trPr>
          <w:trHeight w:val="324"/>
        </w:trPr>
        <w:tc>
          <w:tcPr>
            <w:tcW w:w="460" w:type="dxa"/>
            <w:vAlign w:val="bottom"/>
          </w:tcPr>
          <w:p>
            <w:pPr>
              <w:spacing w:after="0"/>
              <w:rPr>
                <w:sz w:val="24"/>
                <w:szCs w:val="24"/>
                <w:color w:val="auto"/>
              </w:rPr>
            </w:pPr>
          </w:p>
        </w:tc>
        <w:tc>
          <w:tcPr>
            <w:tcW w:w="7460" w:type="dxa"/>
            <w:vAlign w:val="bottom"/>
            <w:gridSpan w:val="2"/>
          </w:tcPr>
          <w:p>
            <w:pPr>
              <w:ind w:left="40"/>
              <w:spacing w:after="0"/>
              <w:rPr>
                <w:sz w:val="20"/>
                <w:szCs w:val="20"/>
                <w:color w:val="auto"/>
              </w:rPr>
            </w:pPr>
            <w:r>
              <w:rPr>
                <w:rFonts w:ascii="Arial" w:cs="Arial" w:eastAsia="Arial" w:hAnsi="Arial"/>
                <w:sz w:val="20"/>
                <w:szCs w:val="20"/>
                <w:color w:val="auto"/>
              </w:rPr>
              <w:t>Product, respectively.</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1.37</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Materials </w:t>
            </w:r>
            <w:r>
              <w:rPr>
                <w:rFonts w:ascii="Arial" w:cs="Arial" w:eastAsia="Arial" w:hAnsi="Arial"/>
                <w:sz w:val="20"/>
                <w:szCs w:val="20"/>
                <w:color w:val="auto"/>
              </w:rPr>
              <w:t>shall mean Raw Materials and/or Consigned Materials.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1.38</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Non-Conformance Claim </w:t>
            </w:r>
            <w:r>
              <w:rPr>
                <w:rFonts w:ascii="Arial" w:cs="Arial" w:eastAsia="Arial" w:hAnsi="Arial"/>
                <w:sz w:val="20"/>
                <w:szCs w:val="20"/>
                <w:color w:val="auto"/>
              </w:rPr>
              <w:t>shall have the meaning as set out in Section 4.3.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1.39</w:t>
            </w:r>
          </w:p>
        </w:tc>
        <w:tc>
          <w:tcPr>
            <w:tcW w:w="7460" w:type="dxa"/>
            <w:vAlign w:val="bottom"/>
            <w:gridSpan w:val="2"/>
          </w:tcPr>
          <w:p>
            <w:pPr>
              <w:ind w:left="40"/>
              <w:spacing w:after="0"/>
              <w:rPr>
                <w:sz w:val="20"/>
                <w:szCs w:val="20"/>
                <w:color w:val="auto"/>
              </w:rPr>
            </w:pPr>
            <w:r>
              <w:rPr>
                <w:rFonts w:ascii="Arial" w:cs="Arial" w:eastAsia="Arial" w:hAnsi="Arial"/>
                <w:sz w:val="20"/>
                <w:szCs w:val="20"/>
                <w:b w:val="1"/>
                <w:bCs w:val="1"/>
                <w:color w:val="auto"/>
              </w:rPr>
              <w:t xml:space="preserve">Order </w:t>
            </w:r>
            <w:r>
              <w:rPr>
                <w:rFonts w:ascii="Arial" w:cs="Arial" w:eastAsia="Arial" w:hAnsi="Arial"/>
                <w:sz w:val="20"/>
                <w:szCs w:val="20"/>
                <w:color w:val="auto"/>
              </w:rPr>
              <w:t>shall mean a purchase order issued by Jazz for a certain quantity of Product.</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1.40</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Order Confirmation </w:t>
            </w:r>
            <w:r>
              <w:rPr>
                <w:rFonts w:ascii="Arial" w:cs="Arial" w:eastAsia="Arial" w:hAnsi="Arial"/>
                <w:sz w:val="20"/>
                <w:szCs w:val="20"/>
                <w:color w:val="auto"/>
              </w:rPr>
              <w:t>shall mean a confirmation issued by Siegfried that an Order posted by Jazz shall be executed.</w:t>
            </w:r>
          </w:p>
        </w:tc>
      </w:tr>
      <w:tr>
        <w:trPr>
          <w:trHeight w:val="530"/>
        </w:trPr>
        <w:tc>
          <w:tcPr>
            <w:tcW w:w="4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 KG</w:t>
            </w:r>
          </w:p>
        </w:tc>
        <w:tc>
          <w:tcPr>
            <w:tcW w:w="2840" w:type="dxa"/>
            <w:vAlign w:val="bottom"/>
          </w:tcPr>
          <w:p>
            <w:pPr>
              <w:spacing w:after="0"/>
              <w:rPr>
                <w:sz w:val="24"/>
                <w:szCs w:val="24"/>
                <w:color w:val="auto"/>
              </w:rPr>
            </w:pPr>
          </w:p>
        </w:tc>
      </w:tr>
      <w:tr>
        <w:trPr>
          <w:trHeight w:val="237"/>
        </w:trPr>
        <w:tc>
          <w:tcPr>
            <w:tcW w:w="4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3320" w:type="dxa"/>
            <w:vAlign w:val="bottom"/>
            <w:gridSpan w:val="2"/>
          </w:tcPr>
          <w:p>
            <w:pPr>
              <w:jc w:val="right"/>
              <w:ind w:right="2960"/>
              <w:spacing w:after="0"/>
              <w:rPr>
                <w:sz w:val="20"/>
                <w:szCs w:val="20"/>
                <w:color w:val="auto"/>
              </w:rPr>
            </w:pPr>
            <w:r>
              <w:rPr>
                <w:rFonts w:ascii="Arial" w:cs="Arial" w:eastAsia="Arial" w:hAnsi="Arial"/>
                <w:sz w:val="18"/>
                <w:szCs w:val="18"/>
                <w:color w:val="auto"/>
                <w:w w:val="91"/>
              </w:rPr>
              <w:t>Jazz</w:t>
            </w:r>
          </w:p>
        </w:tc>
      </w:tr>
    </w:tbl>
    <w:p>
      <w:pPr>
        <w:sectPr>
          <w:pgSz w:w="11900" w:h="16838" w:orient="portrait"/>
          <w:cols w:equalWidth="0" w:num="1">
            <w:col w:w="11420"/>
          </w:cols>
          <w:pgMar w:left="240" w:top="144"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Arial" w:cs="Arial" w:eastAsia="Arial" w:hAnsi="Arial"/>
                <w:sz w:val="14"/>
                <w:szCs w:val="14"/>
                <w:color w:val="auto"/>
              </w:rPr>
              <w:t>5 / 37</w:t>
            </w:r>
          </w:p>
        </w:tc>
      </w:tr>
      <w:tr>
        <w:trPr>
          <w:trHeight w:val="711"/>
        </w:trPr>
        <w:tc>
          <w:tcPr>
            <w:tcW w:w="460" w:type="dxa"/>
            <w:vAlign w:val="bottom"/>
          </w:tcPr>
          <w:p>
            <w:pPr>
              <w:jc w:val="right"/>
              <w:spacing w:after="0"/>
              <w:rPr>
                <w:sz w:val="20"/>
                <w:szCs w:val="20"/>
                <w:color w:val="auto"/>
              </w:rPr>
            </w:pPr>
            <w:r>
              <w:rPr>
                <w:rFonts w:ascii="Arial" w:cs="Arial" w:eastAsia="Arial" w:hAnsi="Arial"/>
                <w:sz w:val="22"/>
                <w:szCs w:val="22"/>
                <w:color w:val="auto"/>
                <w:w w:val="93"/>
              </w:rPr>
              <w:t>1.41</w:t>
            </w:r>
          </w:p>
        </w:tc>
        <w:tc>
          <w:tcPr>
            <w:tcW w:w="7640" w:type="dxa"/>
            <w:vAlign w:val="bottom"/>
            <w:gridSpan w:val="3"/>
          </w:tcPr>
          <w:p>
            <w:pPr>
              <w:ind w:left="40"/>
              <w:spacing w:after="0"/>
              <w:rPr>
                <w:sz w:val="20"/>
                <w:szCs w:val="20"/>
                <w:color w:val="auto"/>
              </w:rPr>
            </w:pPr>
            <w:r>
              <w:rPr>
                <w:rFonts w:ascii="Arial" w:cs="Arial" w:eastAsia="Arial" w:hAnsi="Arial"/>
                <w:sz w:val="20"/>
                <w:szCs w:val="20"/>
                <w:b w:val="1"/>
                <w:bCs w:val="1"/>
                <w:color w:val="auto"/>
                <w:w w:val="99"/>
              </w:rPr>
              <w:t xml:space="preserve">Party/Parties </w:t>
            </w:r>
            <w:r>
              <w:rPr>
                <w:rFonts w:ascii="Arial" w:cs="Arial" w:eastAsia="Arial" w:hAnsi="Arial"/>
                <w:sz w:val="20"/>
                <w:szCs w:val="20"/>
                <w:color w:val="auto"/>
                <w:w w:val="99"/>
              </w:rPr>
              <w:t>shall mean either Jazz or Siegfried, or both, as the context may require.</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1.42</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Pre-Existing Intellectual Property Rights </w:t>
            </w:r>
            <w:r>
              <w:rPr>
                <w:rFonts w:ascii="Arial" w:cs="Arial" w:eastAsia="Arial" w:hAnsi="Arial"/>
                <w:sz w:val="20"/>
                <w:szCs w:val="20"/>
                <w:color w:val="auto"/>
              </w:rPr>
              <w:t>of a Party means all Intellectual Property Rights owned, conceived, developed,</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first reduced to practice or otherwise made or acquired by such Party prior to the Effective Date hereof, including all</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modifications, adjustments or improvements thereto (to the extent such modifications, adjustments or improvements do not</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w w:val="98"/>
              </w:rPr>
              <w:t>constitute any of the other Party’s Arising Intellectual Property Rights in accordance with Section 11.2 or Section 11.3, as the</w:t>
            </w:r>
          </w:p>
        </w:tc>
      </w:tr>
      <w:tr>
        <w:trPr>
          <w:trHeight w:val="324"/>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case may be).</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1.43</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Product/Products </w:t>
            </w:r>
            <w:r>
              <w:rPr>
                <w:rFonts w:ascii="Arial" w:cs="Arial" w:eastAsia="Arial" w:hAnsi="Arial"/>
                <w:sz w:val="20"/>
                <w:szCs w:val="20"/>
                <w:color w:val="auto"/>
              </w:rPr>
              <w:t>shall mean the API or the Drug Product or the two of them, as the context may require.</w:t>
            </w: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1.44</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Quality Agreement </w:t>
            </w:r>
            <w:r>
              <w:rPr>
                <w:rFonts w:ascii="Arial" w:cs="Arial" w:eastAsia="Arial" w:hAnsi="Arial"/>
                <w:sz w:val="20"/>
                <w:szCs w:val="20"/>
                <w:color w:val="auto"/>
              </w:rPr>
              <w:t>shall mean the quality technical agreement between Jazz and Siegfried which defines the quality</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assurance responsibilities of each Party in respect of Product quality and compliance under cGMP Regulations, as may be</w:t>
            </w:r>
          </w:p>
        </w:tc>
      </w:tr>
      <w:tr>
        <w:trPr>
          <w:trHeight w:val="324"/>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amended from time to time.</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1.45</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Raw Materials </w:t>
            </w:r>
            <w:r>
              <w:rPr>
                <w:rFonts w:ascii="Arial" w:cs="Arial" w:eastAsia="Arial" w:hAnsi="Arial"/>
                <w:sz w:val="20"/>
                <w:szCs w:val="20"/>
                <w:color w:val="auto"/>
              </w:rPr>
              <w:t>shall mean all raw materials, excipients, and processing, filling and packaging components, which are not</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w w:val="99"/>
              </w:rPr>
              <w:t>Product or Consigned Materials and which are necessary to manufacture the API or Drug Product, respectively, as set forth</w:t>
            </w:r>
          </w:p>
        </w:tc>
      </w:tr>
      <w:tr>
        <w:trPr>
          <w:trHeight w:val="324"/>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in the relevant Master Batch Record.</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1.46</w:t>
            </w:r>
          </w:p>
        </w:tc>
        <w:tc>
          <w:tcPr>
            <w:tcW w:w="7640" w:type="dxa"/>
            <w:vAlign w:val="bottom"/>
            <w:gridSpan w:val="3"/>
          </w:tcPr>
          <w:p>
            <w:pPr>
              <w:ind w:left="40"/>
              <w:spacing w:after="0"/>
              <w:rPr>
                <w:sz w:val="20"/>
                <w:szCs w:val="20"/>
                <w:color w:val="auto"/>
              </w:rPr>
            </w:pPr>
            <w:r>
              <w:rPr>
                <w:rFonts w:ascii="Arial" w:cs="Arial" w:eastAsia="Arial" w:hAnsi="Arial"/>
                <w:sz w:val="20"/>
                <w:szCs w:val="20"/>
                <w:b w:val="1"/>
                <w:bCs w:val="1"/>
                <w:color w:val="auto"/>
              </w:rPr>
              <w:t xml:space="preserve">Recall </w:t>
            </w:r>
            <w:r>
              <w:rPr>
                <w:rFonts w:ascii="Arial" w:cs="Arial" w:eastAsia="Arial" w:hAnsi="Arial"/>
                <w:sz w:val="20"/>
                <w:szCs w:val="20"/>
                <w:color w:val="auto"/>
              </w:rPr>
              <w:t>shall have the meaning as set out in Section 7.6.</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1.47</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w w:val="99"/>
              </w:rPr>
              <w:t xml:space="preserve">Regulatory Authority </w:t>
            </w:r>
            <w:r>
              <w:rPr>
                <w:rFonts w:ascii="Arial" w:cs="Arial" w:eastAsia="Arial" w:hAnsi="Arial"/>
                <w:sz w:val="20"/>
                <w:szCs w:val="20"/>
                <w:color w:val="auto"/>
                <w:w w:val="99"/>
              </w:rPr>
              <w:t>shall mean the governmental authority or authorities, which are responsible for approving the conduct</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of clinical trials, marketing and sale of pharmaceutical products and shall be EMA and FDA.</w:t>
            </w: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1.48</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w w:val="99"/>
              </w:rPr>
              <w:t xml:space="preserve">Specifications </w:t>
            </w:r>
            <w:r>
              <w:rPr>
                <w:rFonts w:ascii="Arial" w:cs="Arial" w:eastAsia="Arial" w:hAnsi="Arial"/>
                <w:sz w:val="20"/>
                <w:szCs w:val="20"/>
                <w:color w:val="auto"/>
                <w:w w:val="99"/>
              </w:rPr>
              <w:t>shall mean the description of technical requirements the API or Drug Product has to conform to, as set out in</w:t>
            </w:r>
          </w:p>
        </w:tc>
      </w:tr>
      <w:tr>
        <w:trPr>
          <w:trHeight w:val="318"/>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detail in the Quality Agreement.</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1.49</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Technology </w:t>
            </w:r>
            <w:r>
              <w:rPr>
                <w:rFonts w:ascii="Arial" w:cs="Arial" w:eastAsia="Arial" w:hAnsi="Arial"/>
                <w:sz w:val="20"/>
                <w:szCs w:val="20"/>
                <w:color w:val="auto"/>
              </w:rPr>
              <w:t>shall mean all information, Intellectual Property Rights and data in any form that Jazz has disclosed or will</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disclose, directly or indirectly, to Siegfried that may be necessary or useful for Manufacture of the API or Drug Product,</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respectively, as the same may be modified from time to time by Jazz in its sole discretion. All Technology shall constitute</w:t>
            </w:r>
          </w:p>
        </w:tc>
      </w:tr>
      <w:tr>
        <w:trPr>
          <w:trHeight w:val="324"/>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Confidential Information of Jazz, subject to Section 10.5.</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8"/>
        </w:trPr>
        <w:tc>
          <w:tcPr>
            <w:tcW w:w="460" w:type="dxa"/>
            <w:vAlign w:val="bottom"/>
          </w:tcPr>
          <w:p>
            <w:pPr>
              <w:jc w:val="right"/>
              <w:spacing w:after="0"/>
              <w:rPr>
                <w:sz w:val="20"/>
                <w:szCs w:val="20"/>
                <w:color w:val="auto"/>
              </w:rPr>
            </w:pPr>
            <w:r>
              <w:rPr>
                <w:rFonts w:ascii="Arial" w:cs="Arial" w:eastAsia="Arial" w:hAnsi="Arial"/>
                <w:sz w:val="22"/>
                <w:szCs w:val="22"/>
                <w:color w:val="auto"/>
                <w:w w:val="93"/>
              </w:rPr>
              <w:t>1.50</w:t>
            </w:r>
          </w:p>
        </w:tc>
        <w:tc>
          <w:tcPr>
            <w:tcW w:w="7640" w:type="dxa"/>
            <w:vAlign w:val="bottom"/>
            <w:gridSpan w:val="3"/>
          </w:tcPr>
          <w:p>
            <w:pPr>
              <w:ind w:left="40"/>
              <w:spacing w:after="0"/>
              <w:rPr>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shall have the meaning as set out in Section 12.2.</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460" w:type="dxa"/>
            <w:vAlign w:val="bottom"/>
          </w:tcPr>
          <w:p>
            <w:pPr>
              <w:jc w:val="right"/>
              <w:spacing w:after="0"/>
              <w:rPr>
                <w:sz w:val="20"/>
                <w:szCs w:val="20"/>
                <w:color w:val="auto"/>
              </w:rPr>
            </w:pPr>
            <w:r>
              <w:rPr>
                <w:rFonts w:ascii="Arial" w:cs="Arial" w:eastAsia="Arial" w:hAnsi="Arial"/>
                <w:sz w:val="22"/>
                <w:szCs w:val="22"/>
                <w:color w:val="auto"/>
                <w:w w:val="93"/>
              </w:rPr>
              <w:t>1.51</w:t>
            </w:r>
          </w:p>
        </w:tc>
        <w:tc>
          <w:tcPr>
            <w:tcW w:w="10960" w:type="dxa"/>
            <w:vAlign w:val="bottom"/>
            <w:gridSpan w:val="5"/>
          </w:tcPr>
          <w:p>
            <w:pPr>
              <w:ind w:left="40"/>
              <w:spacing w:after="0"/>
              <w:rPr>
                <w:sz w:val="20"/>
                <w:szCs w:val="20"/>
                <w:color w:val="auto"/>
              </w:rPr>
            </w:pPr>
            <w:r>
              <w:rPr>
                <w:rFonts w:ascii="Arial" w:cs="Arial" w:eastAsia="Arial" w:hAnsi="Arial"/>
                <w:sz w:val="20"/>
                <w:szCs w:val="20"/>
                <w:b w:val="1"/>
                <w:bCs w:val="1"/>
                <w:color w:val="auto"/>
              </w:rPr>
              <w:t xml:space="preserve">Territory </w:t>
            </w:r>
            <w:r>
              <w:rPr>
                <w:rFonts w:ascii="Arial" w:cs="Arial" w:eastAsia="Arial" w:hAnsi="Arial"/>
                <w:sz w:val="20"/>
                <w:szCs w:val="20"/>
                <w:color w:val="auto"/>
              </w:rPr>
              <w:t>shall mean the United States of America (with its territories, possessions, and protectorates, such as the</w:t>
            </w:r>
          </w:p>
        </w:tc>
      </w:tr>
      <w:tr>
        <w:trPr>
          <w:trHeight w:val="318"/>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Commonwealth of Puerto Rico), the member states of the European Union and/or European Economic Area (EU/EEA),</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Canada, United Kingdom (notwithstanding it being a member of the EU/EEA as of the Effective Date), Switzerland, Turkey,</w:t>
            </w:r>
          </w:p>
        </w:tc>
      </w:tr>
      <w:tr>
        <w:trPr>
          <w:trHeight w:val="324"/>
        </w:trPr>
        <w:tc>
          <w:tcPr>
            <w:tcW w:w="460" w:type="dxa"/>
            <w:vAlign w:val="bottom"/>
          </w:tcPr>
          <w:p>
            <w:pPr>
              <w:spacing w:after="0"/>
              <w:rPr>
                <w:sz w:val="24"/>
                <w:szCs w:val="24"/>
                <w:color w:val="auto"/>
              </w:rPr>
            </w:pPr>
          </w:p>
        </w:tc>
        <w:tc>
          <w:tcPr>
            <w:tcW w:w="10960" w:type="dxa"/>
            <w:vAlign w:val="bottom"/>
            <w:gridSpan w:val="5"/>
          </w:tcPr>
          <w:p>
            <w:pPr>
              <w:ind w:left="40"/>
              <w:spacing w:after="0"/>
              <w:rPr>
                <w:sz w:val="20"/>
                <w:szCs w:val="20"/>
                <w:color w:val="auto"/>
              </w:rPr>
            </w:pPr>
            <w:r>
              <w:rPr>
                <w:rFonts w:ascii="Arial" w:cs="Arial" w:eastAsia="Arial" w:hAnsi="Arial"/>
                <w:sz w:val="20"/>
                <w:szCs w:val="20"/>
                <w:color w:val="auto"/>
              </w:rPr>
              <w:t>Australia, New Zealand, Brazil, Mexico, and any other country, which the Parties agree in writing to add to this definition of</w:t>
            </w:r>
          </w:p>
        </w:tc>
      </w:tr>
      <w:tr>
        <w:trPr>
          <w:trHeight w:val="324"/>
        </w:trPr>
        <w:tc>
          <w:tcPr>
            <w:tcW w:w="460" w:type="dxa"/>
            <w:vAlign w:val="bottom"/>
          </w:tcPr>
          <w:p>
            <w:pPr>
              <w:spacing w:after="0"/>
              <w:rPr>
                <w:sz w:val="24"/>
                <w:szCs w:val="24"/>
                <w:color w:val="auto"/>
              </w:rPr>
            </w:pPr>
          </w:p>
        </w:tc>
        <w:tc>
          <w:tcPr>
            <w:tcW w:w="7640" w:type="dxa"/>
            <w:vAlign w:val="bottom"/>
            <w:gridSpan w:val="3"/>
          </w:tcPr>
          <w:p>
            <w:pPr>
              <w:ind w:left="40"/>
              <w:spacing w:after="0"/>
              <w:rPr>
                <w:sz w:val="20"/>
                <w:szCs w:val="20"/>
                <w:color w:val="auto"/>
              </w:rPr>
            </w:pPr>
            <w:r>
              <w:rPr>
                <w:rFonts w:ascii="Arial" w:cs="Arial" w:eastAsia="Arial" w:hAnsi="Arial"/>
                <w:sz w:val="20"/>
                <w:szCs w:val="20"/>
                <w:color w:val="auto"/>
              </w:rPr>
              <w:t>Territory in an amendment to this Agreement.</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36"/>
        </w:trPr>
        <w:tc>
          <w:tcPr>
            <w:tcW w:w="4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 KG</w:t>
            </w:r>
          </w:p>
        </w:tc>
        <w:tc>
          <w:tcPr>
            <w:tcW w:w="2840" w:type="dxa"/>
            <w:vAlign w:val="bottom"/>
          </w:tcPr>
          <w:p>
            <w:pPr>
              <w:spacing w:after="0"/>
              <w:rPr>
                <w:sz w:val="24"/>
                <w:szCs w:val="24"/>
                <w:color w:val="auto"/>
              </w:rPr>
            </w:pPr>
          </w:p>
        </w:tc>
      </w:tr>
      <w:tr>
        <w:trPr>
          <w:trHeight w:val="237"/>
        </w:trPr>
        <w:tc>
          <w:tcPr>
            <w:tcW w:w="4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Siegfried</w:t>
            </w:r>
          </w:p>
        </w:tc>
        <w:tc>
          <w:tcPr>
            <w:tcW w:w="3320" w:type="dxa"/>
            <w:vAlign w:val="bottom"/>
            <w:gridSpan w:val="2"/>
          </w:tcPr>
          <w:p>
            <w:pPr>
              <w:jc w:val="right"/>
              <w:ind w:right="2960"/>
              <w:spacing w:after="0"/>
              <w:rPr>
                <w:sz w:val="20"/>
                <w:szCs w:val="20"/>
                <w:color w:val="auto"/>
              </w:rPr>
            </w:pPr>
            <w:r>
              <w:rPr>
                <w:rFonts w:ascii="Arial" w:cs="Arial" w:eastAsia="Arial" w:hAnsi="Arial"/>
                <w:sz w:val="18"/>
                <w:szCs w:val="18"/>
                <w:color w:val="auto"/>
                <w:w w:val="91"/>
              </w:rPr>
              <w:t>Jazz</w:t>
            </w:r>
          </w:p>
        </w:tc>
      </w:tr>
    </w:tbl>
    <w:p>
      <w:pPr>
        <w:sectPr>
          <w:pgSz w:w="11900" w:h="16838" w:orient="portrait"/>
          <w:cols w:equalWidth="0" w:num="1">
            <w:col w:w="11420"/>
          </w:cols>
          <w:pgMar w:left="240" w:top="14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color w:val="auto"/>
        </w:rPr>
        <w:t>6 / 37</w:t>
      </w:r>
    </w:p>
    <w:p>
      <w:pPr>
        <w:spacing w:after="0" w:line="200" w:lineRule="exact"/>
        <w:rPr>
          <w:sz w:val="20"/>
          <w:szCs w:val="20"/>
          <w:color w:val="auto"/>
        </w:rPr>
      </w:pPr>
    </w:p>
    <w:p>
      <w:pPr>
        <w:spacing w:after="0" w:line="255"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Scope of Work</w:t>
      </w:r>
    </w:p>
    <w:p>
      <w:pPr>
        <w:spacing w:after="0" w:line="187"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0"/>
          <w:szCs w:val="20"/>
          <w:u w:val="single" w:color="auto"/>
          <w:color w:val="auto"/>
        </w:rPr>
        <w:t>Appointment</w:t>
      </w:r>
      <w:r>
        <w:rPr>
          <w:rFonts w:ascii="Arial" w:cs="Arial" w:eastAsia="Arial" w:hAnsi="Arial"/>
          <w:sz w:val="20"/>
          <w:szCs w:val="20"/>
          <w:color w:val="auto"/>
        </w:rPr>
        <w:t>. Jazz hereby appoints Siegfried, and Siegfried accepts such appointment, to (i) Manufacture and supply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Drug Product for or on behalf of Jazz at the Drug Product Manufacturing Site, (ii) Manufacture and supply the API for or on behalf of Jazz at the API Manufacturing Site, whereas the API may be supplied to Jazz or may be used by Siegfried in the Manufacture of the Drug Product and (iii) act as a broker for the transport of the API (owned by Jazz) from the API Manufacturing Site to the Drug Product Manufacturing Site, subject to the terms and conditions set forth in this Agreement.</w:t>
      </w:r>
    </w:p>
    <w:p>
      <w:pPr>
        <w:spacing w:after="0" w:line="100"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0"/>
          <w:szCs w:val="20"/>
          <w:u w:val="single" w:color="auto"/>
          <w:color w:val="auto"/>
        </w:rPr>
        <w:t>Siegfried Malta Limited</w:t>
      </w:r>
      <w:r>
        <w:rPr>
          <w:rFonts w:ascii="Arial" w:cs="Arial" w:eastAsia="Arial" w:hAnsi="Arial"/>
          <w:sz w:val="20"/>
          <w:szCs w:val="20"/>
          <w:color w:val="auto"/>
        </w:rPr>
        <w:t>. Siegfried has entered into this Agreement on behalf of itself and its Affiliate, Siegfried Malta Limited,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through which Siegfried shall be performing certain activities hereunder. Siegfried shall procure that Siegfried Malta Limited shall be bound by the applicable terms and conditions of this Agreement as if it were a direct Party hereto and shall procure the due performance thereof by Siegfried Malta Limited. Jazz shall only be entitled to engage and communicate directly with Siegfried Malta Limited upon prior consent of Siegfried.</w:t>
      </w:r>
    </w:p>
    <w:p>
      <w:pPr>
        <w:spacing w:after="0" w:line="100"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0"/>
          <w:szCs w:val="20"/>
          <w:u w:val="single" w:color="auto"/>
          <w:color w:val="auto"/>
        </w:rPr>
        <w:t xml:space="preserve">Purchase Commitment. </w:t>
      </w:r>
      <w:r>
        <w:rPr>
          <w:rFonts w:ascii="Arial" w:cs="Arial" w:eastAsia="Arial" w:hAnsi="Arial"/>
          <w:sz w:val="20"/>
          <w:szCs w:val="20"/>
          <w:color w:val="auto"/>
        </w:rPr>
        <w:t>Subject to Section 2.3, during the Term, Jazz (and any of its Affiliates, or any transferee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successor in interest to Jazz’s business or Product) shall order and purchase at least sixty percent (60%) of its requirements for the API and forty percent (40%) of its requirements for the Drug Product from Siegfried.</w:t>
      </w:r>
    </w:p>
    <w:p>
      <w:pPr>
        <w:spacing w:after="0" w:line="100" w:lineRule="exact"/>
        <w:rPr>
          <w:sz w:val="20"/>
          <w:szCs w:val="20"/>
          <w:color w:val="auto"/>
        </w:rPr>
      </w:pPr>
    </w:p>
    <w:p>
      <w:pPr>
        <w:ind w:left="500"/>
        <w:spacing w:after="0" w:line="317" w:lineRule="auto"/>
        <w:rPr>
          <w:sz w:val="20"/>
          <w:szCs w:val="20"/>
          <w:color w:val="auto"/>
        </w:rPr>
      </w:pPr>
      <w:r>
        <w:rPr>
          <w:rFonts w:ascii="Arial" w:cs="Arial" w:eastAsia="Arial" w:hAnsi="Arial"/>
          <w:sz w:val="20"/>
          <w:szCs w:val="20"/>
          <w:color w:val="auto"/>
        </w:rPr>
        <w:t>Subject to this minimum purchase commitment and Section 2.4 below, the Parties further agree on the following pricing mechanism:</w:t>
      </w:r>
    </w:p>
    <w:p>
      <w:pPr>
        <w:spacing w:after="0" w:line="95" w:lineRule="exact"/>
        <w:rPr>
          <w:sz w:val="20"/>
          <w:szCs w:val="20"/>
          <w:color w:val="auto"/>
        </w:rPr>
      </w:pPr>
    </w:p>
    <w:p>
      <w:pPr>
        <w:ind w:left="820" w:hanging="326"/>
        <w:spacing w:after="0"/>
        <w:tabs>
          <w:tab w:leader="none" w:pos="8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the API: [ * ]; or</w:t>
      </w:r>
    </w:p>
    <w:p>
      <w:pPr>
        <w:spacing w:after="0" w:line="175" w:lineRule="exact"/>
        <w:rPr>
          <w:rFonts w:ascii="Arial" w:cs="Arial" w:eastAsia="Arial" w:hAnsi="Arial"/>
          <w:sz w:val="20"/>
          <w:szCs w:val="20"/>
          <w:color w:val="auto"/>
        </w:rPr>
      </w:pPr>
    </w:p>
    <w:p>
      <w:pPr>
        <w:ind w:left="820" w:hanging="326"/>
        <w:spacing w:after="0"/>
        <w:tabs>
          <w:tab w:leader="none" w:pos="8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the Drug Product: [ * ]:</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color w:val="auto"/>
        </w:rPr>
        <w:t>7 / 37</w:t>
      </w:r>
    </w:p>
    <w:p>
      <w:pPr>
        <w:spacing w:after="0" w:line="200" w:lineRule="exact"/>
        <w:rPr>
          <w:sz w:val="20"/>
          <w:szCs w:val="20"/>
          <w:color w:val="auto"/>
        </w:rPr>
      </w:pPr>
    </w:p>
    <w:p>
      <w:pPr>
        <w:spacing w:after="0" w:line="265" w:lineRule="exact"/>
        <w:rPr>
          <w:sz w:val="20"/>
          <w:szCs w:val="20"/>
          <w:color w:val="auto"/>
        </w:rPr>
      </w:pPr>
    </w:p>
    <w:p>
      <w:pPr>
        <w:jc w:val="both"/>
        <w:ind w:left="326" w:hanging="326"/>
        <w:spacing w:after="0" w:line="310" w:lineRule="auto"/>
        <w:tabs>
          <w:tab w:leader="none" w:pos="326" w:val="left"/>
        </w:tabs>
        <w:numPr>
          <w:ilvl w:val="0"/>
          <w:numId w:val="70"/>
        </w:numPr>
        <w:rPr>
          <w:rFonts w:ascii="Arial" w:cs="Arial" w:eastAsia="Arial" w:hAnsi="Arial"/>
          <w:sz w:val="20"/>
          <w:szCs w:val="20"/>
          <w:color w:val="auto"/>
        </w:rPr>
      </w:pPr>
      <w:r>
        <w:rPr>
          <w:rFonts w:ascii="Arial" w:cs="Arial" w:eastAsia="Arial" w:hAnsi="Arial"/>
          <w:sz w:val="20"/>
          <w:szCs w:val="20"/>
          <w:color w:val="auto"/>
        </w:rPr>
        <w:t>During the Term, but not more often than [ * ], upon reasonable prior written notice to Jazz and to such an extent as will not interfere with the normal operations of Jazz, an independent certified public accountant selected by Siegfried and reasonably acceptable to Jazz will have reasonable access during normal business hours to inspect, at Siegfried’s expense, Jazz’s books of accounts and other records pertaining to the purchase of API and Drug Product as may reasonably be necessary for the purpose of determining Jazz’s compliance with the minimum purchase commitment provided for under this Agreement. Prior to commencing any such inspection and/or audit, the accountant shall enter into a reasonable and customary confidentiality agreement with Jazz which prohibits the disclosure of any information, except as provided in said confidentiality agreement or pursuant to court order, relating to Jazz and/or its Affiliates to any person or entity, including Siegfried, except that such accountant may issue a report to Siegfried, which report shall also be provided to Jazz, the sole purpose of which will be to report to Siegfried on Jazz’s compliance or non-compliance with such minimum purchase commitment. Siegfried shall treat all information received from Jazz and/or its Affiliates and/or the accountant hereunder as Jazz’s Confidential Information. In the event of any dispute between Jazz and Siegfried regarding the findings of any such inspection or audit, the Parties shall initially attempt in good faith to resolve the dispute amicably between themselves. The costs for such an audit shall be borne by Jazz in case of the discovery of any inaccuracies resulting in non-compliance with Jazz’s minimum purchase commitment.</w:t>
      </w:r>
    </w:p>
    <w:p>
      <w:pPr>
        <w:spacing w:after="0" w:line="108" w:lineRule="exact"/>
        <w:rPr>
          <w:rFonts w:ascii="Arial" w:cs="Arial" w:eastAsia="Arial" w:hAnsi="Arial"/>
          <w:sz w:val="20"/>
          <w:szCs w:val="20"/>
          <w:color w:val="auto"/>
        </w:rPr>
      </w:pPr>
    </w:p>
    <w:p>
      <w:pPr>
        <w:jc w:val="both"/>
        <w:ind w:left="326" w:hanging="326"/>
        <w:spacing w:after="0" w:line="310" w:lineRule="auto"/>
        <w:tabs>
          <w:tab w:leader="none" w:pos="326"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event (i) Siegfried does not deliver conforming Product as per Sections 3.7 and 14.1 or (ii) Jazz notifies Siegfried in writing that Jazz has reasonable and material quality concerns regarding Siegfried’s Manufacture of the Product (including without limitation due to the occurrence of any major or critical deviations that have not been properly investigated by Siegfried (in Jazz’s reasonable discretion) or any material breach by Siegfried of its obligations under the Quality Agreement that remain uncured after [ * ] as per Section 12.4), the Parties agree that Jazz may, upon written notice to Siegfried, temporally purchase (i) more than forty-percent (40%) of its requirements of API and/or (ii) more than sixty-percent (60%) of its requirements of Drug Product from other suppliers without constituting a breach of its obligations under Section 2.3 and without any penalty, surcharge or Volume Shortfall payment being due or owing (pursuant to Section 2.3a) or 2.3b)). This Section 2.3 c) will apply only to the extent and for so long as Siegfried does not deliver conforming Product as per Sections 3.7 and 14.1 (excluding any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6646"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0926"/>
          </w:cols>
          <w:pgMar w:left="734" w:top="14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color w:val="auto"/>
        </w:rPr>
        <w:t>8 / 37</w:t>
      </w:r>
    </w:p>
    <w:p>
      <w:pPr>
        <w:spacing w:after="0" w:line="200" w:lineRule="exact"/>
        <w:rPr>
          <w:sz w:val="20"/>
          <w:szCs w:val="20"/>
          <w:color w:val="auto"/>
        </w:rPr>
      </w:pPr>
    </w:p>
    <w:p>
      <w:pPr>
        <w:spacing w:after="0" w:line="265" w:lineRule="exact"/>
        <w:rPr>
          <w:sz w:val="20"/>
          <w:szCs w:val="20"/>
          <w:color w:val="auto"/>
        </w:rPr>
      </w:pPr>
    </w:p>
    <w:p>
      <w:pPr>
        <w:jc w:val="both"/>
        <w:ind w:left="840"/>
        <w:spacing w:after="0" w:line="311" w:lineRule="auto"/>
        <w:rPr>
          <w:sz w:val="20"/>
          <w:szCs w:val="20"/>
          <w:color w:val="auto"/>
        </w:rPr>
      </w:pPr>
      <w:r>
        <w:rPr>
          <w:rFonts w:ascii="Arial" w:cs="Arial" w:eastAsia="Arial" w:hAnsi="Arial"/>
          <w:sz w:val="20"/>
          <w:szCs w:val="20"/>
          <w:color w:val="auto"/>
        </w:rPr>
        <w:t>Majeure Event or any reason caused due to an act or omission of Jazz); provided, however, that, if Siegfried resumes the capability to deliver (conforming) Product comprising at least eighty percent (80%) of Jazz’s outstanding Product requirements, the requirements of this Section 2.3 shall be deemed to be reinstated (provided, however, that Jazz shall not be liable for any penalty, surcharge or Volume Shortfall payment in respect of any Product orders it committed to with another supplier during the period in which Siegfried did not or could not deliver conforming Product).</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Exclusivity</w:t>
      </w:r>
      <w:r>
        <w:rPr>
          <w:rFonts w:ascii="Arial" w:cs="Arial" w:eastAsia="Arial" w:hAnsi="Arial"/>
          <w:sz w:val="19"/>
          <w:szCs w:val="19"/>
          <w:color w:val="auto"/>
        </w:rPr>
        <w:t>.</w:t>
      </w:r>
    </w:p>
    <w:p>
      <w:pPr>
        <w:spacing w:after="0" w:line="182" w:lineRule="exact"/>
        <w:rPr>
          <w:sz w:val="20"/>
          <w:szCs w:val="20"/>
          <w:color w:val="auto"/>
        </w:rPr>
      </w:pPr>
    </w:p>
    <w:p>
      <w:pPr>
        <w:jc w:val="both"/>
        <w:ind w:left="500"/>
        <w:spacing w:after="0" w:line="312" w:lineRule="auto"/>
        <w:rPr>
          <w:sz w:val="20"/>
          <w:szCs w:val="20"/>
          <w:color w:val="auto"/>
        </w:rPr>
      </w:pPr>
      <w:r>
        <w:rPr>
          <w:rFonts w:ascii="Arial" w:cs="Arial" w:eastAsia="Arial" w:hAnsi="Arial"/>
          <w:sz w:val="20"/>
          <w:szCs w:val="20"/>
          <w:color w:val="auto"/>
        </w:rPr>
        <w:t>Without limiting Siegfried’s other obligations hereunder (including without limitation its obligations under Sections 10 and 11), during the Term of this Agreement, neither Siegfried nor any of Siegfried’s Affiliates engaged by Jazz (or any of Jazz’s Affiliates) within the previous [ * ] shall develop, make, have made, use, sell, have sold, solicit, import or commercialize, or assist any third party in any of the foregoing (other than Jazz or its designee pursuant to this Agreement) with respect to</w:t>
      </w:r>
    </w:p>
    <w:p>
      <w:pPr>
        <w:spacing w:after="0" w:line="101" w:lineRule="exact"/>
        <w:rPr>
          <w:sz w:val="20"/>
          <w:szCs w:val="20"/>
          <w:color w:val="auto"/>
        </w:rPr>
      </w:pPr>
    </w:p>
    <w:p>
      <w:pPr>
        <w:ind w:left="1160" w:hanging="652"/>
        <w:spacing w:after="0"/>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Product and/or</w:t>
      </w:r>
    </w:p>
    <w:p>
      <w:pPr>
        <w:spacing w:after="0" w:line="175" w:lineRule="exact"/>
        <w:rPr>
          <w:rFonts w:ascii="Arial" w:cs="Arial" w:eastAsia="Arial" w:hAnsi="Arial"/>
          <w:sz w:val="20"/>
          <w:szCs w:val="20"/>
          <w:color w:val="auto"/>
        </w:rPr>
      </w:pPr>
    </w:p>
    <w:p>
      <w:pPr>
        <w:ind w:left="1160" w:hanging="652"/>
        <w:spacing w:after="0"/>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drug product containing the API</w:t>
      </w:r>
    </w:p>
    <w:p>
      <w:pPr>
        <w:spacing w:after="0" w:line="175" w:lineRule="exact"/>
        <w:rPr>
          <w:sz w:val="20"/>
          <w:szCs w:val="20"/>
          <w:color w:val="auto"/>
        </w:rPr>
      </w:pPr>
    </w:p>
    <w:p>
      <w:pPr>
        <w:jc w:val="both"/>
        <w:ind w:left="500"/>
        <w:spacing w:after="0" w:line="310" w:lineRule="auto"/>
        <w:rPr>
          <w:sz w:val="20"/>
          <w:szCs w:val="20"/>
          <w:color w:val="auto"/>
        </w:rPr>
      </w:pPr>
      <w:r>
        <w:rPr>
          <w:rFonts w:ascii="Arial" w:cs="Arial" w:eastAsia="Arial" w:hAnsi="Arial"/>
          <w:sz w:val="20"/>
          <w:szCs w:val="20"/>
          <w:color w:val="auto"/>
        </w:rPr>
        <w:t>that directly or indirectly uses, relies on, references, incorporates, derives from or relates to in any way, in whole or in part, any of the Technology (except technology that is general knowledge and publicly known or in the public domain), Jazz’s Confidential Information or Jazz’s Intellectual Property Rights (including without limitation Jazz’s Pre-Existing Intellectual Property Rights and Jazz’s Arising Intellectual Property Rights). For the avoidance of doubt, Jazz acknowledges that nothing in this Agreement shall be construed as a representation or inference that Siegfried will not enter into business relationships with other third parties regarding products that are similar to or that may compete with any Product, Technology or process covered by this Agreement subject always to Siegfried’s compliance with its obligations hereunder (including without limitation its obligations under Sections 10 and 11) and provided always that none of Jazz’s Technology, Jazz’s Confidential Information and/or Jazz’s Intellectual Property Rights (including Jazz’s Pre-Existing Intellectual Property Rights and Jazz’s Arising Intellectual Property Rights) shall be used or disclosed in breach of this Agreement.</w:t>
      </w:r>
    </w:p>
    <w:p>
      <w:pPr>
        <w:spacing w:after="0" w:line="106" w:lineRule="exact"/>
        <w:rPr>
          <w:sz w:val="20"/>
          <w:szCs w:val="20"/>
          <w:color w:val="auto"/>
        </w:rPr>
      </w:pPr>
    </w:p>
    <w:p>
      <w:pPr>
        <w:jc w:val="both"/>
        <w:ind w:left="500" w:hanging="499"/>
        <w:spacing w:after="0" w:line="361" w:lineRule="auto"/>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Controlled Substance</w:t>
      </w:r>
      <w:r>
        <w:rPr>
          <w:rFonts w:ascii="Arial" w:cs="Arial" w:eastAsia="Arial" w:hAnsi="Arial"/>
          <w:sz w:val="19"/>
          <w:szCs w:val="19"/>
          <w:color w:val="auto"/>
        </w:rPr>
        <w:t>. The Parties acknowledge that the API (and thus the Drug Product) may become scheduled under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Federal Controlled Substances Act and/or respective laws in other countries of the Territory (collectively, the </w:t>
      </w:r>
      <w:r>
        <w:rPr>
          <w:rFonts w:ascii="Arial" w:cs="Arial" w:eastAsia="Arial" w:hAnsi="Arial"/>
          <w:sz w:val="19"/>
          <w:szCs w:val="19"/>
          <w:b w:val="1"/>
          <w:bCs w:val="1"/>
          <w:color w:val="auto"/>
        </w:rPr>
        <w:t>FCSA</w:t>
      </w:r>
      <w:r>
        <w:rPr>
          <w:rFonts w:ascii="Arial" w:cs="Arial" w:eastAsia="Arial" w:hAnsi="Arial"/>
          <w:sz w:val="19"/>
          <w:szCs w:val="19"/>
          <w:color w:val="auto"/>
        </w:rPr>
        <w:t>). Jazz shall promptly inform Siegfried if the API will be subject to the FCSA, and the Parties will confer and discuss in good faith the necessary activities to be taken as needed to comply with the FCSA, and the allocation of costs therefore, including without limitation, amending this Agreement and obtaining the necessary licenses, authorizations and regulatory requirements.</w:t>
      </w:r>
    </w:p>
    <w:p>
      <w:pPr>
        <w:spacing w:after="0" w:line="85"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0"/>
          <w:szCs w:val="20"/>
          <w:u w:val="single" w:color="auto"/>
          <w:color w:val="auto"/>
        </w:rPr>
        <w:t>Relationship Management</w:t>
      </w:r>
      <w:r>
        <w:rPr>
          <w:rFonts w:ascii="Arial" w:cs="Arial" w:eastAsia="Arial" w:hAnsi="Arial"/>
          <w:sz w:val="20"/>
          <w:szCs w:val="20"/>
          <w:color w:val="auto"/>
        </w:rPr>
        <w:t>. Upon execution of this Agreement, each Party shall forthwith appoint one of its employees to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a relationship manager responsible for liaison</w:t>
      </w:r>
    </w:p>
    <w:p>
      <w:pPr>
        <w:spacing w:after="0" w:line="246"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color w:val="auto"/>
        </w:rPr>
        <w:t>9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1" w:lineRule="auto"/>
        <w:rPr>
          <w:sz w:val="20"/>
          <w:szCs w:val="20"/>
          <w:color w:val="auto"/>
        </w:rPr>
      </w:pPr>
      <w:r>
        <w:rPr>
          <w:rFonts w:ascii="Arial" w:cs="Arial" w:eastAsia="Arial" w:hAnsi="Arial"/>
          <w:sz w:val="20"/>
          <w:szCs w:val="20"/>
          <w:color w:val="auto"/>
        </w:rPr>
        <w:t>between the Parties. Those representatives shall meet periodically as agreed to review the current status of the business relationship, including, but not limited to, Equipment and facilities updates, current and anticipated need of each Product (current and anticipated inventory (as per Section 5.4), current and anticipated manufacturing capacity, planned work or changes to the Manufacturing Site, supply chain concerns, in particular without limitations, Materials in short supply or vendor performance, and manage any issues that have arisen. [ * ], the Parties shall organize business review meetings to discuss operational and strategic aspects relating to the execution of this Agreement as well as any issues communicated by either Party to the other Party. With the prior agreement of the Parties, the frequency of the meetings may be increased. The meetings may also be organized through media (teleconferences or videoconferences) and each Party shall bear its own costs in relation with all meetings organized under this Section 2.6.</w:t>
      </w:r>
    </w:p>
    <w:p>
      <w:pPr>
        <w:spacing w:after="0" w:line="97"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0"/>
          <w:szCs w:val="20"/>
          <w:u w:val="single" w:color="auto"/>
          <w:color w:val="auto"/>
        </w:rPr>
        <w:t>Information</w:t>
      </w:r>
      <w:r>
        <w:rPr>
          <w:rFonts w:ascii="Arial" w:cs="Arial" w:eastAsia="Arial" w:hAnsi="Arial"/>
          <w:sz w:val="20"/>
          <w:szCs w:val="20"/>
          <w:color w:val="auto"/>
        </w:rPr>
        <w:t>. Jazz shall provide to Siegfried the Technology and such other information in Jazz's possession relating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Products, which are useful and necessary for Siegfried in performing its obligations hereunder, in particular any information concerning any potential hazards involved in Manufacturing Product and other Safety, Health and Environment (SHE) requirements related to the handling of the Product or any waste. The Technology provided by Jazz to Siegfried hereunder shall be subject to the terms and conditions set forth in Sections 10 and 11.</w:t>
      </w:r>
    </w:p>
    <w:p>
      <w:pPr>
        <w:spacing w:after="0" w:line="254"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22"/>
          <w:szCs w:val="22"/>
          <w:b w:val="1"/>
          <w:bCs w:val="1"/>
          <w:color w:val="auto"/>
        </w:rPr>
      </w:pPr>
      <w:r>
        <w:rPr>
          <w:rFonts w:ascii="Arial" w:cs="Arial" w:eastAsia="Arial" w:hAnsi="Arial"/>
          <w:sz w:val="20"/>
          <w:szCs w:val="20"/>
          <w:b w:val="1"/>
          <w:bCs w:val="1"/>
          <w:color w:val="auto"/>
        </w:rPr>
        <w:t>Ordering, Purchase and Supply of Product</w:t>
      </w:r>
    </w:p>
    <w:p>
      <w:pPr>
        <w:spacing w:after="0" w:line="187" w:lineRule="exact"/>
        <w:rPr>
          <w:sz w:val="20"/>
          <w:szCs w:val="20"/>
          <w:color w:val="auto"/>
        </w:rPr>
      </w:pPr>
    </w:p>
    <w:p>
      <w:pPr>
        <w:ind w:left="500" w:right="20" w:hanging="499"/>
        <w:spacing w:after="0" w:line="345" w:lineRule="auto"/>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0"/>
          <w:szCs w:val="20"/>
          <w:color w:val="auto"/>
        </w:rPr>
        <w:t>Jazz shall submit to Siegfried, upon [ * ] and then [ * ], an estimated (good faith) demand forecast of Jazz’s requirements of each Product for the next [ * ].</w:t>
      </w:r>
    </w:p>
    <w:p>
      <w:pPr>
        <w:spacing w:after="0" w:line="95" w:lineRule="exact"/>
        <w:rPr>
          <w:sz w:val="20"/>
          <w:szCs w:val="20"/>
          <w:color w:val="auto"/>
        </w:rPr>
      </w:pPr>
    </w:p>
    <w:p>
      <w:pPr>
        <w:ind w:left="500" w:hanging="499"/>
        <w:spacing w:after="0" w:line="345" w:lineRule="auto"/>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0"/>
          <w:szCs w:val="20"/>
          <w:color w:val="auto"/>
        </w:rPr>
        <w:t>Jazz shall submit to Siegfried, on a [ * ] basis, [ * ] prior to the beginning of each month, an estimated (good faith) demand forecast of Jazz’s requirements of each Product for the next [ * ], as follows (each, a “</w:t>
      </w:r>
      <w:r>
        <w:rPr>
          <w:rFonts w:ascii="Arial" w:cs="Arial" w:eastAsia="Arial" w:hAnsi="Arial"/>
          <w:sz w:val="20"/>
          <w:szCs w:val="20"/>
          <w:b w:val="1"/>
          <w:bCs w:val="1"/>
          <w:color w:val="auto"/>
        </w:rPr>
        <w:t>Forecast”</w:t>
      </w:r>
      <w:r>
        <w:rPr>
          <w:rFonts w:ascii="Arial" w:cs="Arial" w:eastAsia="Arial" w:hAnsi="Arial"/>
          <w:sz w:val="20"/>
          <w:szCs w:val="20"/>
          <w:color w:val="auto"/>
        </w:rPr>
        <w:t>):</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3.2.1  </w:t>
      </w:r>
      <w:r>
        <w:rPr>
          <w:rFonts w:ascii="Arial" w:cs="Arial" w:eastAsia="Arial" w:hAnsi="Arial"/>
          <w:sz w:val="19"/>
          <w:szCs w:val="19"/>
          <w:color w:val="auto"/>
        </w:rPr>
        <w:t>Drug Product Forecast: Jazz’s [ * ] forecast for Drug Product shall set forth:</w:t>
      </w:r>
    </w:p>
    <w:p>
      <w:pPr>
        <w:spacing w:after="0" w:line="182" w:lineRule="exact"/>
        <w:rPr>
          <w:sz w:val="20"/>
          <w:szCs w:val="20"/>
          <w:color w:val="auto"/>
        </w:rPr>
      </w:pPr>
    </w:p>
    <w:p>
      <w:pPr>
        <w:ind w:left="1140" w:right="240" w:firstLine="2"/>
        <w:spacing w:after="0" w:line="317" w:lineRule="auto"/>
        <w:tabs>
          <w:tab w:leader="none" w:pos="1536"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placed Orders for the next [ * ], which shall be binding on the Parties with respect to quantities and delivery dates;</w:t>
      </w:r>
    </w:p>
    <w:p>
      <w:pPr>
        <w:spacing w:after="0" w:line="94" w:lineRule="exact"/>
        <w:rPr>
          <w:rFonts w:ascii="Arial" w:cs="Arial" w:eastAsia="Arial" w:hAnsi="Arial"/>
          <w:sz w:val="20"/>
          <w:szCs w:val="20"/>
          <w:color w:val="auto"/>
        </w:rPr>
      </w:pPr>
    </w:p>
    <w:p>
      <w:pPr>
        <w:ind w:left="1580" w:hanging="438"/>
        <w:spacing w:after="0"/>
        <w:tabs>
          <w:tab w:leader="none" w:pos="15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estimated forecast for the next [ * ], which shall not be binding.</w:t>
      </w:r>
    </w:p>
    <w:p>
      <w:pPr>
        <w:spacing w:after="0" w:line="172" w:lineRule="exact"/>
        <w:rPr>
          <w:sz w:val="20"/>
          <w:szCs w:val="20"/>
          <w:color w:val="auto"/>
        </w:rPr>
      </w:pPr>
    </w:p>
    <w:p>
      <w:pPr>
        <w:ind w:left="1160" w:right="360" w:hanging="638"/>
        <w:spacing w:after="0" w:line="356"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19"/>
          <w:szCs w:val="19"/>
          <w:color w:val="auto"/>
        </w:rPr>
        <w:t>The total lead-time for Manufacture of Drug Product shall be [ * ], provided sufficient quantity of API is available to</w:t>
      </w:r>
      <w:r>
        <w:rPr>
          <w:rFonts w:ascii="Arial" w:cs="Arial" w:eastAsia="Arial" w:hAnsi="Arial"/>
          <w:sz w:val="22"/>
          <w:szCs w:val="22"/>
          <w:color w:val="auto"/>
        </w:rPr>
        <w:t xml:space="preserve"> </w:t>
      </w:r>
      <w:r>
        <w:rPr>
          <w:rFonts w:ascii="Arial" w:cs="Arial" w:eastAsia="Arial" w:hAnsi="Arial"/>
          <w:sz w:val="19"/>
          <w:szCs w:val="19"/>
          <w:color w:val="auto"/>
        </w:rPr>
        <w:t>Drug Product Manufacturing Site at least [ * ] prior to the confirmed delivery date.</w:t>
      </w:r>
    </w:p>
    <w:p>
      <w:pPr>
        <w:spacing w:after="0" w:line="20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color w:val="auto"/>
        </w:rPr>
        <w:t>10 / 37</w:t>
      </w:r>
    </w:p>
    <w:p>
      <w:pPr>
        <w:spacing w:after="0" w:line="200" w:lineRule="exact"/>
        <w:rPr>
          <w:sz w:val="20"/>
          <w:szCs w:val="20"/>
          <w:color w:val="auto"/>
        </w:rPr>
      </w:pPr>
    </w:p>
    <w:p>
      <w:pPr>
        <w:spacing w:after="0" w:line="26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3.2.3  </w:t>
      </w:r>
      <w:r>
        <w:rPr>
          <w:rFonts w:ascii="Arial" w:cs="Arial" w:eastAsia="Arial" w:hAnsi="Arial"/>
          <w:sz w:val="19"/>
          <w:szCs w:val="19"/>
          <w:color w:val="auto"/>
        </w:rPr>
        <w:t>API Forecast: Jazz’s [ * ] forecast for API shall set forth:</w:t>
      </w:r>
    </w:p>
    <w:p>
      <w:pPr>
        <w:spacing w:after="0" w:line="182" w:lineRule="exact"/>
        <w:rPr>
          <w:sz w:val="20"/>
          <w:szCs w:val="20"/>
          <w:color w:val="auto"/>
        </w:rPr>
      </w:pPr>
    </w:p>
    <w:p>
      <w:pPr>
        <w:ind w:left="1140" w:right="240" w:firstLine="2"/>
        <w:spacing w:after="0" w:line="317" w:lineRule="auto"/>
        <w:tabs>
          <w:tab w:leader="none" w:pos="153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placed Orders for the next [ * ], which shall be binding on the Parties with respect to quantities and delivery dates;</w:t>
      </w:r>
    </w:p>
    <w:p>
      <w:pPr>
        <w:spacing w:after="0" w:line="94" w:lineRule="exact"/>
        <w:rPr>
          <w:rFonts w:ascii="Arial" w:cs="Arial" w:eastAsia="Arial" w:hAnsi="Arial"/>
          <w:sz w:val="20"/>
          <w:szCs w:val="20"/>
          <w:color w:val="auto"/>
        </w:rPr>
      </w:pPr>
    </w:p>
    <w:p>
      <w:pPr>
        <w:ind w:left="1580" w:hanging="438"/>
        <w:spacing w:after="0"/>
        <w:tabs>
          <w:tab w:leader="none" w:pos="15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estimated forecast for the [ * ], which shall not be binding.</w:t>
      </w:r>
    </w:p>
    <w:p>
      <w:pPr>
        <w:spacing w:after="0" w:line="172" w:lineRule="exact"/>
        <w:rPr>
          <w:sz w:val="20"/>
          <w:szCs w:val="20"/>
          <w:color w:val="auto"/>
        </w:rPr>
      </w:pPr>
    </w:p>
    <w:p>
      <w:pPr>
        <w:jc w:val="both"/>
        <w:ind w:left="1160" w:hanging="638"/>
        <w:spacing w:after="0" w:line="350"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19"/>
          <w:szCs w:val="19"/>
          <w:color w:val="auto"/>
        </w:rPr>
        <w:t>The total lead-time for Manufacture of API shall be [ * ], provided sufficient quantity of Key Material is available to</w:t>
      </w:r>
      <w:r>
        <w:rPr>
          <w:rFonts w:ascii="Arial" w:cs="Arial" w:eastAsia="Arial" w:hAnsi="Arial"/>
          <w:sz w:val="22"/>
          <w:szCs w:val="22"/>
          <w:color w:val="auto"/>
        </w:rPr>
        <w:t xml:space="preserve"> </w:t>
      </w:r>
      <w:r>
        <w:rPr>
          <w:rFonts w:ascii="Arial" w:cs="Arial" w:eastAsia="Arial" w:hAnsi="Arial"/>
          <w:sz w:val="19"/>
          <w:szCs w:val="19"/>
          <w:color w:val="auto"/>
        </w:rPr>
        <w:t>Siegfried at least [ * ] prior to the confirmed delivery date. In case (i) the Key Material is not available to Siegfried in sufficient quantity at least [ * ] prior to the confirmed delivery date or (ii) the API ordered by Jazz was not reflected in the [ * ] forecast, the Parties shall jointly agree on the lead time.</w:t>
      </w:r>
    </w:p>
    <w:p>
      <w:pPr>
        <w:spacing w:after="0" w:line="80"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0"/>
          <w:szCs w:val="20"/>
          <w:color w:val="auto"/>
        </w:rPr>
        <w:t>Siegfried shall use commercially reasonable efforts to supply Jazz, no later than [ * ], with a written summary report of the agreed Consigned Materials, API and Drug Product inventory for such prior month in the form used by Siegfried for its customers, in order that Jazz may properly account for the inventory held by Siegfried (and its Affiliates) pursuant to this Agreement. The Parties may agree that additional specialized reports shall be prepared by Siegfried in accordance with Jazz's reasonable instructions. The costs for such additional reports will be borne by Jazz.</w:t>
      </w:r>
    </w:p>
    <w:p>
      <w:pPr>
        <w:spacing w:after="0" w:line="100"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0"/>
          <w:szCs w:val="20"/>
          <w:color w:val="auto"/>
        </w:rPr>
        <w:t>Jazz acknowledges that Siegfried will rely on the accuracy of Jazz’s Forecasts in planning its Manufacture, storage and transport of Product as well as its acquisitions of Raw Materials, as set forth in Section 5. If at any time Jazz finds that a Forecast is inaccurate in a material respect, Jazz shall inform Siegfried without delay and the Parties shall confer and discuss without delay how to proceed.</w:t>
      </w:r>
    </w:p>
    <w:p>
      <w:pPr>
        <w:spacing w:after="0" w:line="96" w:lineRule="exact"/>
        <w:rPr>
          <w:sz w:val="20"/>
          <w:szCs w:val="20"/>
          <w:color w:val="auto"/>
        </w:rPr>
      </w:pPr>
    </w:p>
    <w:p>
      <w:pPr>
        <w:jc w:val="both"/>
        <w:ind w:left="500" w:hanging="499"/>
        <w:spacing w:after="0" w:line="339" w:lineRule="auto"/>
        <w:tabs>
          <w:tab w:leader="none" w:pos="4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0"/>
          <w:szCs w:val="20"/>
          <w:color w:val="auto"/>
        </w:rPr>
        <w:t xml:space="preserve">Jazz shall make all purchases of Product hereunder by submitting Orders to Siegfried in accordance with the respective Product Forecast. Each such Order shall be in writing and shall specify (i) the Product ordered, (ii) the quantity ordered), (iii) the price pursuant to </w:t>
      </w:r>
      <w:r>
        <w:rPr>
          <w:rFonts w:ascii="Arial" w:cs="Arial" w:eastAsia="Arial" w:hAnsi="Arial"/>
          <w:sz w:val="20"/>
          <w:szCs w:val="20"/>
          <w:u w:val="single" w:color="auto"/>
          <w:color w:val="auto"/>
        </w:rPr>
        <w:t>Annex 1.4</w:t>
      </w:r>
      <w:r>
        <w:rPr>
          <w:rFonts w:ascii="Arial" w:cs="Arial" w:eastAsia="Arial" w:hAnsi="Arial"/>
          <w:sz w:val="20"/>
          <w:szCs w:val="20"/>
          <w:color w:val="auto"/>
        </w:rPr>
        <w:t xml:space="preserve">, and (iv) the requested delivery date, giving Siegfried no less than the number of days in advance of requested delivery to Jazz pursuant to Section 3.2 (the </w:t>
      </w:r>
      <w:r>
        <w:rPr>
          <w:rFonts w:ascii="Arial" w:cs="Arial" w:eastAsia="Arial" w:hAnsi="Arial"/>
          <w:sz w:val="20"/>
          <w:szCs w:val="20"/>
          <w:b w:val="1"/>
          <w:bCs w:val="1"/>
          <w:color w:val="auto"/>
        </w:rPr>
        <w:t>Lead Time</w:t>
      </w:r>
      <w:r>
        <w:rPr>
          <w:rFonts w:ascii="Arial" w:cs="Arial" w:eastAsia="Arial" w:hAnsi="Arial"/>
          <w:sz w:val="20"/>
          <w:szCs w:val="20"/>
          <w:color w:val="auto"/>
        </w:rPr>
        <w:t>). Lead Times for Product deliveries for validation campaigns and/or initial requirements of Product for launch in a country of the Territory shall be agreed upon between the Parties in good faith.</w:t>
      </w:r>
    </w:p>
    <w:p>
      <w:pPr>
        <w:spacing w:after="0" w:line="104"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0"/>
          <w:szCs w:val="20"/>
          <w:color w:val="auto"/>
        </w:rPr>
        <w:t>In accordance with Section 3.2.3 or 3.2.4, Siegfried shall use commercially reasonable efforts to execute Orders which exceed by [ * ] of the forecasted quantities. Orders exceeding [ * ] of the forecasted quantities shall be discussed between the Parties, but are only binding upon confirmation by Siegfried. Subject to this Section 3, Siegfried shall confirm to Jazz by way of an Order Confirmation that it will meet Jazz’s quantity requirements in accordance with the delivery date(s) within [ * ] from the date of</w:t>
      </w:r>
    </w:p>
    <w:p>
      <w:pPr>
        <w:spacing w:after="0" w:line="250"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56" w:name="page157"/>
    <w:bookmarkEnd w:id="156"/>
    <w:p>
      <w:pPr>
        <w:ind w:left="10972"/>
        <w:spacing w:after="0"/>
        <w:rPr>
          <w:sz w:val="20"/>
          <w:szCs w:val="20"/>
          <w:color w:val="auto"/>
        </w:rPr>
      </w:pPr>
      <w:r>
        <w:rPr>
          <w:rFonts w:ascii="Arial" w:cs="Arial" w:eastAsia="Arial" w:hAnsi="Arial"/>
          <w:sz w:val="14"/>
          <w:szCs w:val="14"/>
          <w:color w:val="auto"/>
        </w:rPr>
        <w:t>11 / 37</w:t>
      </w:r>
    </w:p>
    <w:p>
      <w:pPr>
        <w:spacing w:after="0" w:line="200" w:lineRule="exact"/>
        <w:rPr>
          <w:sz w:val="20"/>
          <w:szCs w:val="20"/>
          <w:color w:val="auto"/>
        </w:rPr>
      </w:pPr>
    </w:p>
    <w:p>
      <w:pPr>
        <w:spacing w:after="0" w:line="265" w:lineRule="exact"/>
        <w:rPr>
          <w:sz w:val="20"/>
          <w:szCs w:val="20"/>
          <w:color w:val="auto"/>
        </w:rPr>
      </w:pPr>
    </w:p>
    <w:p>
      <w:pPr>
        <w:ind w:left="492"/>
        <w:spacing w:after="0"/>
        <w:rPr>
          <w:sz w:val="20"/>
          <w:szCs w:val="20"/>
          <w:color w:val="auto"/>
        </w:rPr>
      </w:pPr>
      <w:r>
        <w:rPr>
          <w:rFonts w:ascii="Arial" w:cs="Arial" w:eastAsia="Arial" w:hAnsi="Arial"/>
          <w:sz w:val="20"/>
          <w:szCs w:val="20"/>
          <w:color w:val="auto"/>
        </w:rPr>
        <w:t>the receipt of an Order from Jazz, whereupon the Order shall be confirmed, final, and binding on Siegfried.</w:t>
      </w:r>
    </w:p>
    <w:p>
      <w:pPr>
        <w:spacing w:after="0" w:line="172" w:lineRule="exact"/>
        <w:rPr>
          <w:sz w:val="20"/>
          <w:szCs w:val="20"/>
          <w:color w:val="auto"/>
        </w:rPr>
      </w:pPr>
    </w:p>
    <w:p>
      <w:pPr>
        <w:jc w:val="both"/>
        <w:ind w:left="492" w:hanging="499"/>
        <w:spacing w:after="0" w:line="340" w:lineRule="auto"/>
        <w:tabs>
          <w:tab w:leader="none" w:pos="472"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0"/>
          <w:szCs w:val="20"/>
          <w:color w:val="auto"/>
        </w:rPr>
        <w:t>Siegfried shall promptly and without undue delay notify Jazz in writing of any anticipated delay or of any circumstance rendering it unable to Manufacture and/or supply Product in accordance with the delivery date(s) and the estimated duration of such delay/circumstance(s). Upon such written notice, the Parties will work together to agree upon a revised delivery schedule and the Parties shall proceed in accordance with Section 14.1.</w:t>
      </w:r>
    </w:p>
    <w:p>
      <w:pPr>
        <w:spacing w:after="0" w:line="101" w:lineRule="exact"/>
        <w:rPr>
          <w:sz w:val="20"/>
          <w:szCs w:val="20"/>
          <w:color w:val="auto"/>
        </w:rPr>
      </w:pPr>
    </w:p>
    <w:p>
      <w:pPr>
        <w:jc w:val="both"/>
        <w:ind w:left="492" w:right="20" w:hanging="499"/>
        <w:spacing w:after="0" w:line="340" w:lineRule="auto"/>
        <w:tabs>
          <w:tab w:leader="none" w:pos="472"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0"/>
          <w:szCs w:val="20"/>
          <w:color w:val="auto"/>
        </w:rPr>
        <w:t xml:space="preserve">The Product shall be delivered from Siegfried to Jazz [ * ] (Incoterms 2010) API Manufacturing Site or Drug Product Manufacturing Site, and at the price as set out in </w:t>
      </w:r>
      <w:r>
        <w:rPr>
          <w:rFonts w:ascii="Arial" w:cs="Arial" w:eastAsia="Arial" w:hAnsi="Arial"/>
          <w:sz w:val="20"/>
          <w:szCs w:val="20"/>
          <w:u w:val="single" w:color="auto"/>
          <w:color w:val="auto"/>
        </w:rPr>
        <w:t>Annex 1.4</w:t>
      </w:r>
      <w:r>
        <w:rPr>
          <w:rFonts w:ascii="Arial" w:cs="Arial" w:eastAsia="Arial" w:hAnsi="Arial"/>
          <w:sz w:val="20"/>
          <w:szCs w:val="20"/>
          <w:color w:val="auto"/>
        </w:rPr>
        <w:t>. To clarify, Jazz assumes all responsibilities and liability arising out of the shipment, transport, storage, handling and use of the Product after delivery by Siegfried to Jazz in accordance with the agreed [ * ] Incoterms.</w:t>
      </w:r>
    </w:p>
    <w:p>
      <w:pPr>
        <w:spacing w:after="0" w:line="256" w:lineRule="exact"/>
        <w:rPr>
          <w:sz w:val="20"/>
          <w:szCs w:val="20"/>
          <w:color w:val="auto"/>
        </w:rPr>
      </w:pPr>
    </w:p>
    <w:p>
      <w:pPr>
        <w:ind w:left="492" w:hanging="492"/>
        <w:spacing w:after="0"/>
        <w:tabs>
          <w:tab w:leader="none" w:pos="492" w:val="left"/>
        </w:tabs>
        <w:numPr>
          <w:ilvl w:val="0"/>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Product Delivery and Conformance</w:t>
      </w:r>
    </w:p>
    <w:p>
      <w:pPr>
        <w:spacing w:after="0" w:line="187" w:lineRule="exact"/>
        <w:rPr>
          <w:sz w:val="20"/>
          <w:szCs w:val="20"/>
          <w:color w:val="auto"/>
        </w:rPr>
      </w:pPr>
    </w:p>
    <w:p>
      <w:pPr>
        <w:jc w:val="both"/>
        <w:ind w:left="492" w:hanging="499"/>
        <w:spacing w:after="0" w:line="340" w:lineRule="auto"/>
        <w:tabs>
          <w:tab w:leader="none" w:pos="47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0"/>
          <w:szCs w:val="20"/>
          <w:color w:val="auto"/>
        </w:rPr>
        <w:t>Jazz shall procure the pick-up and shipment of the Product at the agreed delivery date. A storage fee shall apply for Product which is not picked-up and shipped at that agreed delivery date through no fault of Siegfried or upon mutual agreement and thus stored by or on behalf of Siegfried for more than [ * ] from the agreed delivery date, such storage fee shall be [ * ]. Upon prior written notice to Jazz, Siegfried shall have the right to ship Product that have been stored more than [ * ] from the agreed delivery date to Jazz or its designee.</w:t>
      </w:r>
    </w:p>
    <w:p>
      <w:pPr>
        <w:spacing w:after="0" w:line="100" w:lineRule="exact"/>
        <w:rPr>
          <w:sz w:val="20"/>
          <w:szCs w:val="20"/>
          <w:color w:val="auto"/>
        </w:rPr>
      </w:pPr>
    </w:p>
    <w:p>
      <w:pPr>
        <w:jc w:val="both"/>
        <w:ind w:left="492" w:hanging="499"/>
        <w:spacing w:after="0" w:line="342" w:lineRule="auto"/>
        <w:tabs>
          <w:tab w:leader="none" w:pos="47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0"/>
          <w:szCs w:val="20"/>
          <w:color w:val="auto"/>
        </w:rPr>
        <w:t>Siegfried will provide to Jazz the documentation set forth in the Quality Agreement with each shipment of Product. Siegfried acknowledges that Jazz will rely on the accuracy and completeness of such documentation in its determination of conformance of Product with Specifications, cGMP, the Quality Agreement and Applicable Law.</w:t>
      </w:r>
    </w:p>
    <w:p>
      <w:pPr>
        <w:spacing w:after="0" w:line="97" w:lineRule="exact"/>
        <w:rPr>
          <w:sz w:val="20"/>
          <w:szCs w:val="20"/>
          <w:color w:val="auto"/>
        </w:rPr>
      </w:pPr>
    </w:p>
    <w:p>
      <w:pPr>
        <w:jc w:val="both"/>
        <w:ind w:left="492" w:hanging="499"/>
        <w:spacing w:after="0" w:line="358" w:lineRule="auto"/>
        <w:tabs>
          <w:tab w:leader="none" w:pos="47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Upon delivery of Product to Jazz (or its designee), Jazz shall carry out a reasonable physical inspection, or shall procure a designee to carry out a reasonable physical inspection, of the Product within [ * ] in order to determine compliance with the Specifications, the Quality Agreement, Applicable Law and cGMP at the time of delivery and all stages of Manufacture prior thereto. If, in either Party's opinion or determination, any Product Manufactured does not comply with the Specifications, the Quality Agreement, Applicable Law or cGMP upon delivery or at any stage of Manufacture prior thereto, then such Party shall promptly notify the other Party in writing thereof (which may include email notification) (</w:t>
      </w:r>
      <w:r>
        <w:rPr>
          <w:rFonts w:ascii="Arial" w:cs="Arial" w:eastAsia="Arial" w:hAnsi="Arial"/>
          <w:sz w:val="19"/>
          <w:szCs w:val="19"/>
          <w:b w:val="1"/>
          <w:bCs w:val="1"/>
          <w:color w:val="auto"/>
        </w:rPr>
        <w:t>Non-Conformance Claim</w:t>
      </w:r>
      <w:r>
        <w:rPr>
          <w:rFonts w:ascii="Arial" w:cs="Arial" w:eastAsia="Arial" w:hAnsi="Arial"/>
          <w:sz w:val="19"/>
          <w:szCs w:val="19"/>
          <w:color w:val="auto"/>
        </w:rPr>
        <w:t>). If Jazz does not notify Siegfried within [ * ] after delivery of the Product, then the Product is deemed accepted, provided that Jazz retains the right to reject the Product at a later time in the case of Hidden Defects as set out in Section 4.4.</w:t>
      </w:r>
    </w:p>
    <w:p>
      <w:pPr>
        <w:spacing w:after="0" w:line="244" w:lineRule="exact"/>
        <w:rPr>
          <w:sz w:val="20"/>
          <w:szCs w:val="20"/>
          <w:color w:val="auto"/>
        </w:rPr>
      </w:pPr>
    </w:p>
    <w:tbl>
      <w:tblPr>
        <w:tblLayout w:type="fixed"/>
        <w:tblInd w:w="7132"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12"/>
          </w:cols>
          <w:pgMar w:left="248" w:top="14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color w:val="auto"/>
        </w:rPr>
        <w:t>12 / 37</w:t>
      </w:r>
    </w:p>
    <w:p>
      <w:pPr>
        <w:spacing w:after="0" w:line="200" w:lineRule="exact"/>
        <w:rPr>
          <w:sz w:val="20"/>
          <w:szCs w:val="20"/>
          <w:color w:val="auto"/>
        </w:rPr>
      </w:pPr>
    </w:p>
    <w:p>
      <w:pPr>
        <w:spacing w:after="0" w:line="263"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0"/>
          <w:szCs w:val="20"/>
          <w:color w:val="auto"/>
        </w:rPr>
        <w:t>Jazz retains the right to reject Product for a period of [ * ] after delivery to Jazz (or its designee) in case of Hidden Defects (which may include, without limitation, a Hidden Defect caused by or arising due to a material error in the documentation supplied by Siegfried under Section 4.2), provided that Jazz notifies Siegfried in writing within [ * ] of discovering the Hidden Defect.</w:t>
      </w:r>
    </w:p>
    <w:p>
      <w:pPr>
        <w:spacing w:after="0" w:line="101" w:lineRule="exact"/>
        <w:rPr>
          <w:sz w:val="20"/>
          <w:szCs w:val="20"/>
          <w:color w:val="auto"/>
        </w:rPr>
      </w:pPr>
    </w:p>
    <w:p>
      <w:pPr>
        <w:jc w:val="both"/>
        <w:ind w:left="500" w:hanging="499"/>
        <w:spacing w:after="0" w:line="339" w:lineRule="auto"/>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0"/>
          <w:szCs w:val="20"/>
          <w:color w:val="auto"/>
        </w:rPr>
        <w:t>Any Non-Conformance Claim made by Jazz shall specify in reasonable detail the nature and basis for the claim and cite Siegfried’s relevant Batch numbers or other information to enable specific identification of the Product involved. Siegfried shall review any Non-Conformance Claim made by Jazz and provide Jazz with the results of such (interim) review without undue delay and, in any event, within [ * ] of receipt of Jazz’s Non-Conformance Claim, as set forth in the Quality Agreement. If such review by Siegfried confirms that the identified Product did not comply with the Specifications, Applicable Law, the Quality Agreement or cGMP upon delivery or at any stage of Manufacture, then Jazz shall have the right to reject such Product and the Parties shall proceed according to Section 14.1. The nonconforming Product shall be disposed or delivered, at Siegfried’s expense, to such destination as agreed by the Parties, in compliance with applicable environmental laws and regulations. Neither Party shall use or dispose of Product that does not, or of which either Party claims that it does not, conform to the Specifications, the Quality Agreement, Applicable Law and cGMP upon delivery or at any stage of Manufacture thereof, without the other Party's prior written consent.</w:t>
      </w:r>
    </w:p>
    <w:p>
      <w:pPr>
        <w:spacing w:after="0" w:line="100" w:lineRule="exact"/>
        <w:rPr>
          <w:sz w:val="20"/>
          <w:szCs w:val="20"/>
          <w:color w:val="auto"/>
        </w:rPr>
      </w:pPr>
    </w:p>
    <w:p>
      <w:pPr>
        <w:jc w:val="both"/>
        <w:ind w:left="500" w:hanging="499"/>
        <w:spacing w:after="0" w:line="358" w:lineRule="auto"/>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Any Non-Conformance Claim made by Siegfried shall specify in reasonable detail the nature and basis for the claim and cite Siegfried’s relevant Batch numbers or other information to enable specific identification of the Product involved. Jazz shall review any Non-Conformance Claim made by Siegfried and provide Siegfried with the results of such review within [ * ] of receipt of Siegfried’s Non-Conformance Claim. If such review by Jazz confirms that the identified Product did not comply with the Specifications, Applicable Law, the Quality Agreement or cGMP upon delivery or at any stage of Manufacture, then Siegfried shall have the right to reject such Product and the Parties shall proceed according to Section 14.1. The nonconforming Product shall be disposed or delivered, at Siegfried’s expense, to such destination as agreed by the Parties, in compliance with applicable environmental laws and regulations. Neither Party shall use or dispose of Product that does not, or of which either Party claims that it does not, conform to the Specifications, the Quality Agreement, Applicable Law and cGMP upon delivery or at any stage of Manufacture thereof, without the other Party's prior written consent.</w:t>
      </w:r>
    </w:p>
    <w:p>
      <w:pPr>
        <w:spacing w:after="0" w:line="90"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0"/>
          <w:szCs w:val="20"/>
          <w:color w:val="auto"/>
        </w:rPr>
        <w:t>If the Parties fail to agree as to whether a quantity of Product conforms to the Specifications, Applicable Law, the Quality Agreement or cGMP upon delivery or at any stage of Manufacture, the Parties shall have the Batch in dispute and/or relevant data or information investigated, tested and/or further analyzed by an independent testing laboratory or consultant (if the Parties mutually agree to refer to a consultant) selected by agreement between the Parties. The decision of the independent testing laboratory 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color w:val="auto"/>
        </w:rPr>
        <w:t>13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28" w:lineRule="auto"/>
        <w:rPr>
          <w:sz w:val="20"/>
          <w:szCs w:val="20"/>
          <w:color w:val="auto"/>
        </w:rPr>
      </w:pPr>
      <w:r>
        <w:rPr>
          <w:rFonts w:ascii="Arial" w:cs="Arial" w:eastAsia="Arial" w:hAnsi="Arial"/>
          <w:sz w:val="19"/>
          <w:szCs w:val="19"/>
          <w:color w:val="auto"/>
        </w:rPr>
        <w:t>consultant shall be deemed final as to any dispute over Product conformance with Specifications, Applicable Law, the material provisions of the Quality Agreement or cGMP upon delivery or at any stage of Manufacture. Should the laboratory or consultant determine that the delivered Product does not conform to the Specifications, the Quality Agreement, Applicable Law or cGMP upon delivery or at any stage of Manufacture, then Siegfried shall bear all costs for the independent laboratory or consultant, and all shipment, disposal and other reasonable, direct costs and expenses for conducting the investigations and Jazz shall have the right to reject such Batch of Product and the Parties shall proceed according to Section 14.1. However, in case of wrongful rejection of Drug Product by Jazz, then Jazz shall bear the expenses of returning any rejected Drug Product to Siegfried and shall compensate Siegfried the reasonable, direct costs and expenses for conducting the investigations, including without limitation, related to the shipment of the Product (initial or replacement shipment, as the case may be) and any pending purchase price payment still due as set out in this Agreement.</w:t>
      </w:r>
    </w:p>
    <w:p>
      <w:pPr>
        <w:spacing w:after="0" w:line="245"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Purchase, Storage and Transport of Materials</w:t>
      </w:r>
    </w:p>
    <w:p>
      <w:pPr>
        <w:spacing w:after="0" w:line="187"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0"/>
          <w:szCs w:val="20"/>
          <w:color w:val="auto"/>
        </w:rPr>
        <w:t>In accordance with Jazz’s Forecast and Orders placed, Siegfried will obtain sufficient quantities of all Raw Materials at Siegfried’s costs and expenses in sufficient quantities and of good quality as necessary to enable Siegfried to Manufacture and supply Product in accordance with Jazz’s requirements. Jazz shall also bear the mutually agreed costs of all material to be used as reference standards or impurity standards in the Manufacture of Products, unless otherwise mutually agreed in writing.</w:t>
      </w:r>
    </w:p>
    <w:p>
      <w:pPr>
        <w:spacing w:after="0" w:line="100"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0"/>
          <w:szCs w:val="20"/>
          <w:color w:val="auto"/>
        </w:rPr>
        <w:t>Jazz shall obtain all right, title and interest in and to the API upon release by Siegfried, whereupon such (released) API becomes Consigned Materials. Jazz shall cause that the Key Material will be supplied in good quality as necessary to enable Siegfried to Manufacture Product in accordance with Jazz’s Forecast and Orders (see i.a. Section 3.2.4 above), at Jazz’s costs and expenses. Any import duties, taxes or other fees due to governmental authorities regarding Consigned Materials shall be paid by Jazz.</w:t>
      </w:r>
    </w:p>
    <w:p>
      <w:pPr>
        <w:spacing w:after="0" w:line="100"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0"/>
          <w:szCs w:val="20"/>
          <w:color w:val="auto"/>
        </w:rPr>
        <w:t>Jazz shall solely and exclusively retain all right, title and interest in and to all Consigned Material released by Siegfried and Jazz shall insure such Consigned Material against loss and damage. Siegfried shall be liable for any loss of or damage to such Consigned Material, including destruction and shipping costs, if such loss or damage was caused by Siegfried’s gross negligence or willful misconduct.</w:t>
      </w:r>
    </w:p>
    <w:p>
      <w:pPr>
        <w:spacing w:after="0" w:line="101"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0"/>
          <w:szCs w:val="20"/>
          <w:color w:val="auto"/>
        </w:rPr>
        <w:t>Any inventory level of Key Material and Consigned Materials (particularly of consigned API) shall only be established upon mutual agreement and at Jazz’s reasonable cost and expenses. Siegfried shall adopt appropriate warehousing controls to rotate Consigned Materials stock as mutually agreed (based on the First-In/First-Out (FiFo) principle unless otherwise agreed in writing), unless otherwise instructed by Jazz and agreed by Siegfried.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color w:val="auto"/>
        </w:rPr>
        <w:t>14 / 37</w:t>
      </w:r>
    </w:p>
    <w:p>
      <w:pPr>
        <w:spacing w:after="0" w:line="200" w:lineRule="exact"/>
        <w:rPr>
          <w:sz w:val="20"/>
          <w:szCs w:val="20"/>
          <w:color w:val="auto"/>
        </w:rPr>
      </w:pPr>
    </w:p>
    <w:p>
      <w:pPr>
        <w:spacing w:after="0" w:line="263"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0"/>
          <w:szCs w:val="20"/>
          <w:color w:val="auto"/>
        </w:rPr>
        <w:t>Siegfried agrees that, without prior written consent by Jazz, Consigned Materials shall: (i) be used solely for the purpose of the Manufacture and supply of Product; (ii) be used in compliance with all Applicable Laws; and (iii) not be transferred to any third party, except to any Affiliate or subcontractor of Siegfried as agreed in the Quality Agreement or otherwise in writing with Jazz (and Siegfried remains fully and directly responsible for the acts and omissions of such Affiliate or subcontractor, as if performed by Siegfried), unless otherwise agreed by the Parties in writing.</w:t>
      </w:r>
    </w:p>
    <w:p>
      <w:pPr>
        <w:spacing w:after="0" w:line="100" w:lineRule="exact"/>
        <w:rPr>
          <w:sz w:val="20"/>
          <w:szCs w:val="20"/>
          <w:color w:val="auto"/>
        </w:rPr>
      </w:pPr>
    </w:p>
    <w:p>
      <w:pPr>
        <w:jc w:val="both"/>
        <w:ind w:left="500" w:hanging="499"/>
        <w:spacing w:after="0" w:line="339" w:lineRule="auto"/>
        <w:tabs>
          <w:tab w:leader="none" w:pos="4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0"/>
          <w:szCs w:val="20"/>
          <w:color w:val="auto"/>
        </w:rPr>
        <w:t>Until otherwise notified by Jazz to Siegfried with at least [ * ] prior notice or otherwise agreed by the Parties in writing, Siegfried shall act as a broker with regard to the transport of API owned by Jazz (Consigned Material) from the API Manufacturing Site to the Drug Product Manufacturing Site, at Jazz’s reasonable and prior-agreed cost and expenses, and Siegfried shall appoint a qualified and approved subcontractor, as specified in the Quality Agreement and Jazz may monitor and approve Siegfried’s shipping and freight practices as may be agreed in the Quality Agreement or otherwise in writing between the Parties. Siegfried shall only be responsible for the acts and omissions of all such logistics providers, if due Siegfried’s gross negligence or willful misconduct.</w:t>
      </w:r>
    </w:p>
    <w:p>
      <w:pPr>
        <w:spacing w:after="0" w:line="103"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0"/>
          <w:szCs w:val="20"/>
          <w:color w:val="auto"/>
        </w:rPr>
        <w:t>Jazz agrees to reimburse Siegfried all reasonable cost and expenses incurred for the amount of inventory of Materials required to be written off as a result of Jazz requiring a change of Materials, in particular, without limitation, changes to specification or vendors, provided however, that Siegfried shall use commercially reasonable efforts to limit such loss of Materials.</w:t>
      </w:r>
    </w:p>
    <w:p>
      <w:pPr>
        <w:spacing w:after="0" w:line="101"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0"/>
          <w:szCs w:val="20"/>
          <w:color w:val="auto"/>
        </w:rPr>
        <w:t>Upon reasonable request of Jazz or expiration or termination of the Agreement, Siegfried will make such Consigned Materials available for collection by or on behalf of Jazz in good and usable condition and Jazz will pick-up such Consigned Materials within [ * ], at Jazz’s cost and expenses.</w:t>
      </w:r>
    </w:p>
    <w:p>
      <w:pPr>
        <w:spacing w:after="0" w:line="252"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22"/>
          <w:szCs w:val="22"/>
          <w:b w:val="1"/>
          <w:bCs w:val="1"/>
          <w:color w:val="auto"/>
        </w:rPr>
      </w:pPr>
      <w:r>
        <w:rPr>
          <w:rFonts w:ascii="Arial" w:cs="Arial" w:eastAsia="Arial" w:hAnsi="Arial"/>
          <w:sz w:val="20"/>
          <w:szCs w:val="20"/>
          <w:b w:val="1"/>
          <w:bCs w:val="1"/>
          <w:color w:val="auto"/>
        </w:rPr>
        <w:t>Manufacture of Product</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terms of the Quality Agreement shall be deemed incorporated by reference into this Agreement.</w:t>
      </w:r>
    </w:p>
    <w:p>
      <w:pPr>
        <w:spacing w:after="0" w:line="179"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0"/>
          <w:szCs w:val="20"/>
          <w:color w:val="auto"/>
        </w:rPr>
        <w:t>Siegfried shall maintain the Manufacturing Sites and Equipment in a state of repair and operating efficiency consistent with the requirements of the Applicable Laws, cGMP, Specifications, the Quality Agreement, and Master Batch Record. Further details with regard to the Manufacturing Site shall be set forth in the Quality Agreement.</w:t>
      </w:r>
    </w:p>
    <w:p>
      <w:pPr>
        <w:spacing w:after="0" w:line="97"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0"/>
          <w:szCs w:val="20"/>
          <w:color w:val="auto"/>
        </w:rPr>
        <w:t>Siegfried shall obtain sufficient quantities of all Raw Materials to Manufacture and supply Product in accordance with Jazz’s Forecast and shall ensure that such Raw Materials comply with the Specifications. Jazz shall reimburse Siegfried all costs and expenses reasonably incurred as a result of a change in the Specifications of such Raw Materials.</w:t>
      </w:r>
    </w:p>
    <w:p>
      <w:pPr>
        <w:spacing w:after="0" w:line="24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color w:val="auto"/>
        </w:rPr>
        <w:t>15 / 37</w:t>
      </w:r>
    </w:p>
    <w:p>
      <w:pPr>
        <w:spacing w:after="0" w:line="200" w:lineRule="exact"/>
        <w:rPr>
          <w:sz w:val="20"/>
          <w:szCs w:val="20"/>
          <w:color w:val="auto"/>
        </w:rPr>
      </w:pPr>
    </w:p>
    <w:p>
      <w:pPr>
        <w:spacing w:after="0" w:line="263" w:lineRule="exact"/>
        <w:rPr>
          <w:sz w:val="20"/>
          <w:szCs w:val="20"/>
          <w:color w:val="auto"/>
        </w:rPr>
      </w:pPr>
    </w:p>
    <w:p>
      <w:pPr>
        <w:jc w:val="both"/>
        <w:ind w:left="500" w:hanging="499"/>
        <w:spacing w:after="0" w:line="339" w:lineRule="auto"/>
        <w:tabs>
          <w:tab w:leader="none" w:pos="4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0"/>
          <w:szCs w:val="20"/>
          <w:color w:val="auto"/>
        </w:rPr>
        <w:t xml:space="preserve">If Jazz, in its sole discretion, designates certain Raw Material or any other vendors, other than Siegfried or its Affiliates (each a </w:t>
      </w:r>
      <w:r>
        <w:rPr>
          <w:rFonts w:ascii="Arial" w:cs="Arial" w:eastAsia="Arial" w:hAnsi="Arial"/>
          <w:sz w:val="20"/>
          <w:szCs w:val="20"/>
          <w:b w:val="1"/>
          <w:bCs w:val="1"/>
          <w:color w:val="auto"/>
        </w:rPr>
        <w:t>Designated Vendor</w:t>
      </w:r>
      <w:r>
        <w:rPr>
          <w:rFonts w:ascii="Arial" w:cs="Arial" w:eastAsia="Arial" w:hAnsi="Arial"/>
          <w:sz w:val="20"/>
          <w:szCs w:val="20"/>
          <w:color w:val="auto"/>
        </w:rPr>
        <w:t>), then Siegfried shall obtain respective Raw Material(s) only from such Designated Vendors. Jazz shall reimburse Siegfried all costs and expenses reasonably incurred as a result from appointing or changing a Designated Vendor. Siegfried shall not be liable or responsible for any acts or omissions of such Designated Vendor, including without limitation, a delayed delivery, delivery of non-conforming Raw Material or other supply failure (unless and to the extent any such acts or omissions of such Designated Vendor arise as a result of Siegfried’s negligence or wilful misconduct or any breach by Siegfried of its obligations hereunder).</w:t>
      </w:r>
    </w:p>
    <w:p>
      <w:pPr>
        <w:spacing w:after="0" w:line="103" w:lineRule="exact"/>
        <w:rPr>
          <w:sz w:val="20"/>
          <w:szCs w:val="20"/>
          <w:color w:val="auto"/>
        </w:rPr>
      </w:pPr>
    </w:p>
    <w:p>
      <w:pPr>
        <w:jc w:val="both"/>
        <w:ind w:left="500" w:hanging="499"/>
        <w:spacing w:after="0" w:line="338" w:lineRule="auto"/>
        <w:tabs>
          <w:tab w:leader="none" w:pos="4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0"/>
          <w:szCs w:val="20"/>
          <w:color w:val="auto"/>
        </w:rPr>
        <w:t>In the event that either Party becomes aware and notifies the other Party that any Change is mandated by Applicable Laws (including, without limitation cGMP Regulations) or by a competent Regulatory Authority (</w:t>
      </w:r>
      <w:r>
        <w:rPr>
          <w:rFonts w:ascii="Arial" w:cs="Arial" w:eastAsia="Arial" w:hAnsi="Arial"/>
          <w:sz w:val="20"/>
          <w:szCs w:val="20"/>
          <w:b w:val="1"/>
          <w:bCs w:val="1"/>
          <w:color w:val="auto"/>
        </w:rPr>
        <w:t>Required Change</w:t>
      </w:r>
      <w:r>
        <w:rPr>
          <w:rFonts w:ascii="Arial" w:cs="Arial" w:eastAsia="Arial" w:hAnsi="Arial"/>
          <w:sz w:val="20"/>
          <w:szCs w:val="20"/>
          <w:color w:val="auto"/>
        </w:rPr>
        <w:t>), then Siegfried shall promptly (i) advise Jazz as to any quality assurance effect scheduling and, if applicable, Product price adjustments, which may reasonably and necessarily result therefrom, and (ii) make any necessary Required Change. Prior to implementation of such Required Change, the Parties shall negotiate in good faith on: (a) the allocation of the implementation costs with regard to the Product and any other products, (b) if applicable, the new Product price after the Required Change has been implemented; and (c) any other amendments to this Agreement which may be necessitated by such Required Change; provided always that all costs associated with Required Changes directly related to the Manufacturing Site that are not required solely to permit Siegfried to Manufacture the Product, or a group of products including the Product, shall be borne by Siegfried. Siegfried and Jazz shall cooperate in making any Required Changes and use commercially reasonable efforts to implement any Required Changes promptly in a manner that minimizes any effect on the supply hereunder to Jazz of the Product meeting Specifications.</w:t>
      </w:r>
    </w:p>
    <w:p>
      <w:pPr>
        <w:spacing w:after="0" w:line="103" w:lineRule="exact"/>
        <w:rPr>
          <w:sz w:val="20"/>
          <w:szCs w:val="20"/>
          <w:color w:val="auto"/>
        </w:rPr>
      </w:pPr>
    </w:p>
    <w:p>
      <w:pPr>
        <w:jc w:val="both"/>
        <w:ind w:left="500" w:hanging="499"/>
        <w:spacing w:after="0" w:line="341" w:lineRule="auto"/>
        <w:tabs>
          <w:tab w:leader="none" w:pos="4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0"/>
          <w:szCs w:val="20"/>
          <w:color w:val="auto"/>
        </w:rPr>
        <w:t>In the event Jazz wishes to effect a Change which is not a Required Change (</w:t>
      </w:r>
      <w:r>
        <w:rPr>
          <w:rFonts w:ascii="Arial" w:cs="Arial" w:eastAsia="Arial" w:hAnsi="Arial"/>
          <w:sz w:val="20"/>
          <w:szCs w:val="20"/>
          <w:b w:val="1"/>
          <w:bCs w:val="1"/>
          <w:color w:val="auto"/>
        </w:rPr>
        <w:t>Customer Change</w:t>
      </w:r>
      <w:r>
        <w:rPr>
          <w:rFonts w:ascii="Arial" w:cs="Arial" w:eastAsia="Arial" w:hAnsi="Arial"/>
          <w:sz w:val="20"/>
          <w:szCs w:val="20"/>
          <w:color w:val="auto"/>
        </w:rPr>
        <w:t>), Jazz shall advise Siegfried in writing of such Customer Change as set forth in the Quality Agreement. If Siegfried (acting reasonably and promptly) deems, in its reasonable discretion, such Customer Change as implementable, then Siegfried shall provide (a) if applicable, an estimate of all reasonable, necessary and vouched implementation costs to be borne by Jazz, (b) if applicable, the new proposed Product price after the Customer Change has been implemented (if necessitated by such Customer Change), (c) the timing for implementation and (d) if applicable, an estimated amount of any Raw Materials rendered obsolete as a result of the Customer Change and respective costs to be borne by Jazz. Subject to Jazz’s approval, Siegfried shall implement such Customer Change. Jazz shall bear the approved implementation costs (which include the costs for the Raw Materials rendered obsolete) and the new Product Price, if applicable, shall apply after the implementation.</w:t>
      </w:r>
    </w:p>
    <w:p>
      <w:pPr>
        <w:spacing w:after="0" w:line="82" w:lineRule="exact"/>
        <w:rPr>
          <w:sz w:val="20"/>
          <w:szCs w:val="20"/>
          <w:color w:val="auto"/>
        </w:rPr>
      </w:pPr>
    </w:p>
    <w:p>
      <w:pPr>
        <w:jc w:val="both"/>
        <w:ind w:left="500" w:hanging="499"/>
        <w:spacing w:after="0" w:line="370" w:lineRule="auto"/>
        <w:tabs>
          <w:tab w:leader="none" w:pos="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0"/>
          <w:szCs w:val="20"/>
          <w:color w:val="auto"/>
        </w:rPr>
        <w:t>In the event Siegfried wishes to effect a Change which is not a Required Change (</w:t>
      </w:r>
      <w:r>
        <w:rPr>
          <w:rFonts w:ascii="Arial" w:cs="Arial" w:eastAsia="Arial" w:hAnsi="Arial"/>
          <w:sz w:val="20"/>
          <w:szCs w:val="20"/>
          <w:b w:val="1"/>
          <w:bCs w:val="1"/>
          <w:color w:val="auto"/>
        </w:rPr>
        <w:t>Siegfried Change</w:t>
      </w:r>
      <w:r>
        <w:rPr>
          <w:rFonts w:ascii="Arial" w:cs="Arial" w:eastAsia="Arial" w:hAnsi="Arial"/>
          <w:sz w:val="20"/>
          <w:szCs w:val="20"/>
          <w:color w:val="auto"/>
        </w:rPr>
        <w:t>), Siegfried shall advise Jazz in writing of such Siegfried Change as</w:t>
      </w:r>
    </w:p>
    <w:p>
      <w:pPr>
        <w:spacing w:after="0" w:line="205"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color w:val="auto"/>
        </w:rPr>
        <w:t>16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1" w:lineRule="auto"/>
        <w:rPr>
          <w:sz w:val="20"/>
          <w:szCs w:val="20"/>
          <w:color w:val="auto"/>
        </w:rPr>
      </w:pPr>
      <w:r>
        <w:rPr>
          <w:rFonts w:ascii="Arial" w:cs="Arial" w:eastAsia="Arial" w:hAnsi="Arial"/>
          <w:sz w:val="20"/>
          <w:szCs w:val="20"/>
          <w:color w:val="auto"/>
        </w:rPr>
        <w:t>set forth in the Quality Agreement. Siegfried Changes will only be implemented following the approval of Jazz (acting reasonably and promptly), such approval not to be unreasonably conditioned, withheld or delayed. Unless otherwise agreed by the Parties, Siegfried’s implementation costs of the Siegfried Changes will be borne by Siegfried. Both Parties shall negotiate in good faith (a) the timing for implementation and (b) an estimated amount of any Raw Material rendered obsolete as a result of the Siegfried Change. In allocating the costs, the Parties should consider whether such Siegfried Change is beneficial to either or both Parties.</w:t>
      </w:r>
    </w:p>
    <w:p>
      <w:pPr>
        <w:spacing w:after="0" w:line="254"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22"/>
          <w:szCs w:val="22"/>
          <w:b w:val="1"/>
          <w:bCs w:val="1"/>
          <w:color w:val="auto"/>
        </w:rPr>
      </w:pPr>
      <w:r>
        <w:rPr>
          <w:rFonts w:ascii="Arial" w:cs="Arial" w:eastAsia="Arial" w:hAnsi="Arial"/>
          <w:sz w:val="20"/>
          <w:szCs w:val="20"/>
          <w:b w:val="1"/>
          <w:bCs w:val="1"/>
          <w:color w:val="auto"/>
        </w:rPr>
        <w:t>Audits, Notification and Recall</w:t>
      </w:r>
    </w:p>
    <w:p>
      <w:pPr>
        <w:spacing w:after="0" w:line="187"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0"/>
          <w:szCs w:val="20"/>
          <w:color w:val="auto"/>
        </w:rPr>
        <w:t>Jazz has the right to carry out audits as set forth in the Quality Agreement. While on the Manufacturing Site, Jazz shall comply with all of Siegfried’s applicable policies regarding, safety, health, data protection, confidentiality and the like which Siegfried, in its sole discretion, deems relevant.</w:t>
      </w:r>
    </w:p>
    <w:p>
      <w:pPr>
        <w:spacing w:after="0" w:line="97"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0"/>
          <w:szCs w:val="20"/>
          <w:color w:val="auto"/>
        </w:rPr>
        <w:t>Siegfried shall provide Jazz and its designees with reasonable access to its Manufacturing Site and the areas in which Materials or Product is Manufactured, stored, handled or shipped, and Jazz and its designees shall be permitted to review Siegfried’s standard operating procedures related to Manufacture, storage, handling, general facilities, equipment and procedures required for compliance with cGMP.</w:t>
      </w:r>
    </w:p>
    <w:p>
      <w:pPr>
        <w:spacing w:after="0" w:line="101" w:lineRule="exact"/>
        <w:rPr>
          <w:sz w:val="20"/>
          <w:szCs w:val="20"/>
          <w:color w:val="auto"/>
        </w:rPr>
      </w:pPr>
    </w:p>
    <w:p>
      <w:pPr>
        <w:jc w:val="both"/>
        <w:ind w:left="500" w:right="20" w:hanging="499"/>
        <w:spacing w:after="0" w:line="345" w:lineRule="auto"/>
        <w:tabs>
          <w:tab w:leader="none" w:pos="4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0"/>
          <w:szCs w:val="20"/>
          <w:color w:val="auto"/>
        </w:rPr>
        <w:t>Siegfried will use commercially reasonable efforts to obtain the right for Jazz to have similar audit rights for Siegfried’s subcontractors, as set forth in the Quality Agreement.</w:t>
      </w:r>
    </w:p>
    <w:p>
      <w:pPr>
        <w:spacing w:after="0" w:line="95"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0"/>
          <w:szCs w:val="20"/>
          <w:color w:val="auto"/>
        </w:rPr>
        <w:t>Siegfried shall permit any Regulatory Authority to inspect relevant facilities, Equipment and records (including those of its Affiliates) at their request and shall resolve, and procure the resolution by its Affiliates, of all issues raised by a Regulatory Authority, if and to the extent such issues are relevant for the Manufacture of the Product or other cGMP-related obligations under this Agreement.</w:t>
      </w:r>
    </w:p>
    <w:p>
      <w:pPr>
        <w:spacing w:after="0" w:line="101"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0"/>
          <w:szCs w:val="20"/>
          <w:color w:val="auto"/>
        </w:rPr>
        <w:t>Each Party shall notify the other Party promptly of any serious or unexpected adverse reaction from the use of the Drug Product, which is reported to it or of which it becomes aware otherwise.</w:t>
      </w:r>
    </w:p>
    <w:p>
      <w:pPr>
        <w:spacing w:after="0" w:line="95"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0"/>
          <w:szCs w:val="20"/>
          <w:color w:val="auto"/>
        </w:rPr>
        <w:t xml:space="preserve">In the event either Party believes it may be necessary to conduct a recall or other similar action with respect to the Drug Product (each a </w:t>
      </w:r>
      <w:r>
        <w:rPr>
          <w:rFonts w:ascii="Arial" w:cs="Arial" w:eastAsia="Arial" w:hAnsi="Arial"/>
          <w:sz w:val="20"/>
          <w:szCs w:val="20"/>
          <w:b w:val="1"/>
          <w:bCs w:val="1"/>
          <w:color w:val="auto"/>
        </w:rPr>
        <w:t>Recall</w:t>
      </w:r>
      <w:r>
        <w:rPr>
          <w:rFonts w:ascii="Arial" w:cs="Arial" w:eastAsia="Arial" w:hAnsi="Arial"/>
          <w:sz w:val="20"/>
          <w:szCs w:val="20"/>
          <w:color w:val="auto"/>
        </w:rPr>
        <w:t>), the Parties shall consult with each other as to how best to proceed. If Siegfried reasonably requests a Recall and Jazz declines to act accordingly, Siegfried shall not be liable for any consequences or damages thereafter. Under no circumstances shall Siegfried be prohibited hereunder from taking any action that it is required to take by applicable law.</w:t>
      </w:r>
    </w:p>
    <w:p>
      <w:pPr>
        <w:spacing w:after="0" w:line="100"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0"/>
          <w:szCs w:val="20"/>
          <w:color w:val="auto"/>
        </w:rPr>
        <w:t>This Section applies to Affiliates of Siegfried and Siegfried shall procure the adherence of its Affiliates hereto and Jazz’s right of audit thereof.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2" w:name="page163"/>
    <w:bookmarkEnd w:id="162"/>
    <w:p>
      <w:pPr>
        <w:ind w:left="10980"/>
        <w:spacing w:after="0"/>
        <w:rPr>
          <w:sz w:val="20"/>
          <w:szCs w:val="20"/>
          <w:color w:val="auto"/>
        </w:rPr>
      </w:pPr>
      <w:r>
        <w:rPr>
          <w:rFonts w:ascii="Arial" w:cs="Arial" w:eastAsia="Arial" w:hAnsi="Arial"/>
          <w:sz w:val="14"/>
          <w:szCs w:val="14"/>
          <w:color w:val="auto"/>
        </w:rPr>
        <w:t>17 / 37</w:t>
      </w:r>
    </w:p>
    <w:p>
      <w:pPr>
        <w:spacing w:after="0" w:line="200" w:lineRule="exact"/>
        <w:rPr>
          <w:sz w:val="20"/>
          <w:szCs w:val="20"/>
          <w:color w:val="auto"/>
        </w:rPr>
      </w:pPr>
    </w:p>
    <w:p>
      <w:pPr>
        <w:spacing w:after="0" w:line="255"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22"/>
          <w:szCs w:val="22"/>
          <w:b w:val="1"/>
          <w:bCs w:val="1"/>
          <w:color w:val="auto"/>
        </w:rPr>
      </w:pPr>
      <w:r>
        <w:rPr>
          <w:rFonts w:ascii="Arial" w:cs="Arial" w:eastAsia="Arial" w:hAnsi="Arial"/>
          <w:sz w:val="20"/>
          <w:szCs w:val="20"/>
          <w:b w:val="1"/>
          <w:bCs w:val="1"/>
          <w:color w:val="auto"/>
        </w:rPr>
        <w:t>Compensation and Terms of Payment</w:t>
      </w:r>
    </w:p>
    <w:p>
      <w:pPr>
        <w:spacing w:after="0" w:line="187"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0"/>
          <w:szCs w:val="20"/>
          <w:color w:val="auto"/>
        </w:rPr>
        <w:t xml:space="preserve">In consideration for the services under the terms of this Agreement, Jazz shall pay Siegfried the prices as specified in, and in accordance with the payment terms set forth in, </w:t>
      </w:r>
      <w:r>
        <w:rPr>
          <w:rFonts w:ascii="Arial" w:cs="Arial" w:eastAsia="Arial" w:hAnsi="Arial"/>
          <w:sz w:val="20"/>
          <w:szCs w:val="20"/>
          <w:u w:val="single" w:color="auto"/>
          <w:color w:val="auto"/>
        </w:rPr>
        <w:t>Annex 1.4</w:t>
      </w:r>
      <w:r>
        <w:rPr>
          <w:rFonts w:ascii="Arial" w:cs="Arial" w:eastAsia="Arial" w:hAnsi="Arial"/>
          <w:sz w:val="20"/>
          <w:szCs w:val="20"/>
          <w:color w:val="auto"/>
        </w:rPr>
        <w:t>.</w:t>
      </w:r>
    </w:p>
    <w:p>
      <w:pPr>
        <w:spacing w:after="0" w:line="95"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0"/>
          <w:szCs w:val="20"/>
          <w:color w:val="auto"/>
        </w:rPr>
        <w:t xml:space="preserve">All pricing, payments, credits, allowances or other monetary adjustments under this Agreement shall be in [ * ], as agreed between the Parties and set forth in the </w:t>
      </w:r>
      <w:r>
        <w:rPr>
          <w:rFonts w:ascii="Arial" w:cs="Arial" w:eastAsia="Arial" w:hAnsi="Arial"/>
          <w:sz w:val="20"/>
          <w:szCs w:val="20"/>
          <w:u w:val="single" w:color="auto"/>
          <w:color w:val="auto"/>
        </w:rPr>
        <w:t>Annex 1.4</w:t>
      </w:r>
      <w:r>
        <w:rPr>
          <w:rFonts w:ascii="Arial" w:cs="Arial" w:eastAsia="Arial" w:hAnsi="Arial"/>
          <w:sz w:val="20"/>
          <w:szCs w:val="20"/>
          <w:color w:val="auto"/>
        </w:rPr>
        <w:t>.</w:t>
      </w:r>
    </w:p>
    <w:p>
      <w:pPr>
        <w:spacing w:after="0" w:line="95"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0"/>
          <w:szCs w:val="20"/>
          <w:color w:val="auto"/>
        </w:rPr>
        <w:t xml:space="preserve">The Parties may adjust prices upon mutual agreement based on (i) Raw Material price changes, (ii) indices, (iii) exchange rate variations as set forth in the </w:t>
      </w:r>
      <w:r>
        <w:rPr>
          <w:rFonts w:ascii="Arial" w:cs="Arial" w:eastAsia="Arial" w:hAnsi="Arial"/>
          <w:sz w:val="20"/>
          <w:szCs w:val="20"/>
          <w:u w:val="single" w:color="auto"/>
          <w:color w:val="auto"/>
        </w:rPr>
        <w:t>Annex 1.4</w:t>
      </w:r>
      <w:r>
        <w:rPr>
          <w:rFonts w:ascii="Arial" w:cs="Arial" w:eastAsia="Arial" w:hAnsi="Arial"/>
          <w:sz w:val="20"/>
          <w:szCs w:val="20"/>
          <w:color w:val="auto"/>
        </w:rPr>
        <w:t xml:space="preserve"> or as otherwise agreed in writing.</w:t>
      </w:r>
    </w:p>
    <w:p>
      <w:pPr>
        <w:spacing w:after="0" w:line="9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Invoices shall be issued by Siegfried and sent to Jazz upon release of the Product.</w:t>
      </w:r>
    </w:p>
    <w:p>
      <w:pPr>
        <w:spacing w:after="0" w:line="179" w:lineRule="exact"/>
        <w:rPr>
          <w:sz w:val="20"/>
          <w:szCs w:val="20"/>
          <w:color w:val="auto"/>
        </w:rPr>
      </w:pPr>
    </w:p>
    <w:p>
      <w:pPr>
        <w:jc w:val="both"/>
        <w:ind w:left="500" w:hanging="499"/>
        <w:spacing w:after="0" w:line="358" w:lineRule="auto"/>
        <w:tabs>
          <w:tab w:leader="none" w:pos="4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Jazz shall pay such invoices to Siegfried within [ * ] after the date of receipt of such invoice. Each invoice shall, to the extent applicable, identify the Jazz Order number, Product quantities, unit price, freight charges and the total amount to be remitted by Jazz. Notwithstanding the foregoing, Jazz may withhold any amounts invoiced by Siegfried that it disputes in good faith and in writing prior to such [ * ] after the date of receipt of the respective invoice. If Jazz disputes any invoice, Jazz shall within [ * ] after such invoice is furnished to it notify Siegfried in writing that it disputes the accuracy or appropriateness of such invoice and specify the particular respects in which such invoice is inaccurate or inappropriate. The Parties will make good faith efforts to resolve any disputes within [ * ] thereafter. Any amounts that are disputed by Jazz and which the Parties determine are due following resolution of such dispute shall not be due until [ * ] following such resolution.</w:t>
      </w:r>
    </w:p>
    <w:p>
      <w:pPr>
        <w:spacing w:after="0" w:line="94" w:lineRule="exact"/>
        <w:rPr>
          <w:sz w:val="20"/>
          <w:szCs w:val="20"/>
          <w:color w:val="auto"/>
        </w:rPr>
      </w:pPr>
    </w:p>
    <w:p>
      <w:pPr>
        <w:jc w:val="both"/>
        <w:ind w:left="500" w:hanging="499"/>
        <w:spacing w:after="0" w:line="345" w:lineRule="auto"/>
        <w:tabs>
          <w:tab w:leader="none" w:pos="4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0"/>
          <w:szCs w:val="20"/>
          <w:color w:val="auto"/>
        </w:rPr>
        <w:t>In the event any undisputed sum is not paid when due, then Jazz shall pay interest at a rate of [ * ] on the amount of such undisputed late sum (from the original due date until the date such undisputed late sum is paid).</w:t>
      </w:r>
    </w:p>
    <w:p>
      <w:pPr>
        <w:spacing w:after="0" w:line="250"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22"/>
          <w:szCs w:val="22"/>
          <w:b w:val="1"/>
          <w:bCs w:val="1"/>
          <w:color w:val="auto"/>
        </w:rPr>
      </w:pPr>
      <w:r>
        <w:rPr>
          <w:rFonts w:ascii="Arial" w:cs="Arial" w:eastAsia="Arial" w:hAnsi="Arial"/>
          <w:sz w:val="20"/>
          <w:szCs w:val="20"/>
          <w:b w:val="1"/>
          <w:bCs w:val="1"/>
          <w:color w:val="auto"/>
        </w:rPr>
        <w:t>Regulatory Affairs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Jazz shall be responsible for all regulatory filings in connection with the Product.</w:t>
      </w:r>
    </w:p>
    <w:p>
      <w:pPr>
        <w:spacing w:after="0" w:line="179"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0"/>
          <w:szCs w:val="20"/>
          <w:color w:val="auto"/>
        </w:rPr>
        <w:t>All information, documents and updates with regard to the Manufacture of Product which are in the possession of Siegfried and required by any Regulatory Authority shall, as reasonably requested by Jazz in connection with a submission for such regulatory filings, be as is provided by Siegfried to Jazz, free of charge.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color w:val="auto"/>
        </w:rPr>
        <w:t>18 / 37</w:t>
      </w:r>
    </w:p>
    <w:p>
      <w:pPr>
        <w:spacing w:after="0" w:line="200" w:lineRule="exact"/>
        <w:rPr>
          <w:sz w:val="20"/>
          <w:szCs w:val="20"/>
          <w:color w:val="auto"/>
        </w:rPr>
      </w:pPr>
    </w:p>
    <w:p>
      <w:pPr>
        <w:spacing w:after="0" w:line="263" w:lineRule="exact"/>
        <w:rPr>
          <w:sz w:val="20"/>
          <w:szCs w:val="20"/>
          <w:color w:val="auto"/>
        </w:rPr>
      </w:pPr>
    </w:p>
    <w:p>
      <w:pPr>
        <w:jc w:val="both"/>
        <w:ind w:left="500" w:hanging="499"/>
        <w:spacing w:after="0" w:line="342" w:lineRule="auto"/>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0"/>
          <w:szCs w:val="20"/>
          <w:color w:val="auto"/>
        </w:rPr>
        <w:t>Siegfried shall further provide Jazz, at Jazz’s costs and expenses, with reasonable assistance in preparing or reviewing the regulatory filing or formulating responses to any questions and/or inquiries (i.e., deficiency letters) with respect to the above submissions.</w:t>
      </w:r>
    </w:p>
    <w:p>
      <w:pPr>
        <w:spacing w:after="0" w:line="97" w:lineRule="exact"/>
        <w:rPr>
          <w:sz w:val="20"/>
          <w:szCs w:val="20"/>
          <w:color w:val="auto"/>
        </w:rPr>
      </w:pPr>
    </w:p>
    <w:p>
      <w:pPr>
        <w:jc w:val="both"/>
        <w:ind w:left="500" w:right="20" w:hanging="499"/>
        <w:spacing w:after="0" w:line="366" w:lineRule="auto"/>
        <w:tabs>
          <w:tab w:leader="none" w:pos="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Jazz shall provide, and Siegfried shall review, the CMC and other portions of Jazz’s proposed regulatory filings relating to Siegfried’s Manufacturing procedures or otherwise related to Siegfried’s key obligations hereunder before the regulatory filings are submitted with relevant Regulatory Authorities and Jazz shall consider Siegfried’s comments thereto in good faith.</w:t>
      </w:r>
    </w:p>
    <w:p>
      <w:pPr>
        <w:spacing w:after="0" w:line="81"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0"/>
          <w:szCs w:val="20"/>
          <w:color w:val="auto"/>
        </w:rPr>
        <w:t>The Parties acknowledge that the ultimate decision of whether any Drug Product will be approved for marketing and sale rests with the Regulatory Authorities of the respective market in the Territory and that Siegfried shall not be liable for the failure of the Regulatory Authorities to issue such Marketing Authorization approval other than due to Siegfried’s gross negligence or willful misconduct or material breach of any of its obligations, warranties or undertakings hereunder.</w:t>
      </w:r>
    </w:p>
    <w:p>
      <w:pPr>
        <w:spacing w:after="0" w:line="101" w:lineRule="exact"/>
        <w:rPr>
          <w:sz w:val="20"/>
          <w:szCs w:val="20"/>
          <w:color w:val="auto"/>
        </w:rPr>
      </w:pPr>
    </w:p>
    <w:p>
      <w:pPr>
        <w:jc w:val="both"/>
        <w:ind w:left="500" w:hanging="499"/>
        <w:spacing w:after="0" w:line="340" w:lineRule="auto"/>
        <w:tabs>
          <w:tab w:leader="none" w:pos="4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0"/>
          <w:szCs w:val="20"/>
          <w:color w:val="auto"/>
        </w:rPr>
        <w:t>The Parties acknowledge that the Manufacturing Site and/or the Drug Product Manufacturing Site has the required certifications from the Regulatory Authorities (the FDA, the EMA), which currently allows the Product distribution also in Canada and Australia by GMP certificates mutual recognition. In case a Product launch in other specific countries of Territory would require additional certifications, Parties will discuss in good faith and agree in prior on the plausibility, and costs and timelines associated.</w:t>
      </w:r>
    </w:p>
    <w:p>
      <w:pPr>
        <w:spacing w:after="0" w:line="254"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22"/>
          <w:szCs w:val="22"/>
          <w:b w:val="1"/>
          <w:bCs w:val="1"/>
          <w:color w:val="auto"/>
        </w:rPr>
      </w:pPr>
      <w:r>
        <w:rPr>
          <w:rFonts w:ascii="Arial" w:cs="Arial" w:eastAsia="Arial" w:hAnsi="Arial"/>
          <w:sz w:val="20"/>
          <w:szCs w:val="20"/>
          <w:b w:val="1"/>
          <w:bCs w:val="1"/>
          <w:color w:val="auto"/>
        </w:rPr>
        <w:t>Confidential Information</w:t>
      </w:r>
    </w:p>
    <w:p>
      <w:pPr>
        <w:spacing w:after="0" w:line="179" w:lineRule="exact"/>
        <w:rPr>
          <w:sz w:val="20"/>
          <w:szCs w:val="20"/>
          <w:color w:val="auto"/>
        </w:rPr>
      </w:pPr>
    </w:p>
    <w:p>
      <w:pPr>
        <w:jc w:val="both"/>
        <w:ind w:left="500" w:hanging="499"/>
        <w:spacing w:after="0" w:line="355"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19"/>
          <w:szCs w:val="19"/>
          <w:b w:val="1"/>
          <w:bCs w:val="1"/>
          <w:color w:val="auto"/>
        </w:rPr>
        <w:t>Confidential Information</w:t>
      </w:r>
      <w:r>
        <w:rPr>
          <w:rFonts w:ascii="Arial" w:cs="Arial" w:eastAsia="Arial" w:hAnsi="Arial"/>
          <w:sz w:val="22"/>
          <w:szCs w:val="22"/>
          <w:color w:val="auto"/>
        </w:rPr>
        <w:t xml:space="preserve"> </w:t>
      </w:r>
      <w:r>
        <w:rPr>
          <w:rFonts w:ascii="Arial" w:cs="Arial" w:eastAsia="Arial" w:hAnsi="Arial"/>
          <w:sz w:val="19"/>
          <w:szCs w:val="19"/>
          <w:color w:val="auto"/>
        </w:rPr>
        <w:t>shall mean any information of whatever kind (including without limitation, data, compilations,</w:t>
      </w:r>
      <w:r>
        <w:rPr>
          <w:rFonts w:ascii="Arial" w:cs="Arial" w:eastAsia="Arial" w:hAnsi="Arial"/>
          <w:sz w:val="22"/>
          <w:szCs w:val="22"/>
          <w:color w:val="auto"/>
        </w:rPr>
        <w:t xml:space="preserve"> </w:t>
      </w:r>
      <w:r>
        <w:rPr>
          <w:rFonts w:ascii="Arial" w:cs="Arial" w:eastAsia="Arial" w:hAnsi="Arial"/>
          <w:sz w:val="19"/>
          <w:szCs w:val="19"/>
          <w:color w:val="auto"/>
        </w:rPr>
        <w:t>formulae, models, patent disclosures, procedures, processes, projections, protocols, results of experimentation and testing, specifications, strategies and techniques), and all tangible and intangible embodiments and oral disclosures thereof of any kind whatsoever, (including without limitation, samples, apparatus, compositions, documents, drawings, machinery, patent applications, records and reports), which has been or will be disclosed by or on behalf of one Party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in connection with this Agreement, and which is confidential or proprietary to the Disclosing Party or an Affiliate thereof, including, without limitation, any and all information pertaining to the Products and information which relates to the business of either Party, including business plans, strategies, operations, policies, procedures, pricing, techniques, accounts, marketing plans, financial plans and status, and personnel of either Party; provided that such information was designated in writing as </w:t>
      </w:r>
      <w:r>
        <w:rPr>
          <w:rFonts w:ascii="Arial" w:cs="Arial" w:eastAsia="Arial" w:hAnsi="Arial"/>
          <w:sz w:val="19"/>
          <w:szCs w:val="19"/>
          <w:i w:val="1"/>
          <w:iCs w:val="1"/>
          <w:color w:val="auto"/>
        </w:rPr>
        <w:t>"Confidential"</w:t>
      </w:r>
      <w:r>
        <w:rPr>
          <w:rFonts w:ascii="Arial" w:cs="Arial" w:eastAsia="Arial" w:hAnsi="Arial"/>
          <w:sz w:val="19"/>
          <w:szCs w:val="19"/>
          <w:color w:val="auto"/>
        </w:rPr>
        <w:t xml:space="preserve"> or </w:t>
      </w:r>
      <w:r>
        <w:rPr>
          <w:rFonts w:ascii="Arial" w:cs="Arial" w:eastAsia="Arial" w:hAnsi="Arial"/>
          <w:sz w:val="19"/>
          <w:szCs w:val="19"/>
          <w:i w:val="1"/>
          <w:iCs w:val="1"/>
          <w:color w:val="auto"/>
        </w:rPr>
        <w:t>"Proprietary"</w:t>
      </w:r>
      <w:r>
        <w:rPr>
          <w:rFonts w:ascii="Arial" w:cs="Arial" w:eastAsia="Arial" w:hAnsi="Arial"/>
          <w:sz w:val="19"/>
          <w:szCs w:val="19"/>
          <w:color w:val="auto"/>
        </w:rPr>
        <w:t xml:space="preserve"> information at the time of the initial disclosure or by confirmation in writing to the Receiving Party within [ * ] of the initial disclosure and further provided always that, notwithstanding the foregoing, information shall be subject to the obligations set forth herein and constitute Confidential Information, even if not identified or marked as confidential or proprietary, if the Receiving Party knows, or in the exercise of reasonable business</w:t>
      </w:r>
    </w:p>
    <w:p>
      <w:pPr>
        <w:spacing w:after="0" w:line="200" w:lineRule="exact"/>
        <w:rPr>
          <w:sz w:val="20"/>
          <w:szCs w:val="20"/>
          <w:color w:val="auto"/>
        </w:rPr>
      </w:pPr>
    </w:p>
    <w:p>
      <w:pPr>
        <w:spacing w:after="0" w:line="352"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4"/>
          <w:szCs w:val="14"/>
          <w:color w:val="auto"/>
        </w:rPr>
        <w:t>19 / 37</w:t>
      </w: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judgment should know, such information to be confidential or proprietary to the Disclosing Party.</w:t>
      </w:r>
    </w:p>
    <w:p>
      <w:pPr>
        <w:spacing w:after="0" w:line="172" w:lineRule="exact"/>
        <w:rPr>
          <w:sz w:val="20"/>
          <w:szCs w:val="20"/>
          <w:color w:val="auto"/>
        </w:rPr>
      </w:pPr>
    </w:p>
    <w:p>
      <w:pPr>
        <w:jc w:val="both"/>
        <w:ind w:left="500" w:hanging="499"/>
        <w:spacing w:after="0" w:line="350"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19"/>
          <w:szCs w:val="19"/>
          <w:color w:val="auto"/>
        </w:rPr>
        <w:t>Each Receiving Party agrees to retain in strict confidence any Confidential Information of the Disclosing Party (or its Affiliates</w:t>
      </w:r>
      <w:r>
        <w:rPr>
          <w:rFonts w:ascii="Arial" w:cs="Arial" w:eastAsia="Arial" w:hAnsi="Arial"/>
          <w:sz w:val="22"/>
          <w:szCs w:val="22"/>
          <w:color w:val="auto"/>
        </w:rPr>
        <w:t xml:space="preserve"> </w:t>
      </w:r>
      <w:r>
        <w:rPr>
          <w:rFonts w:ascii="Arial" w:cs="Arial" w:eastAsia="Arial" w:hAnsi="Arial"/>
          <w:sz w:val="19"/>
          <w:szCs w:val="19"/>
          <w:color w:val="auto"/>
        </w:rPr>
        <w:t>or contractors), whether disclosed prior to, or after the Effective Date and not to use any such Confidential Information for any purpose except pursuant to, and in order to carry out, the terms and objectives of this Agreement, and not to disclose, divulge or otherwise communicate any such Confidential Information to any third party.</w:t>
      </w:r>
    </w:p>
    <w:p>
      <w:pPr>
        <w:spacing w:after="0" w:line="80" w:lineRule="exact"/>
        <w:rPr>
          <w:sz w:val="20"/>
          <w:szCs w:val="20"/>
          <w:color w:val="auto"/>
        </w:rPr>
      </w:pPr>
    </w:p>
    <w:p>
      <w:pPr>
        <w:jc w:val="both"/>
        <w:ind w:left="500" w:hanging="499"/>
        <w:spacing w:after="0" w:line="35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19"/>
          <w:szCs w:val="19"/>
          <w:color w:val="auto"/>
        </w:rPr>
        <w:t>The Receiving Party may disclose Confidential Information of the Disclosing Party to its Affiliates or its (or its Affiliate's)</w:t>
      </w:r>
      <w:r>
        <w:rPr>
          <w:rFonts w:ascii="Arial" w:cs="Arial" w:eastAsia="Arial" w:hAnsi="Arial"/>
          <w:sz w:val="22"/>
          <w:szCs w:val="22"/>
          <w:color w:val="auto"/>
        </w:rPr>
        <w:t xml:space="preserve"> </w:t>
      </w:r>
      <w:r>
        <w:rPr>
          <w:rFonts w:ascii="Arial" w:cs="Arial" w:eastAsia="Arial" w:hAnsi="Arial"/>
          <w:sz w:val="19"/>
          <w:szCs w:val="19"/>
          <w:color w:val="auto"/>
        </w:rPr>
        <w:t xml:space="preserve">officers, directors, employees, agents, consultants, licensees, subcontractors or representatives (each an </w:t>
      </w:r>
      <w:r>
        <w:rPr>
          <w:rFonts w:ascii="Arial" w:cs="Arial" w:eastAsia="Arial" w:hAnsi="Arial"/>
          <w:sz w:val="19"/>
          <w:szCs w:val="19"/>
          <w:b w:val="1"/>
          <w:bCs w:val="1"/>
          <w:color w:val="auto"/>
        </w:rPr>
        <w:t>Entitled Person</w:t>
      </w:r>
      <w:r>
        <w:rPr>
          <w:rFonts w:ascii="Arial" w:cs="Arial" w:eastAsia="Arial" w:hAnsi="Arial"/>
          <w:sz w:val="19"/>
          <w:szCs w:val="19"/>
          <w:color w:val="auto"/>
        </w:rPr>
        <w:t>), who, in each case, (i) need to know such information for purposes of the implementation and performance by the Receiving Party of this Agreement, and (ii) are subject to confidentiality and non-use restrictions covering the Confidential Information that are at least as stringent at those contained herein, provided that the Receiving Party shall, nevertheless, remain fully liable for any breach by any of its Entitled Persons of their confidentiality obligations in respect of the Confidential Information.</w:t>
      </w:r>
    </w:p>
    <w:p>
      <w:pPr>
        <w:spacing w:after="0" w:line="392" w:lineRule="exact"/>
        <w:rPr>
          <w:sz w:val="20"/>
          <w:szCs w:val="20"/>
          <w:color w:val="auto"/>
        </w:rPr>
      </w:pPr>
    </w:p>
    <w:p>
      <w:pPr>
        <w:jc w:val="both"/>
        <w:ind w:left="500" w:hanging="499"/>
        <w:spacing w:after="0" w:line="35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19"/>
          <w:szCs w:val="19"/>
          <w:color w:val="auto"/>
        </w:rPr>
        <w:t>Each Party agrees to use with respect to Confidential Information of the other Party at least the same standard of care as it</w:t>
      </w:r>
      <w:r>
        <w:rPr>
          <w:rFonts w:ascii="Arial" w:cs="Arial" w:eastAsia="Arial" w:hAnsi="Arial"/>
          <w:sz w:val="22"/>
          <w:szCs w:val="22"/>
          <w:color w:val="auto"/>
        </w:rPr>
        <w:t xml:space="preserve"> </w:t>
      </w:r>
      <w:r>
        <w:rPr>
          <w:rFonts w:ascii="Arial" w:cs="Arial" w:eastAsia="Arial" w:hAnsi="Arial"/>
          <w:sz w:val="19"/>
          <w:szCs w:val="19"/>
          <w:color w:val="auto"/>
        </w:rPr>
        <w:t>uses to protect proprietary or confidential information of its own of comparable sensitivity and to exercise every reasonable precaution to prevent and restrain the unauthorized disclosure of such Confidential Information by any of its Entitled Persons.</w:t>
      </w:r>
    </w:p>
    <w:p>
      <w:pPr>
        <w:spacing w:after="0" w:line="381" w:lineRule="exact"/>
        <w:rPr>
          <w:sz w:val="20"/>
          <w:szCs w:val="20"/>
          <w:color w:val="auto"/>
        </w:rPr>
      </w:pPr>
    </w:p>
    <w:p>
      <w:pPr>
        <w:jc w:val="both"/>
        <w:ind w:left="500" w:hanging="499"/>
        <w:spacing w:after="0" w:line="354"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19"/>
          <w:szCs w:val="19"/>
          <w:color w:val="auto"/>
        </w:rPr>
        <w:t>The provisions of Section 10.1 shall not apply to any Confidential Information disclosed hereunder which (a) was</w:t>
      </w:r>
      <w:r>
        <w:rPr>
          <w:rFonts w:ascii="Arial" w:cs="Arial" w:eastAsia="Arial" w:hAnsi="Arial"/>
          <w:sz w:val="22"/>
          <w:szCs w:val="22"/>
          <w:color w:val="auto"/>
        </w:rPr>
        <w:t xml:space="preserve"> </w:t>
      </w:r>
      <w:r>
        <w:rPr>
          <w:rFonts w:ascii="Arial" w:cs="Arial" w:eastAsia="Arial" w:hAnsi="Arial"/>
          <w:sz w:val="19"/>
          <w:szCs w:val="19"/>
          <w:color w:val="auto"/>
        </w:rPr>
        <w:t>independently developed or independently known by the Receiving Party prior to its disclosure to the Receiving Party by the Disclosing Party, as evidenced by written or electronic records; or (b) was before or after the date of such disclosure in the public domain or lawfully disclosed to the Receiving Party by an independent, unaffiliated third party rightfully in possession of the Confidential Information and not under any confidentiality obligation with regard to such Confidential Information; or (c) is required to be disclosed by the Receiving Party to the officials of a Regulatory Authority or to comply with applicable laws, to defend or prosecute litigation or to comply with Applicable Law, judicial orders or valid subpoenas, provided that the Receiving Party provides prior written notice of such intended disclosure to the Disclosing Party and takes reasonable and lawful actions to avoid and/or minimize the degree of such disclosure. The burden of proof of the foregoing exceptions shall lie with the Receiving Party. Specific information disclosed as part of the Confidential Information shall not be deemed to be in the public domain or in prior possession of the Receiving Party merely because it is included in more general information in the public domain or in the prior possession of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color w:val="auto"/>
        </w:rPr>
        <w:t>20 / 37</w:t>
      </w:r>
    </w:p>
    <w:p>
      <w:pPr>
        <w:spacing w:after="0" w:line="200" w:lineRule="exact"/>
        <w:rPr>
          <w:sz w:val="20"/>
          <w:szCs w:val="20"/>
          <w:color w:val="auto"/>
        </w:rPr>
      </w:pPr>
    </w:p>
    <w:p>
      <w:pPr>
        <w:spacing w:after="0" w:line="263" w:lineRule="exact"/>
        <w:rPr>
          <w:sz w:val="20"/>
          <w:szCs w:val="20"/>
          <w:color w:val="auto"/>
        </w:rPr>
      </w:pPr>
    </w:p>
    <w:p>
      <w:pPr>
        <w:jc w:val="both"/>
        <w:ind w:left="500" w:right="20" w:hanging="499"/>
        <w:spacing w:after="0" w:line="35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19"/>
          <w:szCs w:val="19"/>
          <w:color w:val="auto"/>
        </w:rPr>
        <w:t>Except as otherwise expressly stated under this Agreement, nothing herein shall be construed as giving either Party any</w:t>
      </w:r>
      <w:r>
        <w:rPr>
          <w:rFonts w:ascii="Arial" w:cs="Arial" w:eastAsia="Arial" w:hAnsi="Arial"/>
          <w:sz w:val="22"/>
          <w:szCs w:val="22"/>
          <w:color w:val="auto"/>
        </w:rPr>
        <w:t xml:space="preserve"> </w:t>
      </w:r>
      <w:r>
        <w:rPr>
          <w:rFonts w:ascii="Arial" w:cs="Arial" w:eastAsia="Arial" w:hAnsi="Arial"/>
          <w:sz w:val="19"/>
          <w:szCs w:val="19"/>
          <w:color w:val="auto"/>
        </w:rPr>
        <w:t>right, title or interest in or ownership of the Confidential Information of the other Party.</w:t>
      </w:r>
    </w:p>
    <w:p>
      <w:pPr>
        <w:spacing w:after="0" w:line="57" w:lineRule="exact"/>
        <w:rPr>
          <w:sz w:val="20"/>
          <w:szCs w:val="20"/>
          <w:color w:val="auto"/>
        </w:rPr>
      </w:pPr>
    </w:p>
    <w:p>
      <w:pPr>
        <w:jc w:val="both"/>
        <w:ind w:left="500" w:hanging="499"/>
        <w:spacing w:after="0" w:line="352"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19"/>
          <w:szCs w:val="19"/>
          <w:color w:val="auto"/>
        </w:rPr>
        <w:t>Except as may be required by law or regulation (including securities law and related filings), or in response to a valid</w:t>
      </w:r>
      <w:r>
        <w:rPr>
          <w:rFonts w:ascii="Arial" w:cs="Arial" w:eastAsia="Arial" w:hAnsi="Arial"/>
          <w:sz w:val="22"/>
          <w:szCs w:val="22"/>
          <w:color w:val="auto"/>
        </w:rPr>
        <w:t xml:space="preserve"> </w:t>
      </w:r>
      <w:r>
        <w:rPr>
          <w:rFonts w:ascii="Arial" w:cs="Arial" w:eastAsia="Arial" w:hAnsi="Arial"/>
          <w:sz w:val="19"/>
          <w:szCs w:val="19"/>
          <w:color w:val="auto"/>
        </w:rPr>
        <w:t>subpoena or other judicial order, neither Party shall disclose the terms of this Agreement without the prior written consent of the other Party, which consent shall not be unreasonably withheld, except that the Parties may disclose the terms of this Agreement to the Parties' or third parties' accountants and attorneys, provided any such attorney or accountant receiving information concerning the terms of this Agreement is either bound by professional secrecy or agrees to be bound by confidentiality obligations equal to this Section 10 with respect to such information.</w:t>
      </w:r>
    </w:p>
    <w:p>
      <w:pPr>
        <w:spacing w:after="0" w:line="80" w:lineRule="exact"/>
        <w:rPr>
          <w:sz w:val="20"/>
          <w:szCs w:val="20"/>
          <w:color w:val="auto"/>
        </w:rPr>
      </w:pPr>
    </w:p>
    <w:p>
      <w:pPr>
        <w:jc w:val="both"/>
        <w:ind w:left="500" w:hanging="499"/>
        <w:spacing w:after="0" w:line="347"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19"/>
          <w:szCs w:val="19"/>
          <w:color w:val="auto"/>
        </w:rPr>
        <w:t>The Parties acknowledge that any breach of this Section 10 may constitute irreparable harm, and that the non-breaching</w:t>
      </w:r>
      <w:r>
        <w:rPr>
          <w:rFonts w:ascii="Arial" w:cs="Arial" w:eastAsia="Arial" w:hAnsi="Arial"/>
          <w:sz w:val="22"/>
          <w:szCs w:val="22"/>
          <w:color w:val="auto"/>
        </w:rPr>
        <w:t xml:space="preserve"> </w:t>
      </w:r>
      <w:r>
        <w:rPr>
          <w:rFonts w:ascii="Arial" w:cs="Arial" w:eastAsia="Arial" w:hAnsi="Arial"/>
          <w:sz w:val="19"/>
          <w:szCs w:val="19"/>
          <w:color w:val="auto"/>
        </w:rPr>
        <w:t>Party shall be entitled to seek specific performance or injunctive relief to enforce this Section 10 in addition to whatever remedies such Party may otherwise be entitled to at law.</w:t>
      </w:r>
    </w:p>
    <w:p>
      <w:pPr>
        <w:spacing w:after="0" w:line="83" w:lineRule="exact"/>
        <w:rPr>
          <w:sz w:val="20"/>
          <w:szCs w:val="20"/>
          <w:color w:val="auto"/>
        </w:rPr>
      </w:pPr>
    </w:p>
    <w:p>
      <w:pPr>
        <w:jc w:val="both"/>
        <w:ind w:left="500" w:hanging="499"/>
        <w:spacing w:after="0" w:line="354"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19"/>
          <w:szCs w:val="19"/>
          <w:color w:val="auto"/>
        </w:rPr>
        <w:t>Upon termination or expiration of this Agreement (in whole or in part), each Party shall immediately deliver to the other (and</w:t>
      </w:r>
      <w:r>
        <w:rPr>
          <w:rFonts w:ascii="Arial" w:cs="Arial" w:eastAsia="Arial" w:hAnsi="Arial"/>
          <w:sz w:val="22"/>
          <w:szCs w:val="22"/>
          <w:color w:val="auto"/>
        </w:rPr>
        <w:t xml:space="preserve"> </w:t>
      </w:r>
      <w:r>
        <w:rPr>
          <w:rFonts w:ascii="Arial" w:cs="Arial" w:eastAsia="Arial" w:hAnsi="Arial"/>
          <w:sz w:val="19"/>
          <w:szCs w:val="19"/>
          <w:color w:val="auto"/>
        </w:rPr>
        <w:t>cause any of its Entitled Persons to so deliver), at such Party’s expense, all Confidential Information of the other Party (in the case of partial termination, that relates to the Terminated Product), including without limitation any and all copies, duplications, summaries and/or notes thereof or derived thereof, regardless of the format, and all remaining samples of Product (or, in the case of partial termination, Terminated Product), provided however, that both Parties may keep (i) such original documents, copies and samples as required by law or (ii) one set of such information in its legal files or archives for the sole purpose of monitoring its compliance with its obligations hereunder and neither Party shall be required to delete copies made in routine back up of its information technology systems (if access to such material is limited to members of such Party’s information technology department only). Any information retained by a Party pursuant to this Section 10.9 shall be subject to the confidentiality obligations set forth herein.</w:t>
      </w:r>
    </w:p>
    <w:p>
      <w:pPr>
        <w:spacing w:after="0" w:line="200" w:lineRule="exact"/>
        <w:rPr>
          <w:sz w:val="20"/>
          <w:szCs w:val="20"/>
          <w:color w:val="auto"/>
        </w:rPr>
      </w:pPr>
    </w:p>
    <w:p>
      <w:pPr>
        <w:spacing w:after="0" w:line="35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Intellectual Property</w:t>
      </w:r>
    </w:p>
    <w:p>
      <w:pPr>
        <w:spacing w:after="0" w:line="187" w:lineRule="exact"/>
        <w:rPr>
          <w:sz w:val="20"/>
          <w:szCs w:val="20"/>
          <w:color w:val="auto"/>
        </w:rPr>
      </w:pPr>
    </w:p>
    <w:p>
      <w:pPr>
        <w:jc w:val="both"/>
        <w:ind w:left="500" w:hanging="499"/>
        <w:spacing w:after="0" w:line="35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19"/>
          <w:szCs w:val="19"/>
          <w:color w:val="auto"/>
        </w:rPr>
        <w:t>Siegfried acknowledges that Jazz Confidential Information and Jazz’s Pre-Existing Intellectual Property Rights provided to,</w:t>
      </w:r>
      <w:r>
        <w:rPr>
          <w:rFonts w:ascii="Arial" w:cs="Arial" w:eastAsia="Arial" w:hAnsi="Arial"/>
          <w:sz w:val="22"/>
          <w:szCs w:val="22"/>
          <w:color w:val="auto"/>
        </w:rPr>
        <w:t xml:space="preserve"> </w:t>
      </w:r>
      <w:r>
        <w:rPr>
          <w:rFonts w:ascii="Arial" w:cs="Arial" w:eastAsia="Arial" w:hAnsi="Arial"/>
          <w:sz w:val="19"/>
          <w:szCs w:val="19"/>
          <w:color w:val="auto"/>
        </w:rPr>
        <w:t>utilized or observed by Siegfried pursuant to this Agreement shall be and remain the sole and exclusive property of Jazz. Likewise, Jazz acknowledges that Siegfried Confidential Information and Siegfried’s Pre-Existing Intellectual Property Rights utilized by Siegfried pursuant to this Agreement shall be and remain the sole and exclusive property of Siegfried.</w:t>
      </w:r>
    </w:p>
    <w:p>
      <w:pPr>
        <w:spacing w:after="0" w:line="80" w:lineRule="exact"/>
        <w:rPr>
          <w:sz w:val="20"/>
          <w:szCs w:val="20"/>
          <w:color w:val="auto"/>
        </w:rPr>
      </w:pPr>
    </w:p>
    <w:p>
      <w:pPr>
        <w:jc w:val="both"/>
        <w:ind w:left="500" w:hanging="499"/>
        <w:spacing w:after="0" w:line="38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19"/>
          <w:szCs w:val="19"/>
          <w:color w:val="auto"/>
        </w:rPr>
        <w:t>All rights, title, and interest in and to any Arising Intellectual Property Rights shall be the sole and exclusive property of Jazz</w:t>
      </w:r>
      <w:r>
        <w:rPr>
          <w:rFonts w:ascii="Arial" w:cs="Arial" w:eastAsia="Arial" w:hAnsi="Arial"/>
          <w:sz w:val="22"/>
          <w:szCs w:val="22"/>
          <w:color w:val="auto"/>
        </w:rPr>
        <w:t xml:space="preserve"> </w:t>
      </w:r>
      <w:r>
        <w:rPr>
          <w:rFonts w:ascii="Arial" w:cs="Arial" w:eastAsia="Arial" w:hAnsi="Arial"/>
          <w:sz w:val="19"/>
          <w:szCs w:val="19"/>
          <w:color w:val="auto"/>
        </w:rPr>
        <w:t>to the extent any such Arising Intellectual Property Rights (i) incorporate, (ii) are derived from or (iii) relate to any of Jazz’s Pre-Existing</w:t>
      </w:r>
    </w:p>
    <w:p>
      <w:pPr>
        <w:spacing w:after="0" w:line="200" w:lineRule="exact"/>
        <w:rPr>
          <w:sz w:val="20"/>
          <w:szCs w:val="20"/>
          <w:color w:val="auto"/>
        </w:rPr>
      </w:pPr>
    </w:p>
    <w:p>
      <w:pPr>
        <w:spacing w:after="0" w:line="28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4"/>
          <w:szCs w:val="14"/>
          <w:color w:val="auto"/>
        </w:rPr>
        <w:t>21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0" w:lineRule="auto"/>
        <w:rPr>
          <w:sz w:val="20"/>
          <w:szCs w:val="20"/>
          <w:color w:val="auto"/>
        </w:rPr>
      </w:pPr>
      <w:r>
        <w:rPr>
          <w:rFonts w:ascii="Arial" w:cs="Arial" w:eastAsia="Arial" w:hAnsi="Arial"/>
          <w:sz w:val="20"/>
          <w:szCs w:val="20"/>
          <w:color w:val="auto"/>
        </w:rPr>
        <w:t>Intellectual Property Rights, Jazz Product(s) (including without limitation Product development and use, whether patentable or not, Product Manufacture, manufacturing processes and procedures, Product analytical processes, procedures, methods or results and any route(s) of synthesis) and/or Jazz Confidential Information (</w:t>
      </w:r>
      <w:r>
        <w:rPr>
          <w:rFonts w:ascii="Arial" w:cs="Arial" w:eastAsia="Arial" w:hAnsi="Arial"/>
          <w:sz w:val="20"/>
          <w:szCs w:val="20"/>
          <w:b w:val="1"/>
          <w:bCs w:val="1"/>
          <w:color w:val="auto"/>
        </w:rPr>
        <w:t>Jazz Arising Intellectual Property Rights</w:t>
      </w:r>
      <w:r>
        <w:rPr>
          <w:rFonts w:ascii="Arial" w:cs="Arial" w:eastAsia="Arial" w:hAnsi="Arial"/>
          <w:sz w:val="20"/>
          <w:szCs w:val="20"/>
          <w:color w:val="auto"/>
        </w:rPr>
        <w:t>), and Siegfried hereby assigns, and transfers to Jazz its entire right, title and interest in and to any and all Jazz Arising Intellectual Property Rights. Jazz shall have the sole right to file and seek protection for any Jazz Arising Intellectual Property Rights. During the Term of this Agreement and for a period of [ * ] thereafter, upon request by Jazz and at Jazz’s reasonable expense, Siegfried shall, and shall cause its employees and Affiliates and employees of its Affiliates, to promptly take all reasonable acts and things and execute all documents as Jazz may reasonably request, to transfer, assign and vest in Jazz the ownership and registration of Jazz Arising Intellectual Property Rights, and thereafter Jazz shall be responsible for and shall control, at its sole expense, the preparation, prosecution, maintenance and enforcement of all patent applications, resulting patents, and any other forms of Jazz Arising Intellectual Property Rights. In the event Jazz decides to file and prosecute patent applications on any Jazz Arising Intellectual Property Rights, Siegfried shall provide Jazz with reasonable assistance to obtain and defend such Jazz Arising Intellectual Property Rights at Jazz's reasonable cost and expense.</w:t>
      </w:r>
    </w:p>
    <w:p>
      <w:pPr>
        <w:spacing w:after="0" w:line="106" w:lineRule="exact"/>
        <w:rPr>
          <w:sz w:val="20"/>
          <w:szCs w:val="20"/>
          <w:color w:val="auto"/>
        </w:rPr>
      </w:pPr>
    </w:p>
    <w:p>
      <w:pPr>
        <w:jc w:val="right"/>
        <w:spacing w:after="0" w:line="338"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19"/>
          <w:szCs w:val="19"/>
          <w:color w:val="auto"/>
        </w:rPr>
        <w:t>Jazz agrees that, as between Siegfried and Jazz, Siegfried shall own all Arising Intellectual Property Rights of a general</w:t>
      </w:r>
      <w:r>
        <w:rPr>
          <w:rFonts w:ascii="Arial" w:cs="Arial" w:eastAsia="Arial" w:hAnsi="Arial"/>
          <w:sz w:val="22"/>
          <w:szCs w:val="22"/>
          <w:color w:val="auto"/>
        </w:rPr>
        <w:t xml:space="preserve"> </w:t>
      </w:r>
      <w:r>
        <w:rPr>
          <w:rFonts w:ascii="Arial" w:cs="Arial" w:eastAsia="Arial" w:hAnsi="Arial"/>
          <w:sz w:val="19"/>
          <w:szCs w:val="19"/>
          <w:color w:val="auto"/>
        </w:rPr>
        <w:t>nature generated or derived by Siegfried in the course of performing its obligations hereunder which (i) do not incorporate,</w:t>
      </w:r>
    </w:p>
    <w:p>
      <w:pPr>
        <w:spacing w:after="0" w:line="1" w:lineRule="exact"/>
        <w:rPr>
          <w:sz w:val="20"/>
          <w:szCs w:val="20"/>
          <w:color w:val="auto"/>
        </w:rPr>
      </w:pPr>
    </w:p>
    <w:p>
      <w:pPr>
        <w:jc w:val="both"/>
        <w:ind w:left="500" w:firstLine="8"/>
        <w:spacing w:after="0" w:line="339" w:lineRule="auto"/>
        <w:tabs>
          <w:tab w:leader="none" w:pos="809" w:val="left"/>
        </w:tabs>
        <w:numPr>
          <w:ilvl w:val="0"/>
          <w:numId w:val="83"/>
        </w:numPr>
        <w:rPr>
          <w:rFonts w:ascii="Arial" w:cs="Arial" w:eastAsia="Arial" w:hAnsi="Arial"/>
          <w:sz w:val="20"/>
          <w:szCs w:val="20"/>
          <w:color w:val="auto"/>
        </w:rPr>
      </w:pPr>
      <w:r>
        <w:rPr>
          <w:rFonts w:ascii="Arial" w:cs="Arial" w:eastAsia="Arial" w:hAnsi="Arial"/>
          <w:sz w:val="20"/>
          <w:szCs w:val="20"/>
          <w:color w:val="auto"/>
        </w:rPr>
        <w:t>are not derived from, (iii) are not specific to or dependent upon and (iv) do not relate in any way, either directly or indirectly, in whole or in part, to (a) Jazz’s Pre-Existing Intellectual Property Rights, (b) Jazz Arising Intellectual Property Rights, (c) Jazz Confidential Information and/or (d) Jazz Product(s) (</w:t>
      </w:r>
      <w:r>
        <w:rPr>
          <w:rFonts w:ascii="Arial" w:cs="Arial" w:eastAsia="Arial" w:hAnsi="Arial"/>
          <w:sz w:val="20"/>
          <w:szCs w:val="20"/>
          <w:b w:val="1"/>
          <w:bCs w:val="1"/>
          <w:color w:val="auto"/>
        </w:rPr>
        <w:t>Siegfried Arising Intellectual Property Rights</w:t>
      </w:r>
      <w:r>
        <w:rPr>
          <w:rFonts w:ascii="Arial" w:cs="Arial" w:eastAsia="Arial" w:hAnsi="Arial"/>
          <w:sz w:val="20"/>
          <w:szCs w:val="20"/>
          <w:color w:val="auto"/>
        </w:rPr>
        <w:t>) and Jazz hereby assigns, and transfers to Siegfried its entire right, title and interest in and to any and all Siegfried Arising Intellectual Property Rights. Siegfried hereby grants Jazz a non-exclusive, worldwide, irrevocable, transferable, royalty-free license to use such Siegfried Arising Intellectual Property Rights to the extent that, and limited to, the development, manufacturing, sale, commercialization or any other use of the Product is dependent upon such license.</w:t>
      </w:r>
    </w:p>
    <w:p>
      <w:pPr>
        <w:spacing w:after="0" w:line="87" w:lineRule="exact"/>
        <w:rPr>
          <w:sz w:val="20"/>
          <w:szCs w:val="20"/>
          <w:color w:val="auto"/>
        </w:rPr>
      </w:pPr>
    </w:p>
    <w:p>
      <w:pPr>
        <w:jc w:val="both"/>
        <w:ind w:left="500" w:hanging="499"/>
        <w:spacing w:after="0" w:line="352"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19"/>
          <w:szCs w:val="19"/>
          <w:color w:val="auto"/>
        </w:rPr>
        <w:t>In the event of patent infringement or regulatory litigation or other legal proceedings, involving the Product, Siegfried shall</w:t>
      </w:r>
      <w:r>
        <w:rPr>
          <w:rFonts w:ascii="Arial" w:cs="Arial" w:eastAsia="Arial" w:hAnsi="Arial"/>
          <w:sz w:val="22"/>
          <w:szCs w:val="22"/>
          <w:color w:val="auto"/>
        </w:rPr>
        <w:t xml:space="preserve"> </w:t>
      </w:r>
      <w:r>
        <w:rPr>
          <w:rFonts w:ascii="Arial" w:cs="Arial" w:eastAsia="Arial" w:hAnsi="Arial"/>
          <w:sz w:val="19"/>
          <w:szCs w:val="19"/>
          <w:color w:val="auto"/>
        </w:rPr>
        <w:t>have the right to suspend further supply of the Product to the extent this is required by a court order or arbitral award or order (whether interim or final). Such suspension shall be deemed a temporary suspension of Siegfried’s supply obligations under this Agreement; provided, that if such suspension continues for more than [ * ], the Parties shall jointly attempt in good faith to modify this Agreement to resolve the situation but if they are unable to do so within the following [ * ] either Party may terminate this Agreement by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7" w:name="page168"/>
    <w:bookmarkEnd w:id="167"/>
    <w:p>
      <w:pPr>
        <w:ind w:left="10980"/>
        <w:spacing w:after="0"/>
        <w:rPr>
          <w:sz w:val="20"/>
          <w:szCs w:val="20"/>
          <w:color w:val="auto"/>
        </w:rPr>
      </w:pPr>
      <w:r>
        <w:rPr>
          <w:rFonts w:ascii="Arial" w:cs="Arial" w:eastAsia="Arial" w:hAnsi="Arial"/>
          <w:sz w:val="14"/>
          <w:szCs w:val="14"/>
          <w:color w:val="auto"/>
        </w:rPr>
        <w:t>22 / 37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22"/>
          <w:szCs w:val="22"/>
          <w:b w:val="1"/>
          <w:bCs w:val="1"/>
          <w:color w:val="auto"/>
        </w:rPr>
      </w:pPr>
      <w:r>
        <w:rPr>
          <w:rFonts w:ascii="Arial" w:cs="Arial" w:eastAsia="Arial" w:hAnsi="Arial"/>
          <w:sz w:val="20"/>
          <w:szCs w:val="20"/>
          <w:b w:val="1"/>
          <w:bCs w:val="1"/>
          <w:color w:val="auto"/>
        </w:rPr>
        <w:t>Term and Termination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19"/>
          <w:szCs w:val="19"/>
          <w:color w:val="auto"/>
        </w:rPr>
        <w:t>This Agreement shall become effective on the Effective Date and, unless earlier terminated in accordance with this Section</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9"/>
          <w:szCs w:val="19"/>
          <w:color w:val="auto"/>
        </w:rPr>
        <w:t>12 or other applicable term of this Agreement, shall continue in full force and effect until December 31, 2024 (</w:t>
      </w:r>
      <w:r>
        <w:rPr>
          <w:rFonts w:ascii="Arial" w:cs="Arial" w:eastAsia="Arial" w:hAnsi="Arial"/>
          <w:sz w:val="19"/>
          <w:szCs w:val="19"/>
          <w:b w:val="1"/>
          <w:bCs w:val="1"/>
          <w:color w:val="auto"/>
        </w:rPr>
        <w:t>Initial Period</w:t>
      </w:r>
      <w:r>
        <w:rPr>
          <w:rFonts w:ascii="Arial" w:cs="Arial" w:eastAsia="Arial" w:hAnsi="Arial"/>
          <w:sz w:val="19"/>
          <w:szCs w:val="19"/>
          <w:color w:val="auto"/>
        </w:rPr>
        <w:t>).</w:t>
      </w:r>
    </w:p>
    <w:p>
      <w:pPr>
        <w:spacing w:after="0" w:line="221" w:lineRule="exact"/>
        <w:rPr>
          <w:sz w:val="20"/>
          <w:szCs w:val="20"/>
          <w:color w:val="auto"/>
        </w:rPr>
      </w:pPr>
    </w:p>
    <w:p>
      <w:pPr>
        <w:jc w:val="both"/>
        <w:ind w:left="500" w:hanging="499"/>
        <w:spacing w:after="0" w:line="351"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19"/>
          <w:szCs w:val="19"/>
          <w:color w:val="auto"/>
        </w:rPr>
        <w:t>Unless earlier terminated in accordance with any applicable term of this Agreement, this Agreement shall automatically</w:t>
      </w:r>
      <w:r>
        <w:rPr>
          <w:rFonts w:ascii="Arial" w:cs="Arial" w:eastAsia="Arial" w:hAnsi="Arial"/>
          <w:sz w:val="22"/>
          <w:szCs w:val="22"/>
          <w:color w:val="auto"/>
        </w:rPr>
        <w:t xml:space="preserve"> </w:t>
      </w:r>
      <w:r>
        <w:rPr>
          <w:rFonts w:ascii="Arial" w:cs="Arial" w:eastAsia="Arial" w:hAnsi="Arial"/>
          <w:sz w:val="19"/>
          <w:szCs w:val="19"/>
          <w:color w:val="auto"/>
        </w:rPr>
        <w:t>renew for consecutive periods of one (1) year each unless one of the Parties notifies the other of its election not to renew the Agreement, either in whole or in part, at least eighteen (18) months prior to the end of the Initial Period or the renewal term then in effect, in which case this Agreement shall terminate, either in whole or in part (as the case may be), upon the expiration of such term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81" w:lineRule="exact"/>
        <w:rPr>
          <w:sz w:val="20"/>
          <w:szCs w:val="20"/>
          <w:color w:val="auto"/>
        </w:rPr>
      </w:pPr>
    </w:p>
    <w:p>
      <w:pPr>
        <w:jc w:val="both"/>
        <w:ind w:left="500" w:hanging="499"/>
        <w:spacing w:after="0" w:line="356"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19"/>
          <w:szCs w:val="19"/>
          <w:color w:val="auto"/>
        </w:rPr>
        <w:t>Either Party may terminate the Agreement immediately, by providing written notice to the other Party following the</w:t>
      </w:r>
      <w:r>
        <w:rPr>
          <w:rFonts w:ascii="Arial" w:cs="Arial" w:eastAsia="Arial" w:hAnsi="Arial"/>
          <w:sz w:val="22"/>
          <w:szCs w:val="22"/>
          <w:color w:val="auto"/>
        </w:rPr>
        <w:t xml:space="preserve"> </w:t>
      </w:r>
      <w:r>
        <w:rPr>
          <w:rFonts w:ascii="Arial" w:cs="Arial" w:eastAsia="Arial" w:hAnsi="Arial"/>
          <w:sz w:val="19"/>
          <w:szCs w:val="19"/>
          <w:color w:val="auto"/>
        </w:rPr>
        <w:t>occurrence of any of the following events:</w:t>
      </w:r>
    </w:p>
    <w:p>
      <w:pPr>
        <w:spacing w:after="0" w:line="60" w:lineRule="exact"/>
        <w:rPr>
          <w:sz w:val="20"/>
          <w:szCs w:val="20"/>
          <w:color w:val="auto"/>
        </w:rPr>
      </w:pPr>
    </w:p>
    <w:p>
      <w:pPr>
        <w:ind w:left="980" w:right="40" w:hanging="486"/>
        <w:spacing w:after="0" w:line="312" w:lineRule="auto"/>
        <w:tabs>
          <w:tab w:leader="none" w:pos="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liquidation or dissolution of the other Party, or the commencement of insolvency procedures or any proceeding under any bankruptcy, insolvency or moratorium law, or any other law or laws for the relief of debtors which proceeding is not dismissed within [ * ], or the appointment of any receiver, trustee or assignee to take possession of the properties of the other Party;</w:t>
      </w:r>
    </w:p>
    <w:p>
      <w:pPr>
        <w:spacing w:after="0" w:line="100" w:lineRule="exact"/>
        <w:rPr>
          <w:rFonts w:ascii="Arial" w:cs="Arial" w:eastAsia="Arial" w:hAnsi="Arial"/>
          <w:sz w:val="20"/>
          <w:szCs w:val="20"/>
          <w:color w:val="auto"/>
        </w:rPr>
      </w:pPr>
    </w:p>
    <w:p>
      <w:pPr>
        <w:ind w:left="980" w:right="260" w:hanging="486"/>
        <w:spacing w:after="0" w:line="317" w:lineRule="auto"/>
        <w:tabs>
          <w:tab w:leader="none" w:pos="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sale, lease or other disposition of at least seventy-five percent (75%) of the other Party’s business or assets, to a person other than an Affiliate of such Party; or</w:t>
      </w:r>
    </w:p>
    <w:p>
      <w:pPr>
        <w:spacing w:after="0" w:line="94" w:lineRule="exact"/>
        <w:rPr>
          <w:rFonts w:ascii="Arial" w:cs="Arial" w:eastAsia="Arial" w:hAnsi="Arial"/>
          <w:sz w:val="20"/>
          <w:szCs w:val="20"/>
          <w:color w:val="auto"/>
        </w:rPr>
      </w:pPr>
    </w:p>
    <w:p>
      <w:pPr>
        <w:ind w:left="980" w:hanging="486"/>
        <w:spacing w:after="0"/>
        <w:tabs>
          <w:tab w:leader="none" w:pos="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cessation of all or substantially all of the other Party’s business operations.</w:t>
      </w:r>
    </w:p>
    <w:p>
      <w:pPr>
        <w:spacing w:after="0" w:line="172" w:lineRule="exact"/>
        <w:rPr>
          <w:sz w:val="20"/>
          <w:szCs w:val="20"/>
          <w:color w:val="auto"/>
        </w:rPr>
      </w:pPr>
    </w:p>
    <w:p>
      <w:pPr>
        <w:jc w:val="both"/>
        <w:ind w:left="500" w:hanging="499"/>
        <w:spacing w:after="0" w:line="356"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19"/>
          <w:szCs w:val="19"/>
          <w:color w:val="auto"/>
        </w:rPr>
        <w:t>If a Party breaches a material term or condition of this Agreement, the non-breaching Party shall have the right to terminate</w:t>
      </w:r>
      <w:r>
        <w:rPr>
          <w:rFonts w:ascii="Arial" w:cs="Arial" w:eastAsia="Arial" w:hAnsi="Arial"/>
          <w:sz w:val="22"/>
          <w:szCs w:val="22"/>
          <w:color w:val="auto"/>
        </w:rPr>
        <w:t xml:space="preserve"> </w:t>
      </w:r>
      <w:r>
        <w:rPr>
          <w:rFonts w:ascii="Arial" w:cs="Arial" w:eastAsia="Arial" w:hAnsi="Arial"/>
          <w:sz w:val="19"/>
          <w:szCs w:val="19"/>
          <w:color w:val="auto"/>
        </w:rPr>
        <w:t>this Agreement, either in whole or in part, after [ * ] prior written notice to the other Party unless any such breach is cured within said [ * ]. Termination shall be in addition to all other rights and remedies available to the non-breaching Party at law or in equity.</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19"/>
          <w:szCs w:val="19"/>
          <w:color w:val="auto"/>
        </w:rPr>
        <w:t>This Agreement may be terminated, in whole or in part, by [ * ] written notice given by Jazz to Siegfried, as follows:</w:t>
      </w:r>
    </w:p>
    <w:p>
      <w:pPr>
        <w:spacing w:after="0" w:line="182" w:lineRule="exact"/>
        <w:rPr>
          <w:sz w:val="20"/>
          <w:szCs w:val="20"/>
          <w:color w:val="auto"/>
        </w:rPr>
      </w:pPr>
    </w:p>
    <w:p>
      <w:pPr>
        <w:ind w:left="980" w:right="60" w:hanging="486"/>
        <w:spacing w:after="0" w:line="317" w:lineRule="auto"/>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any required license, permit or certificate of Siegfried is not approved or not issued, or is withdrawn or suspended, by any Regulatory Authority; or</w:t>
      </w:r>
    </w:p>
    <w:p>
      <w:pPr>
        <w:spacing w:after="0" w:line="94" w:lineRule="exact"/>
        <w:rPr>
          <w:rFonts w:ascii="Arial" w:cs="Arial" w:eastAsia="Arial" w:hAnsi="Arial"/>
          <w:sz w:val="20"/>
          <w:szCs w:val="20"/>
          <w:color w:val="auto"/>
        </w:rPr>
      </w:pPr>
    </w:p>
    <w:p>
      <w:pPr>
        <w:ind w:left="980" w:hanging="486"/>
        <w:spacing w:after="0"/>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Drug Product is withdrawn or deleted by any Regulatory Authority so that there are no remaining markets available;</w:t>
      </w:r>
    </w:p>
    <w:p>
      <w:pPr>
        <w:spacing w:after="0" w:line="175" w:lineRule="exact"/>
        <w:rPr>
          <w:rFonts w:ascii="Arial" w:cs="Arial" w:eastAsia="Arial" w:hAnsi="Arial"/>
          <w:sz w:val="20"/>
          <w:szCs w:val="20"/>
          <w:color w:val="auto"/>
        </w:rPr>
      </w:pPr>
    </w:p>
    <w:p>
      <w:pPr>
        <w:ind w:left="980" w:hanging="486"/>
        <w:spacing w:after="0"/>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Jazz decides to permanently cease the commercialisation of Product.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4"/>
          <w:szCs w:val="14"/>
          <w:color w:val="auto"/>
        </w:rPr>
        <w:t>23 / 37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12.6 </w:t>
      </w:r>
      <w:r>
        <w:rPr>
          <w:rFonts w:ascii="Arial" w:cs="Arial" w:eastAsia="Arial" w:hAnsi="Arial"/>
          <w:sz w:val="19"/>
          <w:szCs w:val="19"/>
          <w:color w:val="auto"/>
        </w:rPr>
        <w:t>This Agreement may be terminated, in whole or in part, by [ * ] written notice given by Siegfried to Jazz, as follows:</w:t>
      </w:r>
    </w:p>
    <w:p>
      <w:pPr>
        <w:spacing w:after="0" w:line="182" w:lineRule="exact"/>
        <w:rPr>
          <w:sz w:val="20"/>
          <w:szCs w:val="20"/>
          <w:color w:val="auto"/>
        </w:rPr>
      </w:pPr>
    </w:p>
    <w:p>
      <w:pPr>
        <w:ind w:left="980" w:right="720" w:hanging="486"/>
        <w:spacing w:after="0" w:line="317" w:lineRule="auto"/>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Jazz does not commercially launch any Drug Product within [ * ] after receipt of approval from any Regulatory Authority;</w:t>
      </w:r>
    </w:p>
    <w:p>
      <w:pPr>
        <w:spacing w:after="0" w:line="94" w:lineRule="exact"/>
        <w:rPr>
          <w:rFonts w:ascii="Arial" w:cs="Arial" w:eastAsia="Arial" w:hAnsi="Arial"/>
          <w:sz w:val="20"/>
          <w:szCs w:val="20"/>
          <w:color w:val="auto"/>
        </w:rPr>
      </w:pPr>
    </w:p>
    <w:p>
      <w:pPr>
        <w:ind w:left="980" w:hanging="486"/>
        <w:spacing w:after="0"/>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Jazz ceases commercial sale of Drug Product after commercial launch; or</w:t>
      </w:r>
    </w:p>
    <w:p>
      <w:pPr>
        <w:spacing w:after="0" w:line="175" w:lineRule="exact"/>
        <w:rPr>
          <w:rFonts w:ascii="Arial" w:cs="Arial" w:eastAsia="Arial" w:hAnsi="Arial"/>
          <w:sz w:val="20"/>
          <w:szCs w:val="20"/>
          <w:color w:val="auto"/>
        </w:rPr>
      </w:pPr>
    </w:p>
    <w:p>
      <w:pPr>
        <w:ind w:left="980" w:right="280" w:hanging="486"/>
        <w:spacing w:after="0" w:line="317" w:lineRule="auto"/>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Jazz does not purchase at least the total volume of Drug Product that requires Siegfried to Manufacture [ * ] of API during any [ * ] period after commercial launch of the Drug Product.</w:t>
      </w:r>
    </w:p>
    <w:p>
      <w:pPr>
        <w:spacing w:after="0" w:line="92" w:lineRule="exact"/>
        <w:rPr>
          <w:sz w:val="20"/>
          <w:szCs w:val="20"/>
          <w:color w:val="auto"/>
        </w:rPr>
      </w:pPr>
    </w:p>
    <w:p>
      <w:pPr>
        <w:jc w:val="both"/>
        <w:ind w:left="500" w:hanging="499"/>
        <w:spacing w:after="0" w:line="350"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19"/>
          <w:szCs w:val="19"/>
          <w:color w:val="auto"/>
        </w:rPr>
        <w:t>Any and all references to termination of this Agreement “in part” or “partial termination” throughout this Agreement shall</w:t>
      </w:r>
      <w:r>
        <w:rPr>
          <w:rFonts w:ascii="Arial" w:cs="Arial" w:eastAsia="Arial" w:hAnsi="Arial"/>
          <w:sz w:val="22"/>
          <w:szCs w:val="22"/>
          <w:color w:val="auto"/>
        </w:rPr>
        <w:t xml:space="preserve"> </w:t>
      </w:r>
      <w:r>
        <w:rPr>
          <w:rFonts w:ascii="Arial" w:cs="Arial" w:eastAsia="Arial" w:hAnsi="Arial"/>
          <w:sz w:val="19"/>
          <w:szCs w:val="19"/>
          <w:color w:val="auto"/>
        </w:rPr>
        <w:t>mean that the applicable Party may, subject to and in accordance with the provisions of this Agreement, terminate this Agreement solely in respect of the Manufacture and supply of either (i) the API or (ii) the Drug Product (hereinafter referred to as the “Terminated Product”), in which case:</w:t>
      </w:r>
    </w:p>
    <w:p>
      <w:pPr>
        <w:spacing w:after="0" w:line="83" w:lineRule="exact"/>
        <w:rPr>
          <w:sz w:val="20"/>
          <w:szCs w:val="20"/>
          <w:color w:val="auto"/>
        </w:rPr>
      </w:pPr>
    </w:p>
    <w:p>
      <w:pPr>
        <w:ind w:left="980" w:hanging="486"/>
        <w:spacing w:after="0"/>
        <w:tabs>
          <w:tab w:leader="none" w:pos="9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Agreement shall be terminated solely in respect of the Terminated Product;</w:t>
      </w:r>
    </w:p>
    <w:p>
      <w:pPr>
        <w:spacing w:after="0" w:line="175" w:lineRule="exact"/>
        <w:rPr>
          <w:rFonts w:ascii="Arial" w:cs="Arial" w:eastAsia="Arial" w:hAnsi="Arial"/>
          <w:sz w:val="20"/>
          <w:szCs w:val="20"/>
          <w:color w:val="auto"/>
        </w:rPr>
      </w:pPr>
    </w:p>
    <w:p>
      <w:pPr>
        <w:ind w:left="980" w:right="680" w:hanging="486"/>
        <w:spacing w:after="0" w:line="317" w:lineRule="auto"/>
        <w:tabs>
          <w:tab w:leader="none" w:pos="9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Agreement shall continue in full force and effect in respect of the other non-terminated Product(s) (the “Non-Terminated Product”);</w:t>
      </w:r>
    </w:p>
    <w:p>
      <w:pPr>
        <w:spacing w:after="0" w:line="94" w:lineRule="exact"/>
        <w:rPr>
          <w:rFonts w:ascii="Arial" w:cs="Arial" w:eastAsia="Arial" w:hAnsi="Arial"/>
          <w:sz w:val="20"/>
          <w:szCs w:val="20"/>
          <w:color w:val="auto"/>
        </w:rPr>
      </w:pPr>
    </w:p>
    <w:p>
      <w:pPr>
        <w:ind w:left="980" w:right="100" w:hanging="486"/>
        <w:spacing w:after="0" w:line="317" w:lineRule="auto"/>
        <w:tabs>
          <w:tab w:leader="none" w:pos="9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provisions of the Agreement (including, without limitation, all applicable references to “Product”) shall be construed accordingly; and</w:t>
      </w:r>
    </w:p>
    <w:p>
      <w:pPr>
        <w:spacing w:after="0" w:line="94" w:lineRule="exact"/>
        <w:rPr>
          <w:rFonts w:ascii="Arial" w:cs="Arial" w:eastAsia="Arial" w:hAnsi="Arial"/>
          <w:sz w:val="20"/>
          <w:szCs w:val="20"/>
          <w:color w:val="auto"/>
        </w:rPr>
      </w:pPr>
    </w:p>
    <w:p>
      <w:pPr>
        <w:ind w:left="980" w:right="420" w:hanging="486"/>
        <w:spacing w:after="0" w:line="346" w:lineRule="auto"/>
        <w:tabs>
          <w:tab w:leader="none" w:pos="9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the avoidance of doubt, the terms of Section 2.3 shall apply accordingly solely in respect of the Non-Terminated Product and Jazz shall have no further obligations pursuant thereto in respect of the Terminated Product.</w:t>
      </w:r>
    </w:p>
    <w:p>
      <w:pPr>
        <w:spacing w:after="0" w:line="69" w:lineRule="exact"/>
        <w:rPr>
          <w:sz w:val="20"/>
          <w:szCs w:val="20"/>
          <w:color w:val="auto"/>
        </w:rPr>
      </w:pPr>
    </w:p>
    <w:p>
      <w:pPr>
        <w:jc w:val="both"/>
        <w:ind w:left="500" w:hanging="499"/>
        <w:spacing w:after="0" w:line="354"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19"/>
          <w:szCs w:val="19"/>
          <w:color w:val="auto"/>
        </w:rPr>
        <w:t>Upon expiration or termination of this Agreement, in whole or in part, Siegfried shall have the right to deliver to Jazz (and</w:t>
      </w:r>
      <w:r>
        <w:rPr>
          <w:rFonts w:ascii="Arial" w:cs="Arial" w:eastAsia="Arial" w:hAnsi="Arial"/>
          <w:sz w:val="22"/>
          <w:szCs w:val="22"/>
          <w:color w:val="auto"/>
        </w:rPr>
        <w:t xml:space="preserve"> </w:t>
      </w:r>
      <w:r>
        <w:rPr>
          <w:rFonts w:ascii="Arial" w:cs="Arial" w:eastAsia="Arial" w:hAnsi="Arial"/>
          <w:sz w:val="19"/>
          <w:szCs w:val="19"/>
          <w:color w:val="auto"/>
        </w:rPr>
        <w:t>Jazz shall have the obligation to take delivery of) all Product (or, in the case of partial termination, all Terminated Product) already Manufactured by Siegfried pursuant to any Order and the remaining Materials that relate to the Terminated Product maintained by Siegfried pursuant to Section 5 and Jazz shall pay the price for such Products or Terminated Product (as the case may be) or Materials, provided however, that Siegfried uses commercially reasonable efforts to limit such loss of Materials.</w:t>
      </w:r>
    </w:p>
    <w:p>
      <w:pPr>
        <w:spacing w:after="0" w:line="391" w:lineRule="exact"/>
        <w:rPr>
          <w:sz w:val="20"/>
          <w:szCs w:val="20"/>
          <w:color w:val="auto"/>
        </w:rPr>
      </w:pPr>
    </w:p>
    <w:p>
      <w:pPr>
        <w:jc w:val="both"/>
        <w:ind w:left="500" w:hanging="499"/>
        <w:spacing w:after="0" w:line="352"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19"/>
          <w:szCs w:val="19"/>
          <w:color w:val="auto"/>
        </w:rPr>
        <w:t>Neither the expiration nor the termination of this Agreement, in whole or in part, shall relieve the Parties of their obligations</w:t>
      </w:r>
      <w:r>
        <w:rPr>
          <w:rFonts w:ascii="Arial" w:cs="Arial" w:eastAsia="Arial" w:hAnsi="Arial"/>
          <w:sz w:val="22"/>
          <w:szCs w:val="22"/>
          <w:color w:val="auto"/>
        </w:rPr>
        <w:t xml:space="preserve"> </w:t>
      </w:r>
      <w:r>
        <w:rPr>
          <w:rFonts w:ascii="Arial" w:cs="Arial" w:eastAsia="Arial" w:hAnsi="Arial"/>
          <w:sz w:val="19"/>
          <w:szCs w:val="19"/>
          <w:color w:val="auto"/>
        </w:rPr>
        <w:t>(in the case of partial termination, as they relate to the Terminated Product) incurred prior to such expiration or termination. All provisions that, by their express or implied terms, are meant to survive termination of the Agreement, in particular all rights and obligations set forth in Sections 8 (Compensation and Terms of Payment), 10 (Confidential Information), 11 (Intellectual Property), 14.1 (Liability and Indemnity), 16 (Miscellaneous) and 17 (Applicable Law and Dispute Resolution) shall continue irrespective of such termination.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4"/>
          <w:szCs w:val="14"/>
          <w:color w:val="auto"/>
        </w:rPr>
        <w:t>24 / 37</w:t>
      </w:r>
    </w:p>
    <w:p>
      <w:pPr>
        <w:spacing w:after="0" w:line="200" w:lineRule="exact"/>
        <w:rPr>
          <w:sz w:val="20"/>
          <w:szCs w:val="20"/>
          <w:color w:val="auto"/>
        </w:rPr>
      </w:pPr>
    </w:p>
    <w:p>
      <w:pPr>
        <w:spacing w:after="0" w:line="249" w:lineRule="exact"/>
        <w:rPr>
          <w:sz w:val="20"/>
          <w:szCs w:val="20"/>
          <w:color w:val="auto"/>
        </w:rPr>
      </w:pPr>
    </w:p>
    <w:p>
      <w:pPr>
        <w:jc w:val="both"/>
        <w:ind w:left="660" w:hanging="647"/>
        <w:spacing w:after="0" w:line="323"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19"/>
          <w:szCs w:val="19"/>
          <w:color w:val="auto"/>
        </w:rPr>
        <w:t>At all times during the Term, Jazz shall have the right to make Product and to have Product made by an Affiliate or third</w:t>
      </w:r>
      <w:r>
        <w:rPr>
          <w:rFonts w:ascii="Arial" w:cs="Arial" w:eastAsia="Arial" w:hAnsi="Arial"/>
          <w:sz w:val="22"/>
          <w:szCs w:val="22"/>
          <w:color w:val="auto"/>
        </w:rPr>
        <w:t xml:space="preserve"> </w:t>
      </w:r>
      <w:r>
        <w:rPr>
          <w:rFonts w:ascii="Arial" w:cs="Arial" w:eastAsia="Arial" w:hAnsi="Arial"/>
          <w:sz w:val="19"/>
          <w:szCs w:val="19"/>
          <w:color w:val="auto"/>
        </w:rPr>
        <w:t>party manufacturer (</w:t>
      </w:r>
      <w:r>
        <w:rPr>
          <w:rFonts w:ascii="Arial" w:cs="Arial" w:eastAsia="Arial" w:hAnsi="Arial"/>
          <w:sz w:val="19"/>
          <w:szCs w:val="19"/>
          <w:b w:val="1"/>
          <w:bCs w:val="1"/>
          <w:color w:val="auto"/>
        </w:rPr>
        <w:t>Alternative Manufacturer</w:t>
      </w:r>
      <w:r>
        <w:rPr>
          <w:rFonts w:ascii="Arial" w:cs="Arial" w:eastAsia="Arial" w:hAnsi="Arial"/>
          <w:sz w:val="19"/>
          <w:szCs w:val="19"/>
          <w:color w:val="auto"/>
        </w:rPr>
        <w:t>) on its behalf, subject to the terms and conditions of this Agreement, including, without limitation Sections 2.3 (Purchase Commitment), 10 (Confidentiality), and 11 (Intellectual Property). Prior to appointing such an Alternative Manufacturer, Jazz and Siegfried shall, without delay, confer and discuss in good faith if and how any Affiliate of Siegfried may be appointed as alternative manufacturing site.</w:t>
      </w:r>
    </w:p>
    <w:p>
      <w:pPr>
        <w:spacing w:after="0" w:line="50" w:lineRule="exact"/>
        <w:rPr>
          <w:sz w:val="20"/>
          <w:szCs w:val="20"/>
          <w:color w:val="auto"/>
        </w:rPr>
      </w:pPr>
    </w:p>
    <w:p>
      <w:pPr>
        <w:jc w:val="both"/>
        <w:ind w:left="660" w:hanging="647"/>
        <w:spacing w:after="0" w:line="324"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19"/>
          <w:szCs w:val="19"/>
          <w:color w:val="auto"/>
        </w:rPr>
        <w:t>In the event Jazz intends to engage an Alternative Manufacturer at any time (including during the Term or upon termination</w:t>
      </w:r>
      <w:r>
        <w:rPr>
          <w:rFonts w:ascii="Arial" w:cs="Arial" w:eastAsia="Arial" w:hAnsi="Arial"/>
          <w:sz w:val="22"/>
          <w:szCs w:val="22"/>
          <w:color w:val="auto"/>
        </w:rPr>
        <w:t xml:space="preserve"> </w:t>
      </w:r>
      <w:r>
        <w:rPr>
          <w:rFonts w:ascii="Arial" w:cs="Arial" w:eastAsia="Arial" w:hAnsi="Arial"/>
          <w:sz w:val="19"/>
          <w:szCs w:val="19"/>
          <w:color w:val="auto"/>
        </w:rPr>
        <w:t>of this Agreement in whole or in part), Siegfried shall, at the request of Jazz and subject to Jazz’s reasonable cooperation, provide documents already prepared by Siegfried as may be necessary or helpful for the technology transfer of the manufacturing process for Product and the regulatory qualification to Jazz or the Alternative Manufacturer (including all know-how necessary or reasonably useful to enable Jazz or the Alternative Manufacturer to manufacture Product), provided that Siegfried will not be required to (i) prepare, translate or otherwise generate documents, unless otherwise agreed by Siegfried (acting reasonably ) and at Jazz’ reasonable costs and expenses, (ii) provide Siegfried Confidential Information, or (ii) grant licenses to Siegfried Pre-Existing Intellectual Property Rights or Siegfried Arising Intellectual Property Rights to a third party Alternative Manufacturer.</w:t>
      </w:r>
    </w:p>
    <w:p>
      <w:pPr>
        <w:spacing w:after="0" w:line="54" w:lineRule="exact"/>
        <w:rPr>
          <w:sz w:val="20"/>
          <w:szCs w:val="20"/>
          <w:color w:val="auto"/>
        </w:rPr>
      </w:pPr>
    </w:p>
    <w:p>
      <w:pPr>
        <w:jc w:val="both"/>
        <w:ind w:left="660" w:hanging="647"/>
        <w:spacing w:after="0" w:line="324"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19"/>
          <w:szCs w:val="19"/>
          <w:color w:val="auto"/>
        </w:rPr>
        <w:t>In the event of transfer to Jazz or its Affiliate, at the request of Jazz and subject to Jazz’s reasonable cooperation, the</w:t>
      </w:r>
      <w:r>
        <w:rPr>
          <w:rFonts w:ascii="Arial" w:cs="Arial" w:eastAsia="Arial" w:hAnsi="Arial"/>
          <w:sz w:val="22"/>
          <w:szCs w:val="22"/>
          <w:color w:val="auto"/>
        </w:rPr>
        <w:t xml:space="preserve"> </w:t>
      </w:r>
      <w:r>
        <w:rPr>
          <w:rFonts w:ascii="Arial" w:cs="Arial" w:eastAsia="Arial" w:hAnsi="Arial"/>
          <w:sz w:val="19"/>
          <w:szCs w:val="19"/>
          <w:color w:val="auto"/>
        </w:rPr>
        <w:t>Parties shall confer and discuss a technology transfer plan prepared by Jazz and agreed by Siegfried (such agreement not to be unreasonably withheld, conditioned or delayed), including applicable fees (</w:t>
      </w:r>
      <w:r>
        <w:rPr>
          <w:rFonts w:ascii="Arial" w:cs="Arial" w:eastAsia="Arial" w:hAnsi="Arial"/>
          <w:sz w:val="19"/>
          <w:szCs w:val="19"/>
          <w:b w:val="1"/>
          <w:bCs w:val="1"/>
          <w:color w:val="auto"/>
        </w:rPr>
        <w:t>Jazz Technology Transfer Plan</w:t>
      </w:r>
      <w:r>
        <w:rPr>
          <w:rFonts w:ascii="Arial" w:cs="Arial" w:eastAsia="Arial" w:hAnsi="Arial"/>
          <w:sz w:val="19"/>
          <w:szCs w:val="19"/>
          <w:color w:val="auto"/>
        </w:rPr>
        <w:t>). Such Jazz Technology Transfer Plan may, as applicable, provide for reasonable technical assistance regarding the manufacture, testing and supply of Product, including access to technical personnel, as may be helpful for Jazz or its Affiliate to implement such process to manufacture Product. Subject to Siegfried’s approval and consent of the scope of the Jazz Technology Transfer Plan and cost and expenses therefore (such approval and consent not to be unreasonably withheld, conditioned or delayed), Siegfried shall implement the Jazz Technology Transfer Plan and Jazz shall reimburse Siegfried for all reasonable costs and expenses incurred by Siegfried to conduct such technology transfer and technical assistance, unless otherwise mutually agreed in writing.</w:t>
      </w:r>
    </w:p>
    <w:p>
      <w:pPr>
        <w:spacing w:after="0" w:line="17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0"/>
          <w:szCs w:val="20"/>
          <w:b w:val="1"/>
          <w:bCs w:val="1"/>
          <w:color w:val="auto"/>
        </w:rPr>
        <w:t>Representations and Warranties</w:t>
      </w:r>
    </w:p>
    <w:p>
      <w:pPr>
        <w:spacing w:after="0" w:line="133"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0"/>
          <w:szCs w:val="20"/>
          <w:color w:val="auto"/>
        </w:rPr>
        <w:t>Each Party represents and warrants to the other Party (i) that it has the legal power, authority and right to enter into this Agreement and to perform its respective obligations set forth herein, (ii) that this Agreement has been duly executed and delivered by each Party and constitutes the valid and binding obligation of such Party, enforceable against such Party in accordance with its terms, and (iii) the execution, delivery and performance by such Party of this Agreement and its compliance with the terms hereof does not and will not conflict with or result in a breach of any term of, or constitute a</w:t>
      </w:r>
    </w:p>
    <w:p>
      <w:pPr>
        <w:spacing w:after="0" w:line="24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4"/>
          <w:szCs w:val="14"/>
          <w:color w:val="auto"/>
        </w:rPr>
        <w:t>25 / 37</w:t>
      </w:r>
    </w:p>
    <w:p>
      <w:pPr>
        <w:spacing w:after="0" w:line="200" w:lineRule="exact"/>
        <w:rPr>
          <w:sz w:val="20"/>
          <w:szCs w:val="20"/>
          <w:color w:val="auto"/>
        </w:rPr>
      </w:pPr>
    </w:p>
    <w:p>
      <w:pPr>
        <w:spacing w:after="0" w:line="252" w:lineRule="exact"/>
        <w:rPr>
          <w:sz w:val="20"/>
          <w:szCs w:val="20"/>
          <w:color w:val="auto"/>
        </w:rPr>
      </w:pPr>
    </w:p>
    <w:p>
      <w:pPr>
        <w:jc w:val="both"/>
        <w:ind w:left="500"/>
        <w:spacing w:after="0" w:line="285" w:lineRule="auto"/>
        <w:rPr>
          <w:sz w:val="20"/>
          <w:szCs w:val="20"/>
          <w:color w:val="auto"/>
        </w:rPr>
      </w:pPr>
      <w:r>
        <w:rPr>
          <w:rFonts w:ascii="Arial" w:cs="Arial" w:eastAsia="Arial" w:hAnsi="Arial"/>
          <w:sz w:val="20"/>
          <w:szCs w:val="20"/>
          <w:color w:val="auto"/>
        </w:rPr>
        <w:t>default under (i) any agreement or instrument binding or affecting it or its property; (ii) its charter documents or bylaws; or (iii) any order, writ, injunction or decree of any court or governmental authority entered against it or by which any of its property is bound.</w:t>
      </w:r>
    </w:p>
    <w:p>
      <w:pPr>
        <w:spacing w:after="0" w:line="56" w:lineRule="exact"/>
        <w:rPr>
          <w:sz w:val="20"/>
          <w:szCs w:val="20"/>
          <w:color w:val="auto"/>
        </w:rPr>
      </w:pPr>
    </w:p>
    <w:p>
      <w:pPr>
        <w:jc w:val="both"/>
        <w:ind w:left="500" w:hanging="499"/>
        <w:spacing w:after="0" w:line="320"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19"/>
          <w:szCs w:val="19"/>
          <w:color w:val="auto"/>
        </w:rPr>
        <w:t>Siegfried represents, warrants and covenants to Jazz that all Product Manufactured pursuant to this Agreement shall</w:t>
      </w:r>
      <w:r>
        <w:rPr>
          <w:rFonts w:ascii="Arial" w:cs="Arial" w:eastAsia="Arial" w:hAnsi="Arial"/>
          <w:sz w:val="22"/>
          <w:szCs w:val="22"/>
          <w:color w:val="auto"/>
        </w:rPr>
        <w:t xml:space="preserve"> </w:t>
      </w:r>
      <w:r>
        <w:rPr>
          <w:rFonts w:ascii="Arial" w:cs="Arial" w:eastAsia="Arial" w:hAnsi="Arial"/>
          <w:sz w:val="19"/>
          <w:szCs w:val="19"/>
          <w:color w:val="auto"/>
        </w:rPr>
        <w:t>conform with Specifications, Applicable Law and the Master Batch Record upon delivery and all Product has been Manufactured in accordance with cGMP and the material provisions of the Quality Agreement.</w:t>
      </w:r>
    </w:p>
    <w:p>
      <w:pPr>
        <w:spacing w:after="0" w:line="39" w:lineRule="exact"/>
        <w:rPr>
          <w:sz w:val="20"/>
          <w:szCs w:val="20"/>
          <w:color w:val="auto"/>
        </w:rPr>
      </w:pPr>
    </w:p>
    <w:p>
      <w:pPr>
        <w:jc w:val="both"/>
        <w:ind w:left="500" w:hanging="499"/>
        <w:spacing w:after="0" w:line="322"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19"/>
          <w:szCs w:val="19"/>
          <w:color w:val="auto"/>
        </w:rPr>
        <w:t>Jazz represents, warrants and covenants that the Technology and the Consigned Materials provided to Siegfried by or on</w:t>
      </w:r>
      <w:r>
        <w:rPr>
          <w:rFonts w:ascii="Arial" w:cs="Arial" w:eastAsia="Arial" w:hAnsi="Arial"/>
          <w:sz w:val="22"/>
          <w:szCs w:val="22"/>
          <w:color w:val="auto"/>
        </w:rPr>
        <w:t xml:space="preserve"> </w:t>
      </w:r>
      <w:r>
        <w:rPr>
          <w:rFonts w:ascii="Arial" w:cs="Arial" w:eastAsia="Arial" w:hAnsi="Arial"/>
          <w:sz w:val="19"/>
          <w:szCs w:val="19"/>
          <w:color w:val="auto"/>
        </w:rPr>
        <w:t>behalf of Jazz hereunder, and used by Siegfried for the performance of its obligations in accordance with the terms of this Agreement and Jazz’s instructions, does not infringe or misappropriate and, to the best of Jazz’ knowledge, will not infringe or misappropriate the Intellectual Property Rights of any third party.</w:t>
      </w:r>
    </w:p>
    <w:p>
      <w:pPr>
        <w:spacing w:after="0" w:line="37" w:lineRule="exact"/>
        <w:rPr>
          <w:sz w:val="20"/>
          <w:szCs w:val="20"/>
          <w:color w:val="auto"/>
        </w:rPr>
      </w:pPr>
    </w:p>
    <w:p>
      <w:pPr>
        <w:jc w:val="both"/>
        <w:ind w:left="500" w:hanging="499"/>
        <w:spacing w:after="0" w:line="314"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19"/>
          <w:szCs w:val="19"/>
          <w:color w:val="auto"/>
        </w:rPr>
        <w:t>EXCEPT</w:t>
      </w:r>
      <w:r>
        <w:rPr>
          <w:sz w:val="20"/>
          <w:szCs w:val="20"/>
          <w:color w:val="auto"/>
        </w:rPr>
        <w:t xml:space="preserve"> </w:t>
      </w:r>
      <w:r>
        <w:rPr>
          <w:rFonts w:ascii="Arial" w:cs="Arial" w:eastAsia="Arial" w:hAnsi="Arial"/>
          <w:sz w:val="20"/>
          <w:szCs w:val="20"/>
          <w:color w:val="auto"/>
        </w:rPr>
        <w:t>AS EXPRESSLY WARRANTED IN THIS AGREEMENT, NEITHER PARTY EXTENDS ANY OTHER WARRANTIES OR REPRESENTATIONS COVERING THE PRODUCT OR THE TECHNOLOGY, EXPRESS OR IMPLIED, AND EACH PARTY EXPRESSLY DISCLAIMS ALL IMPLIED WARRANTIES, INCLUDING THE WARRANTY OF MERCHANTABILITY AND FITNESS FOR A PARTICULAR PURPOSE. EACH PARTY’S LIABILITY UNDER THESE WARRANTY PROVISIONS SHALL BE STRICTLY LIMITED TO THE REMEDIES PROVIDED FOR UNDER THIS AGREEMENT.</w:t>
      </w:r>
    </w:p>
    <w:p>
      <w:pPr>
        <w:spacing w:after="0" w:line="200" w:lineRule="exact"/>
        <w:rPr>
          <w:sz w:val="20"/>
          <w:szCs w:val="20"/>
          <w:color w:val="auto"/>
        </w:rPr>
      </w:pPr>
    </w:p>
    <w:p>
      <w:pPr>
        <w:spacing w:after="0" w:line="260"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22"/>
          <w:szCs w:val="22"/>
          <w:b w:val="1"/>
          <w:bCs w:val="1"/>
          <w:color w:val="auto"/>
        </w:rPr>
      </w:pPr>
      <w:r>
        <w:rPr>
          <w:rFonts w:ascii="Arial" w:cs="Arial" w:eastAsia="Arial" w:hAnsi="Arial"/>
          <w:sz w:val="20"/>
          <w:szCs w:val="20"/>
          <w:b w:val="1"/>
          <w:bCs w:val="1"/>
          <w:color w:val="auto"/>
        </w:rPr>
        <w:t>Liability and Indemnity</w:t>
      </w:r>
    </w:p>
    <w:p>
      <w:pPr>
        <w:spacing w:after="0" w:line="119" w:lineRule="exact"/>
        <w:rPr>
          <w:sz w:val="20"/>
          <w:szCs w:val="20"/>
          <w:color w:val="auto"/>
        </w:rPr>
      </w:pPr>
    </w:p>
    <w:p>
      <w:pPr>
        <w:jc w:val="both"/>
        <w:ind w:left="500" w:hanging="499"/>
        <w:spacing w:after="0" w:line="325"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19"/>
          <w:szCs w:val="19"/>
          <w:color w:val="auto"/>
        </w:rPr>
        <w:t>If Siegfried is unable to meet the delivery dates or other agreed time lines regarding the delivery of Product, or in case</w:t>
      </w:r>
      <w:r>
        <w:rPr>
          <w:rFonts w:ascii="Arial" w:cs="Arial" w:eastAsia="Arial" w:hAnsi="Arial"/>
          <w:sz w:val="22"/>
          <w:szCs w:val="22"/>
          <w:color w:val="auto"/>
        </w:rPr>
        <w:t xml:space="preserve"> </w:t>
      </w:r>
      <w:r>
        <w:rPr>
          <w:rFonts w:ascii="Arial" w:cs="Arial" w:eastAsia="Arial" w:hAnsi="Arial"/>
          <w:sz w:val="19"/>
          <w:szCs w:val="19"/>
          <w:color w:val="auto"/>
        </w:rPr>
        <w:t>Product does not comply with Specifications, Applicable Law, cGMP or the Quality Agreement upon delivery and is rejected by Jazz (acting reasonably) in accordance with Section 4, Siegfried shall promptly, at Jazz’s election: (i) for delayed delivery, use all commercially reasonable efforts to deliver the delayed Product as soon as possible after the original delivery date (or such later date as may be agreed by Jazz, acting reasonably), at no additional cost to Jazz and Siegfried shall bear the reasonable and documented transport costs for expedited delivery; (ii) for non-conforming Product, (a) replace any rightfully rejected Product with conforming Product as soon as possible (or such later date as may be as agreed by Jazz, acting reasonably) at no additional cost to Jazz or, if delivery of conforming Product is not possible within reasonable additional time, Siegfried shall refund to or credit Jazz all amounts paid by Jazz to Siegfried for such rightfully rejected Product, and (b) Siegfried shall bear the reasonable and documented transport, packaging, and destruction costs for such non-conforming Product. As agreed by the parties pursuant to Section 2.3, and upon Jazz’ written notification as per Section 2.3, Jazz may temporally purchase (i) more than forty-percent (40%) of its requirements of API and/or (ii) more than sixty-percent (60%) of its requirements of Drug Product from other suppliers without constituting a breach of its</w:t>
      </w:r>
    </w:p>
    <w:p>
      <w:pPr>
        <w:spacing w:after="0" w:line="20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color w:val="auto"/>
        </w:rPr>
        <w:t>26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2" w:lineRule="auto"/>
        <w:rPr>
          <w:sz w:val="20"/>
          <w:szCs w:val="20"/>
          <w:color w:val="auto"/>
        </w:rPr>
      </w:pPr>
      <w:r>
        <w:rPr>
          <w:rFonts w:ascii="Arial" w:cs="Arial" w:eastAsia="Arial" w:hAnsi="Arial"/>
          <w:sz w:val="20"/>
          <w:szCs w:val="20"/>
          <w:color w:val="auto"/>
        </w:rPr>
        <w:t>obligations under Section 2.3 and without any penalty, surcharge or Volume Shortfall payment being due or owing (pursuant to Section 2.3a) or 2.3b)). Except in the case of Siegfried’s gross negligence or willful misconduct, and with the exception of the remedy set forth under Section 14.2 below, such delivery, replacement, credit or refund shall be the only remedy available to Jazz in case of late deliveries or non-conforming Product.</w:t>
      </w:r>
    </w:p>
    <w:p>
      <w:pPr>
        <w:spacing w:after="0" w:line="71" w:lineRule="exact"/>
        <w:rPr>
          <w:sz w:val="20"/>
          <w:szCs w:val="20"/>
          <w:color w:val="auto"/>
        </w:rPr>
      </w:pPr>
    </w:p>
    <w:p>
      <w:pPr>
        <w:jc w:val="both"/>
        <w:ind w:left="500" w:hanging="499"/>
        <w:spacing w:after="0" w:line="350"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19"/>
          <w:szCs w:val="19"/>
          <w:color w:val="auto"/>
        </w:rPr>
        <w:t>If Siegfried fails to deliver conforming Drug Product within a grace period of [ * ] after the original delivery date on [ * ]</w:t>
      </w:r>
      <w:r>
        <w:rPr>
          <w:rFonts w:ascii="Arial" w:cs="Arial" w:eastAsia="Arial" w:hAnsi="Arial"/>
          <w:sz w:val="22"/>
          <w:szCs w:val="22"/>
          <w:color w:val="auto"/>
        </w:rPr>
        <w:t xml:space="preserve"> </w:t>
      </w:r>
      <w:r>
        <w:rPr>
          <w:rFonts w:ascii="Arial" w:cs="Arial" w:eastAsia="Arial" w:hAnsi="Arial"/>
          <w:sz w:val="19"/>
          <w:szCs w:val="19"/>
          <w:color w:val="auto"/>
        </w:rPr>
        <w:t>consecutive occasions within [ * ] (excluding, without limitation, due to any Force Majeure Event or any reason caused due to an act or omission of Jazz) (</w:t>
      </w:r>
      <w:r>
        <w:rPr>
          <w:rFonts w:ascii="Arial" w:cs="Arial" w:eastAsia="Arial" w:hAnsi="Arial"/>
          <w:sz w:val="19"/>
          <w:szCs w:val="19"/>
          <w:b w:val="1"/>
          <w:bCs w:val="1"/>
          <w:color w:val="auto"/>
        </w:rPr>
        <w:t>Delivery Shortfall</w:t>
      </w:r>
      <w:r>
        <w:rPr>
          <w:rFonts w:ascii="Arial" w:cs="Arial" w:eastAsia="Arial" w:hAnsi="Arial"/>
          <w:sz w:val="19"/>
          <w:szCs w:val="19"/>
          <w:color w:val="auto"/>
        </w:rPr>
        <w:t>), Jazz shall be entitled to terminate this Agreement, either in whole or in part, upon [ * ] written notice to Siegfried.</w:t>
      </w:r>
    </w:p>
    <w:p>
      <w:pPr>
        <w:spacing w:after="0" w:line="53" w:lineRule="exact"/>
        <w:rPr>
          <w:sz w:val="20"/>
          <w:szCs w:val="20"/>
          <w:color w:val="auto"/>
        </w:rPr>
      </w:pPr>
    </w:p>
    <w:p>
      <w:pPr>
        <w:jc w:val="both"/>
        <w:ind w:left="500" w:hanging="499"/>
        <w:spacing w:after="0" w:line="333"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19"/>
          <w:szCs w:val="19"/>
          <w:color w:val="auto"/>
        </w:rPr>
        <w:t>Siegfried shall indemnify, defend and hold Jazz, its directors, officers, employees and Affiliates, harmless against all Losses</w:t>
      </w:r>
      <w:r>
        <w:rPr>
          <w:rFonts w:ascii="Arial" w:cs="Arial" w:eastAsia="Arial" w:hAnsi="Arial"/>
          <w:sz w:val="22"/>
          <w:szCs w:val="22"/>
          <w:color w:val="auto"/>
        </w:rPr>
        <w:t xml:space="preserve"> </w:t>
      </w:r>
      <w:r>
        <w:rPr>
          <w:rFonts w:ascii="Arial" w:cs="Arial" w:eastAsia="Arial" w:hAnsi="Arial"/>
          <w:sz w:val="19"/>
          <w:szCs w:val="19"/>
          <w:color w:val="auto"/>
        </w:rPr>
        <w:t>arising out of or in connection with third party claims, suits, actions, demands or judgments to the extent arising out of (i) the breach of any of Siegfried's obligations, warranties or representations under this Agreement, except to the extent such Losses are caused by Jazz’s negligence or willful misconduct.</w:t>
      </w:r>
    </w:p>
    <w:p>
      <w:pPr>
        <w:spacing w:after="0" w:line="69" w:lineRule="exact"/>
        <w:rPr>
          <w:sz w:val="20"/>
          <w:szCs w:val="20"/>
          <w:color w:val="auto"/>
        </w:rPr>
      </w:pPr>
    </w:p>
    <w:p>
      <w:pPr>
        <w:jc w:val="both"/>
        <w:ind w:left="500" w:hanging="499"/>
        <w:spacing w:after="0" w:line="338"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19"/>
          <w:szCs w:val="19"/>
          <w:color w:val="auto"/>
        </w:rPr>
        <w:t>Jazz shall indemnify, defend and hold Siegfried, its directors, officers, employees and Affiliates harmless against all Losses,</w:t>
      </w:r>
      <w:r>
        <w:rPr>
          <w:rFonts w:ascii="Arial" w:cs="Arial" w:eastAsia="Arial" w:hAnsi="Arial"/>
          <w:sz w:val="22"/>
          <w:szCs w:val="22"/>
          <w:color w:val="auto"/>
        </w:rPr>
        <w:t xml:space="preserve"> </w:t>
      </w:r>
      <w:r>
        <w:rPr>
          <w:rFonts w:ascii="Arial" w:cs="Arial" w:eastAsia="Arial" w:hAnsi="Arial"/>
          <w:sz w:val="19"/>
          <w:szCs w:val="19"/>
          <w:color w:val="auto"/>
        </w:rPr>
        <w:t>arising out of or in connection with third party claims, suits, actions, demands or judgments to the extent arising out of (i) the breach of any of Jazz's obligations, warranties or representations under this Agreement, of (ii) the death of or injury to any person or any damage to property caused by Jazz’ commercialization or use of Product except to the extent such Losses are caused by Siegfried's negligence or willful misconduct.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14.5 </w:t>
      </w:r>
      <w:r>
        <w:rPr>
          <w:rFonts w:ascii="Arial" w:cs="Arial" w:eastAsia="Arial" w:hAnsi="Arial"/>
          <w:sz w:val="19"/>
          <w:szCs w:val="19"/>
          <w:color w:val="auto"/>
        </w:rPr>
        <w:t>With respect to any indemnification obligation under this Agreement, the following conditions shall be applicable:</w:t>
      </w:r>
    </w:p>
    <w:p>
      <w:pPr>
        <w:spacing w:after="0" w:line="155" w:lineRule="exact"/>
        <w:rPr>
          <w:sz w:val="20"/>
          <w:szCs w:val="20"/>
          <w:color w:val="auto"/>
        </w:rPr>
      </w:pPr>
    </w:p>
    <w:p>
      <w:pPr>
        <w:ind w:left="980" w:right="100" w:hanging="486"/>
        <w:spacing w:after="0" w:line="317"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Party seeking to be indemnified shall notify the indemnifying Party promptly in writing of any claim which may give rise to an obligation on the part of the indemnifying Party hereunder; and</w:t>
      </w:r>
    </w:p>
    <w:p>
      <w:pPr>
        <w:spacing w:after="0" w:line="67" w:lineRule="exact"/>
        <w:rPr>
          <w:rFonts w:ascii="Arial" w:cs="Arial" w:eastAsia="Arial" w:hAnsi="Arial"/>
          <w:sz w:val="20"/>
          <w:szCs w:val="20"/>
          <w:color w:val="auto"/>
        </w:rPr>
      </w:pPr>
    </w:p>
    <w:p>
      <w:pPr>
        <w:ind w:left="980" w:right="480" w:hanging="486"/>
        <w:spacing w:after="0" w:line="346" w:lineRule="auto"/>
        <w:tabs>
          <w:tab w:leader="none" w:pos="9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indemnifying Party shall be allowed to timely take the sole control of the defense of any such action and claim, including all negotiations for the settlement, or compromise of such claim or action at its sole expense; and</w:t>
      </w:r>
    </w:p>
    <w:p>
      <w:pPr>
        <w:spacing w:after="0" w:line="45" w:lineRule="exact"/>
        <w:rPr>
          <w:rFonts w:ascii="Arial" w:cs="Arial" w:eastAsia="Arial" w:hAnsi="Arial"/>
          <w:sz w:val="19"/>
          <w:szCs w:val="19"/>
          <w:color w:val="auto"/>
        </w:rPr>
      </w:pPr>
    </w:p>
    <w:p>
      <w:pPr>
        <w:ind w:left="980" w:right="140" w:hanging="486"/>
        <w:spacing w:after="0" w:line="317"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Party to be indemnified shall, at the expense of the indemnifying Party, render reasonable assistance, information, co-operation and authority to permit the indemnifying Party to defend such action; and</w:t>
      </w:r>
    </w:p>
    <w:p>
      <w:pPr>
        <w:spacing w:after="0" w:line="67" w:lineRule="exact"/>
        <w:rPr>
          <w:rFonts w:ascii="Arial" w:cs="Arial" w:eastAsia="Arial" w:hAnsi="Arial"/>
          <w:sz w:val="20"/>
          <w:szCs w:val="20"/>
          <w:color w:val="auto"/>
        </w:rPr>
      </w:pPr>
    </w:p>
    <w:p>
      <w:pPr>
        <w:ind w:left="980" w:right="280" w:hanging="486"/>
        <w:spacing w:after="0" w:line="317"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 settlement or compromise shall be binding on a Party hereto without its prior written consent, which consent shall not be unreasonably withheld, conditioned or delayed.</w:t>
      </w:r>
    </w:p>
    <w:p>
      <w:pPr>
        <w:spacing w:after="0" w:line="215"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72" w:name="page173"/>
    <w:bookmarkEnd w:id="172"/>
    <w:p>
      <w:pPr>
        <w:ind w:left="10972"/>
        <w:spacing w:after="0"/>
        <w:rPr>
          <w:sz w:val="20"/>
          <w:szCs w:val="20"/>
          <w:color w:val="auto"/>
        </w:rPr>
      </w:pPr>
      <w:r>
        <w:rPr>
          <w:rFonts w:ascii="Arial" w:cs="Arial" w:eastAsia="Arial" w:hAnsi="Arial"/>
          <w:sz w:val="14"/>
          <w:szCs w:val="14"/>
          <w:color w:val="auto"/>
        </w:rPr>
        <w:t>27 / 37</w:t>
      </w:r>
    </w:p>
    <w:p>
      <w:pPr>
        <w:spacing w:after="0" w:line="200" w:lineRule="exact"/>
        <w:rPr>
          <w:sz w:val="20"/>
          <w:szCs w:val="20"/>
          <w:color w:val="auto"/>
        </w:rPr>
      </w:pPr>
    </w:p>
    <w:p>
      <w:pPr>
        <w:spacing w:after="0" w:line="249" w:lineRule="exact"/>
        <w:rPr>
          <w:sz w:val="20"/>
          <w:szCs w:val="20"/>
          <w:color w:val="auto"/>
        </w:rPr>
      </w:pPr>
    </w:p>
    <w:p>
      <w:pPr>
        <w:jc w:val="both"/>
        <w:ind w:left="492" w:hanging="499"/>
        <w:spacing w:after="0" w:line="323"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19"/>
          <w:szCs w:val="19"/>
          <w:color w:val="auto"/>
        </w:rPr>
        <w:t>During the Term of this Agreement, Siegfried and Jazz shall each obtain and carry in full force and effect adequate</w:t>
      </w:r>
      <w:r>
        <w:rPr>
          <w:rFonts w:ascii="Arial" w:cs="Arial" w:eastAsia="Arial" w:hAnsi="Arial"/>
          <w:sz w:val="22"/>
          <w:szCs w:val="22"/>
          <w:color w:val="auto"/>
        </w:rPr>
        <w:t xml:space="preserve"> </w:t>
      </w:r>
      <w:r>
        <w:rPr>
          <w:rFonts w:ascii="Arial" w:cs="Arial" w:eastAsia="Arial" w:hAnsi="Arial"/>
          <w:sz w:val="19"/>
          <w:szCs w:val="19"/>
          <w:color w:val="auto"/>
        </w:rPr>
        <w:t>commercial, general liability insurance as common in the industry, including product liability insurance, which shall protect the Parties with respect to liability claims covered by Sections 14.3 and 14.4. Such insurance shall be written by a reputable insurance company and shall be endorsed to include product liability coverage. A Party shall provide another Party on request with a copy of certificates of insurance evidencing the same.</w:t>
      </w:r>
    </w:p>
    <w:p>
      <w:pPr>
        <w:spacing w:after="0" w:line="50" w:lineRule="exact"/>
        <w:rPr>
          <w:sz w:val="20"/>
          <w:szCs w:val="20"/>
          <w:color w:val="auto"/>
        </w:rPr>
      </w:pPr>
    </w:p>
    <w:p>
      <w:pPr>
        <w:jc w:val="both"/>
        <w:ind w:left="492" w:hanging="499"/>
        <w:spacing w:after="0" w:line="323"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19"/>
          <w:szCs w:val="19"/>
          <w:color w:val="auto"/>
        </w:rPr>
        <w:t>NEITHER PARTY SHALL BE LIABLE TO THE OTHER FOR SPECIAL, PUNITIVE, INCIDENTAL, INDIRECT (EXCEPT</w:t>
      </w:r>
      <w:r>
        <w:rPr>
          <w:rFonts w:ascii="Arial" w:cs="Arial" w:eastAsia="Arial" w:hAnsi="Arial"/>
          <w:sz w:val="22"/>
          <w:szCs w:val="22"/>
          <w:color w:val="auto"/>
        </w:rPr>
        <w:t xml:space="preserve"> </w:t>
      </w:r>
      <w:r>
        <w:rPr>
          <w:rFonts w:ascii="Arial" w:cs="Arial" w:eastAsia="Arial" w:hAnsi="Arial"/>
          <w:sz w:val="19"/>
          <w:szCs w:val="19"/>
          <w:color w:val="auto"/>
        </w:rPr>
        <w:t>WITH RESPECT TO THE INDEMNIFICATION AGAINST CLAIMS OF THIRD PARTIES UNDER SECTION 14), OR CONSEQUENTIAL DAMAGES OF THE OTHER PARTY OR ANY THIRD PARTY, INCLUDING BUT NOT LIMITED TO CLAIMS BASED ON LOST PROFITS, LOSS OF TIME, LOSS OF OPPORTUNITY OR ANY OTHER ECONOMIC LOSS SUFFERED OR INCURRED AS A RESULT OF THIS AGREEMENT.</w:t>
      </w:r>
    </w:p>
    <w:p>
      <w:pPr>
        <w:spacing w:after="0" w:line="50" w:lineRule="exact"/>
        <w:rPr>
          <w:sz w:val="20"/>
          <w:szCs w:val="20"/>
          <w:color w:val="auto"/>
        </w:rPr>
      </w:pPr>
    </w:p>
    <w:p>
      <w:pPr>
        <w:jc w:val="both"/>
        <w:ind w:left="492" w:hanging="499"/>
        <w:spacing w:after="0" w:line="322"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19"/>
          <w:szCs w:val="19"/>
          <w:color w:val="auto"/>
        </w:rPr>
        <w:t>WITH THE EXCEPTION OF ANY LIABILITY ARISING DUE TO GROSS NEGLIGENCE, FRAUD, WILFUL MISCONDUCT</w:t>
      </w:r>
      <w:r>
        <w:rPr>
          <w:rFonts w:ascii="Arial" w:cs="Arial" w:eastAsia="Arial" w:hAnsi="Arial"/>
          <w:sz w:val="22"/>
          <w:szCs w:val="22"/>
          <w:color w:val="auto"/>
        </w:rPr>
        <w:t xml:space="preserve"> </w:t>
      </w:r>
      <w:r>
        <w:rPr>
          <w:rFonts w:ascii="Arial" w:cs="Arial" w:eastAsia="Arial" w:hAnsi="Arial"/>
          <w:sz w:val="19"/>
          <w:szCs w:val="19"/>
          <w:color w:val="auto"/>
        </w:rPr>
        <w:t>OR BREACH OF SECTION 10 (CONFIDENTIAL INFORMATION) OR SECTION 11 (INTELLECTUAL PROPERTY) HEREOF, AND IF AND TO THE EXTENT PERMITTED BY APPLICABLE LAW, EACH PARTY'S MAXIMUM LIABILITY UNDER THIS AGREEMENT SHALL BE LIMITED TO [ * ].</w:t>
      </w:r>
    </w:p>
    <w:p>
      <w:pPr>
        <w:spacing w:after="0" w:line="165" w:lineRule="exact"/>
        <w:rPr>
          <w:sz w:val="20"/>
          <w:szCs w:val="20"/>
          <w:color w:val="auto"/>
        </w:rPr>
      </w:pPr>
    </w:p>
    <w:p>
      <w:pPr>
        <w:ind w:left="492" w:hanging="492"/>
        <w:spacing w:after="0"/>
        <w:tabs>
          <w:tab w:leader="none" w:pos="492" w:val="left"/>
        </w:tabs>
        <w:numPr>
          <w:ilvl w:val="0"/>
          <w:numId w:val="92"/>
        </w:numPr>
        <w:rPr>
          <w:rFonts w:ascii="Arial" w:cs="Arial" w:eastAsia="Arial" w:hAnsi="Arial"/>
          <w:sz w:val="22"/>
          <w:szCs w:val="22"/>
          <w:b w:val="1"/>
          <w:bCs w:val="1"/>
          <w:color w:val="auto"/>
        </w:rPr>
      </w:pPr>
      <w:r>
        <w:rPr>
          <w:rFonts w:ascii="Arial" w:cs="Arial" w:eastAsia="Arial" w:hAnsi="Arial"/>
          <w:sz w:val="20"/>
          <w:szCs w:val="20"/>
          <w:b w:val="1"/>
          <w:bCs w:val="1"/>
          <w:color w:val="auto"/>
        </w:rPr>
        <w:t>Anti-Bribery and Anti-Corruption</w:t>
      </w:r>
    </w:p>
    <w:p>
      <w:pPr>
        <w:spacing w:after="0" w:line="133" w:lineRule="exact"/>
        <w:rPr>
          <w:sz w:val="20"/>
          <w:szCs w:val="20"/>
          <w:color w:val="auto"/>
        </w:rPr>
      </w:pPr>
    </w:p>
    <w:p>
      <w:pPr>
        <w:jc w:val="both"/>
        <w:ind w:left="492" w:hanging="499"/>
        <w:spacing w:after="0" w:line="323"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19"/>
          <w:szCs w:val="19"/>
          <w:color w:val="auto"/>
        </w:rPr>
        <w:t>Each Party shall comply fully at all times with all applicable laws and regulations, including without limitation any applicable</w:t>
      </w:r>
      <w:r>
        <w:rPr>
          <w:rFonts w:ascii="Arial" w:cs="Arial" w:eastAsia="Arial" w:hAnsi="Arial"/>
          <w:sz w:val="22"/>
          <w:szCs w:val="22"/>
          <w:color w:val="auto"/>
        </w:rPr>
        <w:t xml:space="preserve"> </w:t>
      </w:r>
      <w:r>
        <w:rPr>
          <w:rFonts w:ascii="Arial" w:cs="Arial" w:eastAsia="Arial" w:hAnsi="Arial"/>
          <w:sz w:val="19"/>
          <w:szCs w:val="19"/>
          <w:color w:val="auto"/>
        </w:rPr>
        <w:t xml:space="preserve">anti-corruption laws, regulations and standards, of the territories in which Jazz or Siegfried, respectively, conduct business or activities hereunder or which are relevant to the operation of this Agreement (including but not limited to the U.S. Foreign Corrupt Practices Act and the U.K. Bribery Act 2010) (collectively, the </w:t>
      </w:r>
      <w:r>
        <w:rPr>
          <w:rFonts w:ascii="Arial" w:cs="Arial" w:eastAsia="Arial" w:hAnsi="Arial"/>
          <w:sz w:val="19"/>
          <w:szCs w:val="19"/>
          <w:b w:val="1"/>
          <w:bCs w:val="1"/>
          <w:color w:val="auto"/>
        </w:rPr>
        <w:t>Anti-Corruption Laws</w:t>
      </w:r>
      <w:r>
        <w:rPr>
          <w:rFonts w:ascii="Arial" w:cs="Arial" w:eastAsia="Arial" w:hAnsi="Arial"/>
          <w:sz w:val="19"/>
          <w:szCs w:val="19"/>
          <w:color w:val="auto"/>
        </w:rPr>
        <w:t>). Each Party will ensure that its personnel have read, understood and shall comply with the Anti-Corruption Laws.</w:t>
      </w:r>
    </w:p>
    <w:p>
      <w:pPr>
        <w:spacing w:after="0" w:line="50" w:lineRule="exact"/>
        <w:rPr>
          <w:sz w:val="20"/>
          <w:szCs w:val="20"/>
          <w:color w:val="auto"/>
        </w:rPr>
      </w:pPr>
    </w:p>
    <w:p>
      <w:pPr>
        <w:jc w:val="both"/>
        <w:ind w:left="492" w:hanging="499"/>
        <w:spacing w:after="0" w:line="323"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19"/>
          <w:szCs w:val="19"/>
          <w:color w:val="auto"/>
        </w:rPr>
        <w:t>Each Party shall at all times comply with their respective code of conducts. Any non-compliance of the Anti-Corruption Laws</w:t>
      </w:r>
      <w:r>
        <w:rPr>
          <w:rFonts w:ascii="Arial" w:cs="Arial" w:eastAsia="Arial" w:hAnsi="Arial"/>
          <w:sz w:val="22"/>
          <w:szCs w:val="22"/>
          <w:color w:val="auto"/>
        </w:rPr>
        <w:t xml:space="preserve"> </w:t>
      </w:r>
      <w:r>
        <w:rPr>
          <w:rFonts w:ascii="Arial" w:cs="Arial" w:eastAsia="Arial" w:hAnsi="Arial"/>
          <w:sz w:val="19"/>
          <w:szCs w:val="19"/>
          <w:color w:val="auto"/>
        </w:rPr>
        <w:t xml:space="preserve">or otherwise relevant in connection with this Agreement shall be reported to the other Party without any delay. Siegfried acknowledges that Jazz’s Code of Conduct is available online at </w:t>
      </w:r>
      <w:r>
        <w:rPr>
          <w:rFonts w:ascii="Arial" w:cs="Arial" w:eastAsia="Arial" w:hAnsi="Arial"/>
          <w:sz w:val="19"/>
          <w:szCs w:val="19"/>
          <w:b w:val="1"/>
          <w:bCs w:val="1"/>
          <w:color w:val="auto"/>
        </w:rPr>
        <w:t>www.jazzpharmaceuticals.com</w:t>
      </w:r>
      <w:r>
        <w:rPr>
          <w:rFonts w:ascii="Arial" w:cs="Arial" w:eastAsia="Arial" w:hAnsi="Arial"/>
          <w:sz w:val="19"/>
          <w:szCs w:val="19"/>
          <w:color w:val="auto"/>
        </w:rPr>
        <w:t xml:space="preserve"> or will be handed out as a hard copy upon request. Jazz acknowledges that Siegfried’s Code of Business Conduct is available online at </w:t>
      </w:r>
      <w:r>
        <w:rPr>
          <w:rFonts w:ascii="Arial" w:cs="Arial" w:eastAsia="Arial" w:hAnsi="Arial"/>
          <w:sz w:val="19"/>
          <w:szCs w:val="19"/>
          <w:b w:val="1"/>
          <w:bCs w:val="1"/>
          <w:color w:val="auto"/>
        </w:rPr>
        <w:t xml:space="preserve">www.siegfried.ch </w:t>
      </w:r>
      <w:r>
        <w:rPr>
          <w:rFonts w:ascii="Arial" w:cs="Arial" w:eastAsia="Arial" w:hAnsi="Arial"/>
          <w:sz w:val="19"/>
          <w:szCs w:val="19"/>
          <w:color w:val="auto"/>
        </w:rPr>
        <w:t>or will be handed out as a hard copy upon request.</w:t>
      </w:r>
    </w:p>
    <w:p>
      <w:pPr>
        <w:spacing w:after="0" w:line="50" w:lineRule="exact"/>
        <w:rPr>
          <w:sz w:val="20"/>
          <w:szCs w:val="20"/>
          <w:color w:val="auto"/>
        </w:rPr>
      </w:pPr>
    </w:p>
    <w:p>
      <w:pPr>
        <w:jc w:val="both"/>
        <w:ind w:left="492" w:hanging="499"/>
        <w:spacing w:after="0" w:line="320"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19"/>
          <w:szCs w:val="19"/>
          <w:color w:val="auto"/>
        </w:rPr>
        <w:t>Without limiting its obligations under Sections 15.1 and 15.2, each Party agrees that it has not, and covenants that it will not,</w:t>
      </w:r>
      <w:r>
        <w:rPr>
          <w:rFonts w:ascii="Arial" w:cs="Arial" w:eastAsia="Arial" w:hAnsi="Arial"/>
          <w:sz w:val="22"/>
          <w:szCs w:val="22"/>
          <w:color w:val="auto"/>
        </w:rPr>
        <w:t xml:space="preserve"> </w:t>
      </w:r>
      <w:r>
        <w:rPr>
          <w:rFonts w:ascii="Arial" w:cs="Arial" w:eastAsia="Arial" w:hAnsi="Arial"/>
          <w:sz w:val="19"/>
          <w:szCs w:val="19"/>
          <w:color w:val="auto"/>
        </w:rPr>
        <w:t>in connection with the performance of this Agreement, promise, authorize, ratify or offer to make, or take any act in furtherance of any payment or transfer of anything of value, directly or indirectly: (i) to any individual</w:t>
      </w:r>
    </w:p>
    <w:p>
      <w:pPr>
        <w:spacing w:after="0" w:line="217" w:lineRule="exact"/>
        <w:rPr>
          <w:sz w:val="20"/>
          <w:szCs w:val="20"/>
          <w:color w:val="auto"/>
        </w:rPr>
      </w:pPr>
    </w:p>
    <w:tbl>
      <w:tblPr>
        <w:tblLayout w:type="fixed"/>
        <w:tblInd w:w="7132"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12"/>
          </w:cols>
          <w:pgMar w:left="248" w:top="145" w:right="239" w:bottom="1440" w:gutter="0" w:footer="0" w:header="0"/>
        </w:sectPr>
      </w:pPr>
    </w:p>
    <w:bookmarkStart w:id="173" w:name="page174"/>
    <w:bookmarkEnd w:id="173"/>
    <w:p>
      <w:pPr>
        <w:ind w:left="10972"/>
        <w:spacing w:after="0"/>
        <w:rPr>
          <w:sz w:val="20"/>
          <w:szCs w:val="20"/>
          <w:color w:val="auto"/>
        </w:rPr>
      </w:pPr>
      <w:r>
        <w:rPr>
          <w:rFonts w:ascii="Arial" w:cs="Arial" w:eastAsia="Arial" w:hAnsi="Arial"/>
          <w:sz w:val="14"/>
          <w:szCs w:val="14"/>
          <w:color w:val="auto"/>
        </w:rPr>
        <w:t>28 / 37</w:t>
      </w:r>
    </w:p>
    <w:p>
      <w:pPr>
        <w:spacing w:after="0" w:line="200" w:lineRule="exact"/>
        <w:rPr>
          <w:sz w:val="20"/>
          <w:szCs w:val="20"/>
          <w:color w:val="auto"/>
        </w:rPr>
      </w:pPr>
    </w:p>
    <w:p>
      <w:pPr>
        <w:spacing w:after="0" w:line="265" w:lineRule="exact"/>
        <w:rPr>
          <w:sz w:val="20"/>
          <w:szCs w:val="20"/>
          <w:color w:val="auto"/>
        </w:rPr>
      </w:pPr>
    </w:p>
    <w:p>
      <w:pPr>
        <w:jc w:val="both"/>
        <w:ind w:left="492"/>
        <w:spacing w:after="0" w:line="311" w:lineRule="auto"/>
        <w:rPr>
          <w:sz w:val="20"/>
          <w:szCs w:val="20"/>
          <w:color w:val="auto"/>
        </w:rPr>
      </w:pPr>
      <w:r>
        <w:rPr>
          <w:rFonts w:ascii="Arial" w:cs="Arial" w:eastAsia="Arial" w:hAnsi="Arial"/>
          <w:sz w:val="20"/>
          <w:szCs w:val="20"/>
          <w:color w:val="auto"/>
        </w:rPr>
        <w:t>including Government Officials; or (ii) to an intermediary for payment to any individual including Government Officials; or (iii) to any political party. For the purpose of this Section, “</w:t>
      </w:r>
      <w:r>
        <w:rPr>
          <w:rFonts w:ascii="Arial" w:cs="Arial" w:eastAsia="Arial" w:hAnsi="Arial"/>
          <w:sz w:val="20"/>
          <w:szCs w:val="20"/>
          <w:b w:val="1"/>
          <w:bCs w:val="1"/>
          <w:color w:val="auto"/>
        </w:rPr>
        <w:t>Government Official</w:t>
      </w:r>
      <w:r>
        <w:rPr>
          <w:rFonts w:ascii="Arial" w:cs="Arial" w:eastAsia="Arial" w:hAnsi="Arial"/>
          <w:sz w:val="20"/>
          <w:szCs w:val="20"/>
          <w:color w:val="auto"/>
        </w:rPr>
        <w:t>” means: (a) any officer or employee of a government or any department, agency or instrument of a government: (b) any person acting in an official capacity for or on behalf of a government or any department, agency, or instrument of a government; (c) any officer or employee of a company or business owned in whole or part by a government; (d) any officer or employee of a political party or any person acting in an official capacity on behalf of a political party; and/or (f) any candidate for political office.</w:t>
      </w:r>
    </w:p>
    <w:p>
      <w:pPr>
        <w:spacing w:after="0" w:line="100" w:lineRule="exact"/>
        <w:rPr>
          <w:sz w:val="20"/>
          <w:szCs w:val="20"/>
          <w:color w:val="auto"/>
        </w:rPr>
      </w:pPr>
    </w:p>
    <w:p>
      <w:pPr>
        <w:jc w:val="both"/>
        <w:ind w:left="492" w:hanging="499"/>
        <w:spacing w:after="0" w:line="350"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19"/>
          <w:szCs w:val="19"/>
          <w:color w:val="auto"/>
        </w:rPr>
        <w:t>Without limiting its obligations under Sections 15.1 and 15.2, each Party agrees and covenants that no payments or</w:t>
      </w:r>
      <w:r>
        <w:rPr>
          <w:rFonts w:ascii="Arial" w:cs="Arial" w:eastAsia="Arial" w:hAnsi="Arial"/>
          <w:sz w:val="22"/>
          <w:szCs w:val="22"/>
          <w:color w:val="auto"/>
        </w:rPr>
        <w:t xml:space="preserve"> </w:t>
      </w:r>
      <w:r>
        <w:rPr>
          <w:rFonts w:ascii="Arial" w:cs="Arial" w:eastAsia="Arial" w:hAnsi="Arial"/>
          <w:sz w:val="19"/>
          <w:szCs w:val="19"/>
          <w:color w:val="auto"/>
        </w:rPr>
        <w:t>transfers of value shall be made, promised, authorized, ratified or offered with the purpose or effect of public or commercial bribery, acceptance of or acquiescence in extortion, kickbacks or other unlawful or improper means of securing an improper advantage or obtaining or retaining business.</w:t>
      </w:r>
    </w:p>
    <w:p>
      <w:pPr>
        <w:spacing w:after="0" w:line="80" w:lineRule="exact"/>
        <w:rPr>
          <w:sz w:val="20"/>
          <w:szCs w:val="20"/>
          <w:color w:val="auto"/>
        </w:rPr>
      </w:pPr>
    </w:p>
    <w:p>
      <w:pPr>
        <w:jc w:val="both"/>
        <w:ind w:left="492" w:right="20" w:hanging="499"/>
        <w:spacing w:after="0" w:line="308"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19"/>
          <w:szCs w:val="19"/>
          <w:color w:val="auto"/>
        </w:rPr>
        <w:t>Each Party agrees and covenants that it has not permitted and will not permit anyone acting on its behalf to violate the Anti-Corruption Laws.</w:t>
      </w:r>
    </w:p>
    <w:p>
      <w:pPr>
        <w:spacing w:after="0" w:line="261" w:lineRule="exact"/>
        <w:rPr>
          <w:sz w:val="20"/>
          <w:szCs w:val="20"/>
          <w:color w:val="auto"/>
        </w:rPr>
      </w:pPr>
    </w:p>
    <w:p>
      <w:pPr>
        <w:ind w:left="492" w:hanging="492"/>
        <w:spacing w:after="0"/>
        <w:tabs>
          <w:tab w:leader="none" w:pos="492" w:val="left"/>
        </w:tabs>
        <w:numPr>
          <w:ilvl w:val="0"/>
          <w:numId w:val="93"/>
        </w:numPr>
        <w:rPr>
          <w:rFonts w:ascii="Arial" w:cs="Arial" w:eastAsia="Arial" w:hAnsi="Arial"/>
          <w:sz w:val="22"/>
          <w:szCs w:val="22"/>
          <w:b w:val="1"/>
          <w:bCs w:val="1"/>
          <w:color w:val="auto"/>
        </w:rPr>
      </w:pPr>
      <w:r>
        <w:rPr>
          <w:rFonts w:ascii="Arial" w:cs="Arial" w:eastAsia="Arial" w:hAnsi="Arial"/>
          <w:sz w:val="20"/>
          <w:szCs w:val="20"/>
          <w:b w:val="1"/>
          <w:bCs w:val="1"/>
          <w:color w:val="auto"/>
        </w:rPr>
        <w:t>Miscellaneous</w:t>
      </w:r>
    </w:p>
    <w:p>
      <w:pPr>
        <w:spacing w:after="0" w:line="183" w:lineRule="exact"/>
        <w:rPr>
          <w:sz w:val="20"/>
          <w:szCs w:val="20"/>
          <w:color w:val="auto"/>
        </w:rPr>
      </w:pPr>
    </w:p>
    <w:p>
      <w:pPr>
        <w:jc w:val="both"/>
        <w:ind w:left="492" w:hanging="499"/>
        <w:spacing w:after="0" w:line="311"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19"/>
          <w:szCs w:val="19"/>
          <w:i w:val="1"/>
          <w:iCs w:val="1"/>
          <w:u w:val="single" w:color="auto"/>
          <w:color w:val="auto"/>
        </w:rPr>
        <w:t>No set-off</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Neither Party shall be entitled to set off any of its rights or obligations under this Agreement against the rights or</w:t>
      </w:r>
      <w:r>
        <w:rPr>
          <w:rFonts w:ascii="Arial" w:cs="Arial" w:eastAsia="Arial" w:hAnsi="Arial"/>
          <w:sz w:val="22"/>
          <w:szCs w:val="22"/>
          <w:color w:val="auto"/>
        </w:rPr>
        <w:t xml:space="preserve"> </w:t>
      </w:r>
      <w:r>
        <w:rPr>
          <w:rFonts w:ascii="Arial" w:cs="Arial" w:eastAsia="Arial" w:hAnsi="Arial"/>
          <w:sz w:val="19"/>
          <w:szCs w:val="19"/>
          <w:color w:val="auto"/>
        </w:rPr>
        <w:t>obligations of another Party without having first obtained the prior written consent of that other Party.</w:t>
      </w:r>
    </w:p>
    <w:p>
      <w:pPr>
        <w:spacing w:after="0" w:line="101" w:lineRule="exact"/>
        <w:rPr>
          <w:sz w:val="20"/>
          <w:szCs w:val="20"/>
          <w:color w:val="auto"/>
        </w:rPr>
      </w:pPr>
    </w:p>
    <w:p>
      <w:pPr>
        <w:jc w:val="both"/>
        <w:ind w:left="492" w:hanging="499"/>
        <w:spacing w:after="0" w:line="351"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19"/>
          <w:szCs w:val="19"/>
          <w:i w:val="1"/>
          <w:iCs w:val="1"/>
          <w:u w:val="single" w:color="auto"/>
          <w:color w:val="auto"/>
        </w:rPr>
        <w:t>Sub-contracting</w:t>
      </w:r>
      <w:r>
        <w:rPr>
          <w:rFonts w:ascii="Arial" w:cs="Arial" w:eastAsia="Arial" w:hAnsi="Arial"/>
          <w:sz w:val="19"/>
          <w:szCs w:val="19"/>
          <w:color w:val="auto"/>
        </w:rPr>
        <w:t>. Other than laboratory services as is necessary, Siegfried shall not be permitted to subcontract</w:t>
      </w:r>
      <w:r>
        <w:rPr>
          <w:rFonts w:ascii="Arial" w:cs="Arial" w:eastAsia="Arial" w:hAnsi="Arial"/>
          <w:sz w:val="22"/>
          <w:szCs w:val="22"/>
          <w:color w:val="auto"/>
        </w:rPr>
        <w:t xml:space="preserve"> </w:t>
      </w:r>
      <w:r>
        <w:rPr>
          <w:rFonts w:ascii="Arial" w:cs="Arial" w:eastAsia="Arial" w:hAnsi="Arial"/>
          <w:sz w:val="19"/>
          <w:szCs w:val="19"/>
          <w:color w:val="auto"/>
        </w:rPr>
        <w:t>Manufacturing under this Agreement to any third party (other than certain activities hereunder to Siegfried Malta), without Jazz’s prior written consent. If a subcontractor is appointed by Siegfried, Siegfried shall be responsible for all work performed by, and all acts, omissions and breaches of, such subcontractor as if performed or made by itself.</w:t>
      </w:r>
    </w:p>
    <w:p>
      <w:pPr>
        <w:spacing w:after="0" w:line="76" w:lineRule="exact"/>
        <w:rPr>
          <w:sz w:val="20"/>
          <w:szCs w:val="20"/>
          <w:color w:val="auto"/>
        </w:rPr>
      </w:pPr>
    </w:p>
    <w:p>
      <w:pPr>
        <w:jc w:val="both"/>
        <w:ind w:left="492" w:hanging="499"/>
        <w:spacing w:after="0" w:line="355"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19"/>
          <w:szCs w:val="19"/>
          <w:i w:val="1"/>
          <w:iCs w:val="1"/>
          <w:u w:val="single" w:color="auto"/>
          <w:color w:val="auto"/>
        </w:rPr>
        <w:t>Force Majeure</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A Party shall be excused from performing its obligations under this Agreement (other than obligations of</w:t>
      </w:r>
      <w:r>
        <w:rPr>
          <w:rFonts w:ascii="Arial" w:cs="Arial" w:eastAsia="Arial" w:hAnsi="Arial"/>
          <w:sz w:val="22"/>
          <w:szCs w:val="22"/>
          <w:color w:val="auto"/>
        </w:rPr>
        <w:t xml:space="preserve"> </w:t>
      </w:r>
      <w:r>
        <w:rPr>
          <w:rFonts w:ascii="Arial" w:cs="Arial" w:eastAsia="Arial" w:hAnsi="Arial"/>
          <w:sz w:val="19"/>
          <w:szCs w:val="19"/>
          <w:color w:val="auto"/>
        </w:rPr>
        <w:t>payment) to the extent that its performance is delayed or prevented by any cause beyond such Party’s reasonable control, including, but not limited to, act of God (such as extreme weather), fire, (naturally caused) flood, explosion, disease, war, insurrection, civil strike, riots, government action power failure or energy shortages (</w:t>
      </w:r>
      <w:r>
        <w:rPr>
          <w:rFonts w:ascii="Arial" w:cs="Arial" w:eastAsia="Arial" w:hAnsi="Arial"/>
          <w:sz w:val="19"/>
          <w:szCs w:val="19"/>
          <w:b w:val="1"/>
          <w:bCs w:val="1"/>
          <w:color w:val="auto"/>
        </w:rPr>
        <w:t>Force Majeure Event</w:t>
      </w:r>
      <w:r>
        <w:rPr>
          <w:rFonts w:ascii="Arial" w:cs="Arial" w:eastAsia="Arial" w:hAnsi="Arial"/>
          <w:sz w:val="19"/>
          <w:szCs w:val="19"/>
          <w:color w:val="auto"/>
        </w:rPr>
        <w:t>). Performance shall be excused only to the extent of and during the reasonable continuance of such disability. Any deadline or time for performance specified in this Agreement that falls due during or subsequent to the occurrence of any of the disabilities referred to herein shall be automatically extended for a period of time equal to the period of such disability. The prevented Party shall immediately notify the other Party if, by reason of any Force Majeure Event, the prevented Party is unable to meet any deadline or time for performance specified in this Agreement. In the event that such Force Majeure Event cannot be removed or</w:t>
      </w:r>
    </w:p>
    <w:p>
      <w:pPr>
        <w:spacing w:after="0" w:line="200" w:lineRule="exact"/>
        <w:rPr>
          <w:sz w:val="20"/>
          <w:szCs w:val="20"/>
          <w:color w:val="auto"/>
        </w:rPr>
      </w:pPr>
    </w:p>
    <w:p>
      <w:pPr>
        <w:spacing w:after="0" w:line="344" w:lineRule="exact"/>
        <w:rPr>
          <w:sz w:val="20"/>
          <w:szCs w:val="20"/>
          <w:color w:val="auto"/>
        </w:rPr>
      </w:pPr>
    </w:p>
    <w:tbl>
      <w:tblPr>
        <w:tblLayout w:type="fixed"/>
        <w:tblInd w:w="7132"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12"/>
          </w:cols>
          <w:pgMar w:left="248" w:top="14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4"/>
          <w:szCs w:val="14"/>
          <w:color w:val="auto"/>
        </w:rPr>
        <w:t>29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2" w:lineRule="auto"/>
        <w:rPr>
          <w:sz w:val="20"/>
          <w:szCs w:val="20"/>
          <w:color w:val="auto"/>
        </w:rPr>
      </w:pPr>
      <w:r>
        <w:rPr>
          <w:rFonts w:ascii="Arial" w:cs="Arial" w:eastAsia="Arial" w:hAnsi="Arial"/>
          <w:sz w:val="20"/>
          <w:szCs w:val="20"/>
          <w:color w:val="auto"/>
        </w:rPr>
        <w:t>overcome within [ * ] (or such other period as the Parties jointly shall determine) from the date the Party affected first became affected, then the non-prevented Party may at any time after the expiration of such period, by written notice to the other Party, either (i) suspend this Agreement, in whole or in part, for as long as such Force Majeure Event continues to exist, or (ii) terminate this Agreement, in whole or in part, with immediate effect.</w:t>
      </w:r>
    </w:p>
    <w:p>
      <w:pPr>
        <w:spacing w:after="0" w:line="94" w:lineRule="exact"/>
        <w:rPr>
          <w:sz w:val="20"/>
          <w:szCs w:val="20"/>
          <w:color w:val="auto"/>
        </w:rPr>
      </w:pPr>
    </w:p>
    <w:p>
      <w:pPr>
        <w:jc w:val="both"/>
        <w:ind w:left="500" w:hanging="499"/>
        <w:spacing w:after="0" w:line="351"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19"/>
          <w:szCs w:val="19"/>
          <w:i w:val="1"/>
          <w:iCs w:val="1"/>
          <w:u w:val="single" w:color="auto"/>
          <w:color w:val="auto"/>
        </w:rPr>
        <w:t>Precedence of Agreement</w:t>
      </w:r>
      <w:r>
        <w:rPr>
          <w:rFonts w:ascii="Arial" w:cs="Arial" w:eastAsia="Arial" w:hAnsi="Arial"/>
          <w:sz w:val="19"/>
          <w:szCs w:val="19"/>
          <w:color w:val="auto"/>
        </w:rPr>
        <w:t>. Unless expressly agreed otherwise in writing, the terms outlined in this Agreement shall prevail</w:t>
      </w:r>
      <w:r>
        <w:rPr>
          <w:rFonts w:ascii="Arial" w:cs="Arial" w:eastAsia="Arial" w:hAnsi="Arial"/>
          <w:sz w:val="22"/>
          <w:szCs w:val="22"/>
          <w:color w:val="auto"/>
        </w:rPr>
        <w:t xml:space="preserve"> </w:t>
      </w:r>
      <w:r>
        <w:rPr>
          <w:rFonts w:ascii="Arial" w:cs="Arial" w:eastAsia="Arial" w:hAnsi="Arial"/>
          <w:sz w:val="19"/>
          <w:szCs w:val="19"/>
          <w:color w:val="auto"/>
        </w:rPr>
        <w:t>over any terms and conditions outlined in any Order or Order Confirmation for Product and any general terms and conditions of a Party, and such terms and conditions are hereby expressly excluded. In case of discrepancies between this Agreement and an Annex hereto, the provisions of this Agreement shall prevail.</w:t>
      </w:r>
    </w:p>
    <w:p>
      <w:pPr>
        <w:spacing w:after="0" w:line="76" w:lineRule="exact"/>
        <w:rPr>
          <w:sz w:val="20"/>
          <w:szCs w:val="20"/>
          <w:color w:val="auto"/>
        </w:rPr>
      </w:pPr>
    </w:p>
    <w:p>
      <w:pPr>
        <w:jc w:val="both"/>
        <w:ind w:left="500" w:hanging="499"/>
        <w:spacing w:after="0" w:line="342" w:lineRule="auto"/>
        <w:rPr>
          <w:sz w:val="20"/>
          <w:szCs w:val="20"/>
          <w:color w:val="auto"/>
        </w:rPr>
      </w:pPr>
      <w:r>
        <w:rPr>
          <w:rFonts w:ascii="Arial" w:cs="Arial" w:eastAsia="Arial" w:hAnsi="Arial"/>
          <w:sz w:val="22"/>
          <w:szCs w:val="22"/>
          <w:color w:val="auto"/>
        </w:rPr>
        <w:t xml:space="preserve">16.5 </w:t>
      </w:r>
      <w:r>
        <w:rPr>
          <w:rFonts w:ascii="Arial" w:cs="Arial" w:eastAsia="Arial" w:hAnsi="Arial"/>
          <w:sz w:val="19"/>
          <w:szCs w:val="19"/>
          <w:i w:val="1"/>
          <w:iCs w:val="1"/>
          <w:u w:val="single" w:color="auto"/>
          <w:color w:val="auto"/>
        </w:rPr>
        <w:t>No assignment</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This Agreement is binding upon and shall inure to the benefit of the Parties hereto and their successors and</w:t>
      </w:r>
      <w:r>
        <w:rPr>
          <w:rFonts w:ascii="Arial" w:cs="Arial" w:eastAsia="Arial" w:hAnsi="Arial"/>
          <w:sz w:val="22"/>
          <w:szCs w:val="22"/>
          <w:color w:val="auto"/>
        </w:rPr>
        <w:t xml:space="preserve"> </w:t>
      </w:r>
      <w:r>
        <w:rPr>
          <w:rFonts w:ascii="Arial" w:cs="Arial" w:eastAsia="Arial" w:hAnsi="Arial"/>
          <w:sz w:val="19"/>
          <w:szCs w:val="19"/>
          <w:color w:val="auto"/>
        </w:rPr>
        <w:t>permitted assigns. This Agreement and any rights or obligations hereunder may be assigned or delegated only (i) with the consent of the other Party, not to be unreasonably withheld, conditioned or delayed, or (ii) by Jazz to its Affiliates or to the successor to all or substantially all of the business of Jazz (whether by merger, consolidation, asset transfer or similar transaction) to which this Agreement relates. Any other assignment or delegation by either Party without the prior written consent of the other Party is void.</w:t>
      </w:r>
    </w:p>
    <w:p>
      <w:pPr>
        <w:spacing w:after="0" w:line="86" w:lineRule="exact"/>
        <w:rPr>
          <w:sz w:val="20"/>
          <w:szCs w:val="20"/>
          <w:color w:val="auto"/>
        </w:rPr>
      </w:pPr>
    </w:p>
    <w:p>
      <w:pPr>
        <w:jc w:val="both"/>
        <w:ind w:left="500" w:hanging="499"/>
        <w:spacing w:after="0" w:line="349"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19"/>
          <w:szCs w:val="19"/>
          <w:i w:val="1"/>
          <w:iCs w:val="1"/>
          <w:u w:val="single" w:color="auto"/>
          <w:color w:val="auto"/>
        </w:rPr>
        <w:t>No waiver</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The failure by either Party at any time to enforce any of the terms, provisions or conditions of this Agreement or</w:t>
      </w:r>
      <w:r>
        <w:rPr>
          <w:rFonts w:ascii="Arial" w:cs="Arial" w:eastAsia="Arial" w:hAnsi="Arial"/>
          <w:sz w:val="22"/>
          <w:szCs w:val="22"/>
          <w:color w:val="auto"/>
        </w:rPr>
        <w:t xml:space="preserve"> </w:t>
      </w:r>
      <w:r>
        <w:rPr>
          <w:rFonts w:ascii="Arial" w:cs="Arial" w:eastAsia="Arial" w:hAnsi="Arial"/>
          <w:sz w:val="19"/>
          <w:szCs w:val="19"/>
          <w:color w:val="auto"/>
        </w:rPr>
        <w:t>to exercise any right hereunder shall not constitute or be construed to constitute a waiver of the same or affect that Party's rights thereafter to enforce or exercise the same.</w:t>
      </w:r>
    </w:p>
    <w:p>
      <w:pPr>
        <w:spacing w:after="0" w:line="77" w:lineRule="exact"/>
        <w:rPr>
          <w:sz w:val="20"/>
          <w:szCs w:val="20"/>
          <w:color w:val="auto"/>
        </w:rPr>
      </w:pPr>
    </w:p>
    <w:p>
      <w:pPr>
        <w:jc w:val="both"/>
        <w:ind w:left="500" w:hanging="499"/>
        <w:spacing w:after="0" w:line="349"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19"/>
          <w:szCs w:val="19"/>
          <w:i w:val="1"/>
          <w:iCs w:val="1"/>
          <w:u w:val="single" w:color="auto"/>
          <w:color w:val="auto"/>
        </w:rPr>
        <w:t>Independent Parties</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Nothing in this Agreement shall be deemed or construed to constitute or create between the Parties</w:t>
      </w:r>
      <w:r>
        <w:rPr>
          <w:rFonts w:ascii="Arial" w:cs="Arial" w:eastAsia="Arial" w:hAnsi="Arial"/>
          <w:sz w:val="22"/>
          <w:szCs w:val="22"/>
          <w:color w:val="auto"/>
        </w:rPr>
        <w:t xml:space="preserve"> </w:t>
      </w:r>
      <w:r>
        <w:rPr>
          <w:rFonts w:ascii="Arial" w:cs="Arial" w:eastAsia="Arial" w:hAnsi="Arial"/>
          <w:sz w:val="19"/>
          <w:szCs w:val="19"/>
          <w:color w:val="auto"/>
        </w:rPr>
        <w:t>hereto a partnership, joint venture, agency, or other relationship other than as expressly set forth herein. Neither Party shall have authority to speak for, represent or obligate the other Party in any way without prior written consent of the other Party.</w:t>
      </w:r>
    </w:p>
    <w:p>
      <w:pPr>
        <w:spacing w:after="0" w:line="77" w:lineRule="exact"/>
        <w:rPr>
          <w:sz w:val="20"/>
          <w:szCs w:val="20"/>
          <w:color w:val="auto"/>
        </w:rPr>
      </w:pPr>
    </w:p>
    <w:p>
      <w:pPr>
        <w:jc w:val="both"/>
        <w:ind w:left="500" w:hanging="499"/>
        <w:spacing w:after="0" w:line="342" w:lineRule="auto"/>
        <w:rPr>
          <w:sz w:val="20"/>
          <w:szCs w:val="20"/>
          <w:color w:val="auto"/>
        </w:rPr>
      </w:pPr>
      <w:r>
        <w:rPr>
          <w:rFonts w:ascii="Arial" w:cs="Arial" w:eastAsia="Arial" w:hAnsi="Arial"/>
          <w:sz w:val="22"/>
          <w:szCs w:val="22"/>
          <w:color w:val="auto"/>
        </w:rPr>
        <w:t xml:space="preserve">16.8 </w:t>
      </w:r>
      <w:r>
        <w:rPr>
          <w:rFonts w:ascii="Arial" w:cs="Arial" w:eastAsia="Arial" w:hAnsi="Arial"/>
          <w:sz w:val="19"/>
          <w:szCs w:val="19"/>
          <w:i w:val="1"/>
          <w:iCs w:val="1"/>
          <w:u w:val="single" w:color="auto"/>
          <w:color w:val="auto"/>
        </w:rPr>
        <w:t>Entire Agreement</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This Agreement (together with the Quality Agreement) contains the full understanding of the Parties with</w:t>
      </w:r>
      <w:r>
        <w:rPr>
          <w:rFonts w:ascii="Arial" w:cs="Arial" w:eastAsia="Arial" w:hAnsi="Arial"/>
          <w:sz w:val="22"/>
          <w:szCs w:val="22"/>
          <w:color w:val="auto"/>
        </w:rPr>
        <w:t xml:space="preserve"> </w:t>
      </w:r>
      <w:r>
        <w:rPr>
          <w:rFonts w:ascii="Arial" w:cs="Arial" w:eastAsia="Arial" w:hAnsi="Arial"/>
          <w:sz w:val="19"/>
          <w:szCs w:val="19"/>
          <w:color w:val="auto"/>
        </w:rPr>
        <w:t>respect to the subject matter hereof and supersedes all prior understandings and writings relating thereto (other than, for the avoidance of doubt, the Master Development Services Agreement and any Confidential Disclosure Agreement executed by the Parties and/or their Affiliates, each of which shall remain in full force and effect in accordance with its respective terms). No waiver, alteration or modification of any of the provisions hereof shall be binding unless made in writing and signed by the Parties.</w:t>
      </w:r>
    </w:p>
    <w:p>
      <w:pPr>
        <w:spacing w:after="0" w:line="398" w:lineRule="exact"/>
        <w:rPr>
          <w:sz w:val="20"/>
          <w:szCs w:val="20"/>
          <w:color w:val="auto"/>
        </w:rPr>
      </w:pPr>
    </w:p>
    <w:p>
      <w:pPr>
        <w:jc w:val="both"/>
        <w:ind w:left="500" w:hanging="499"/>
        <w:spacing w:after="0" w:line="385" w:lineRule="auto"/>
        <w:rPr>
          <w:sz w:val="20"/>
          <w:szCs w:val="20"/>
          <w:color w:val="auto"/>
        </w:rPr>
      </w:pPr>
      <w:r>
        <w:rPr>
          <w:rFonts w:ascii="Arial" w:cs="Arial" w:eastAsia="Arial" w:hAnsi="Arial"/>
          <w:sz w:val="22"/>
          <w:szCs w:val="22"/>
          <w:color w:val="auto"/>
        </w:rPr>
        <w:t xml:space="preserve">16.9 </w:t>
      </w:r>
      <w:r>
        <w:rPr>
          <w:rFonts w:ascii="Arial" w:cs="Arial" w:eastAsia="Arial" w:hAnsi="Arial"/>
          <w:sz w:val="19"/>
          <w:szCs w:val="19"/>
          <w:i w:val="1"/>
          <w:iCs w:val="1"/>
          <w:u w:val="single" w:color="auto"/>
          <w:color w:val="auto"/>
        </w:rPr>
        <w:t>Severability</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If any portion of this Agreement is held invalid by a court of competent jurisdiction, such portion shall be</w:t>
      </w:r>
      <w:r>
        <w:rPr>
          <w:rFonts w:ascii="Arial" w:cs="Arial" w:eastAsia="Arial" w:hAnsi="Arial"/>
          <w:sz w:val="22"/>
          <w:szCs w:val="22"/>
          <w:color w:val="auto"/>
        </w:rPr>
        <w:t xml:space="preserve"> </w:t>
      </w:r>
      <w:r>
        <w:rPr>
          <w:rFonts w:ascii="Arial" w:cs="Arial" w:eastAsia="Arial" w:hAnsi="Arial"/>
          <w:sz w:val="19"/>
          <w:szCs w:val="19"/>
          <w:color w:val="auto"/>
        </w:rPr>
        <w:t>deemed to be of no force and effect and this Agreement shall be construed as if such portion had not been included herein, provided</w:t>
      </w:r>
    </w:p>
    <w:p>
      <w:pPr>
        <w:spacing w:after="0" w:line="200" w:lineRule="exact"/>
        <w:rPr>
          <w:sz w:val="20"/>
          <w:szCs w:val="20"/>
          <w:color w:val="auto"/>
        </w:rPr>
      </w:pPr>
    </w:p>
    <w:p>
      <w:pPr>
        <w:spacing w:after="0" w:line="27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75" w:name="page176"/>
    <w:bookmarkEnd w:id="175"/>
    <w:p>
      <w:pPr>
        <w:ind w:left="10480"/>
        <w:spacing w:after="0"/>
        <w:rPr>
          <w:sz w:val="20"/>
          <w:szCs w:val="20"/>
          <w:color w:val="auto"/>
        </w:rPr>
      </w:pPr>
      <w:r>
        <w:rPr>
          <w:rFonts w:ascii="Arial" w:cs="Arial" w:eastAsia="Arial" w:hAnsi="Arial"/>
          <w:sz w:val="14"/>
          <w:szCs w:val="14"/>
          <w:color w:val="auto"/>
        </w:rPr>
        <w:t>30 / 37</w:t>
      </w:r>
    </w:p>
    <w:p>
      <w:pPr>
        <w:spacing w:after="0" w:line="200" w:lineRule="exact"/>
        <w:rPr>
          <w:sz w:val="20"/>
          <w:szCs w:val="20"/>
          <w:color w:val="auto"/>
        </w:rPr>
      </w:pPr>
    </w:p>
    <w:p>
      <w:pPr>
        <w:spacing w:after="0" w:line="265" w:lineRule="exact"/>
        <w:rPr>
          <w:sz w:val="20"/>
          <w:szCs w:val="20"/>
          <w:color w:val="auto"/>
        </w:rPr>
      </w:pPr>
    </w:p>
    <w:p>
      <w:pPr>
        <w:jc w:val="both"/>
        <w:ind w:left="160"/>
        <w:spacing w:after="0" w:line="311" w:lineRule="auto"/>
        <w:rPr>
          <w:sz w:val="20"/>
          <w:szCs w:val="20"/>
          <w:color w:val="auto"/>
        </w:rPr>
      </w:pPr>
      <w:r>
        <w:rPr>
          <w:rFonts w:ascii="Arial" w:cs="Arial" w:eastAsia="Arial" w:hAnsi="Arial"/>
          <w:sz w:val="20"/>
          <w:szCs w:val="20"/>
          <w:color w:val="auto"/>
        </w:rPr>
        <w:t>however, if the deletion of such provision materially impairs the commercial value of this Agreement to either Party, the Parties shall attempt to renegotiate such provision in good faith. The fact that any provision of this Agreement shall be prohibited or unenforceable in any jurisdiction shall not invalidate or render unenforceable such provision in any other jurisdiction. To the extent permitted by applicable law, the Parties to this Agreement waive any provision of law that renders any provision of this Agreement prohibited or unenforceable in any respect.</w:t>
      </w:r>
    </w:p>
    <w:p>
      <w:pPr>
        <w:spacing w:after="0" w:line="97" w:lineRule="exact"/>
        <w:rPr>
          <w:sz w:val="20"/>
          <w:szCs w:val="20"/>
          <w:color w:val="auto"/>
        </w:rPr>
      </w:pPr>
    </w:p>
    <w:p>
      <w:pPr>
        <w:jc w:val="both"/>
        <w:ind w:left="160" w:hanging="647"/>
        <w:spacing w:after="0" w:line="334" w:lineRule="auto"/>
        <w:rPr>
          <w:sz w:val="20"/>
          <w:szCs w:val="20"/>
          <w:color w:val="auto"/>
        </w:rPr>
      </w:pPr>
      <w:r>
        <w:rPr>
          <w:rFonts w:ascii="Arial" w:cs="Arial" w:eastAsia="Arial" w:hAnsi="Arial"/>
          <w:sz w:val="22"/>
          <w:szCs w:val="22"/>
          <w:color w:val="auto"/>
        </w:rPr>
        <w:t xml:space="preserve">16.10 </w:t>
      </w:r>
      <w:r>
        <w:rPr>
          <w:rFonts w:ascii="Arial" w:cs="Arial" w:eastAsia="Arial" w:hAnsi="Arial"/>
          <w:sz w:val="19"/>
          <w:szCs w:val="19"/>
          <w:i w:val="1"/>
          <w:iCs w:val="1"/>
          <w:u w:val="single" w:color="auto"/>
          <w:color w:val="auto"/>
        </w:rPr>
        <w:t>Notices</w:t>
      </w:r>
      <w:r>
        <w:rPr>
          <w:rFonts w:ascii="Arial" w:cs="Arial" w:eastAsia="Arial" w:hAnsi="Arial"/>
          <w:sz w:val="19"/>
          <w:szCs w:val="19"/>
          <w:i w:val="1"/>
          <w:iCs w:val="1"/>
          <w:color w:val="auto"/>
        </w:rPr>
        <w:t>.</w:t>
      </w:r>
      <w:r>
        <w:rPr>
          <w:rFonts w:ascii="Arial" w:cs="Arial" w:eastAsia="Arial" w:hAnsi="Arial"/>
          <w:sz w:val="22"/>
          <w:szCs w:val="22"/>
          <w:color w:val="auto"/>
        </w:rPr>
        <w:t xml:space="preserve"> </w:t>
      </w:r>
      <w:r>
        <w:rPr>
          <w:rFonts w:ascii="Arial" w:cs="Arial" w:eastAsia="Arial" w:hAnsi="Arial"/>
          <w:sz w:val="19"/>
          <w:szCs w:val="19"/>
          <w:color w:val="auto"/>
        </w:rPr>
        <w:t>Any notice required under this Agreement shall be effective only if it is in writing and (i) delivered in person or (ii)</w:t>
      </w:r>
      <w:r>
        <w:rPr>
          <w:rFonts w:ascii="Arial" w:cs="Arial" w:eastAsia="Arial" w:hAnsi="Arial"/>
          <w:sz w:val="22"/>
          <w:szCs w:val="22"/>
          <w:color w:val="auto"/>
        </w:rPr>
        <w:t xml:space="preserve"> </w:t>
      </w:r>
      <w:r>
        <w:rPr>
          <w:rFonts w:ascii="Arial" w:cs="Arial" w:eastAsia="Arial" w:hAnsi="Arial"/>
          <w:sz w:val="19"/>
          <w:szCs w:val="19"/>
          <w:color w:val="auto"/>
        </w:rPr>
        <w:t>deposited with a nationally recognized overnight courier service, or (iii) sent by registered mail or (iv) dispatched by e-mail (pdf), in which case such notice is to be confirmed by registered mail within [ * ]; in either case any notice is to be addressed to the applicable address set forth below or any other address as designated by either Party.</w:t>
      </w:r>
    </w:p>
    <w:p>
      <w:pPr>
        <w:sectPr>
          <w:pgSz w:w="11900" w:h="16838" w:orient="portrait"/>
          <w:cols w:equalWidth="0" w:num="1">
            <w:col w:w="10920"/>
          </w:cols>
          <w:pgMar w:left="740" w:top="144" w:right="239" w:bottom="1440" w:gutter="0" w:footer="0" w:header="0"/>
        </w:sectPr>
      </w:pPr>
    </w:p>
    <w:p>
      <w:pPr>
        <w:spacing w:after="0" w:line="32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Siegfried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Siegfried AG</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Untere Brühlstrasse 4, 4800 Zofingen, Switzerland</w:t>
      </w:r>
    </w:p>
    <w:p>
      <w:pPr>
        <w:spacing w:after="0" w:line="225" w:lineRule="auto"/>
        <w:rPr>
          <w:sz w:val="20"/>
          <w:szCs w:val="20"/>
          <w:color w:val="auto"/>
        </w:rPr>
      </w:pPr>
      <w:r>
        <w:rPr>
          <w:rFonts w:ascii="Arial" w:cs="Arial" w:eastAsia="Arial" w:hAnsi="Arial"/>
          <w:sz w:val="20"/>
          <w:szCs w:val="20"/>
          <w:color w:val="auto"/>
        </w:rPr>
        <w:t>Attention: [ * ]</w:t>
      </w:r>
    </w:p>
    <w:p>
      <w:pPr>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sectPr>
          <w:pgSz w:w="11900" w:h="16838" w:orient="portrait"/>
          <w:cols w:equalWidth="0" w:num="2">
            <w:col w:w="2820" w:space="720"/>
            <w:col w:w="7380"/>
          </w:cols>
          <w:pgMar w:left="740" w:top="144" w:right="239" w:bottom="1440" w:gutter="0" w:footer="0" w:header="0"/>
          <w:type w:val="continuous"/>
        </w:sectPr>
      </w:pPr>
    </w:p>
    <w:p>
      <w:pPr>
        <w:spacing w:after="0" w:line="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Siegfried AG</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Untere Brühlstrasse 4, 4800 Zofingen, Switzerland</w:t>
      </w:r>
    </w:p>
    <w:p>
      <w:pPr>
        <w:spacing w:after="0" w:line="225" w:lineRule="auto"/>
        <w:rPr>
          <w:sz w:val="20"/>
          <w:szCs w:val="20"/>
          <w:color w:val="auto"/>
        </w:rPr>
      </w:pPr>
      <w:r>
        <w:rPr>
          <w:rFonts w:ascii="Arial" w:cs="Arial" w:eastAsia="Arial" w:hAnsi="Arial"/>
          <w:sz w:val="20"/>
          <w:szCs w:val="20"/>
          <w:color w:val="auto"/>
        </w:rPr>
        <w:t>Legal Department</w:t>
      </w:r>
    </w:p>
    <w:p>
      <w:pPr>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sectPr>
          <w:pgSz w:w="11900" w:h="16838" w:orient="portrait"/>
          <w:cols w:equalWidth="0" w:num="2">
            <w:col w:w="2820" w:space="720"/>
            <w:col w:w="7380"/>
          </w:cols>
          <w:pgMar w:left="740" w:top="144" w:right="239" w:bottom="1440" w:gutter="0" w:footer="0" w:header="0"/>
          <w:type w:val="continuous"/>
        </w:sectPr>
      </w:pPr>
    </w:p>
    <w:p>
      <w:pPr>
        <w:spacing w:after="0" w:line="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Jazz:</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Pharmaceuticals Ireland Limited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Waterloo Exchange, Waterloo Road, Dublin 4, Ireland</w:t>
      </w:r>
    </w:p>
    <w:p>
      <w:pPr>
        <w:spacing w:after="0" w:line="237" w:lineRule="auto"/>
        <w:rPr>
          <w:sz w:val="20"/>
          <w:szCs w:val="20"/>
          <w:color w:val="auto"/>
        </w:rPr>
      </w:pPr>
      <w:r>
        <w:rPr>
          <w:rFonts w:ascii="Arial" w:cs="Arial" w:eastAsia="Arial" w:hAnsi="Arial"/>
          <w:sz w:val="20"/>
          <w:szCs w:val="20"/>
          <w:color w:val="auto"/>
        </w:rPr>
        <w:t>Attention: Legal Department</w:t>
      </w:r>
    </w:p>
    <w:p>
      <w:pPr>
        <w:spacing w:after="0"/>
        <w:rPr>
          <w:sz w:val="20"/>
          <w:szCs w:val="20"/>
          <w:color w:val="auto"/>
        </w:rPr>
      </w:pPr>
      <w:r>
        <w:rPr>
          <w:rFonts w:ascii="Arial" w:cs="Arial" w:eastAsia="Arial" w:hAnsi="Arial"/>
          <w:sz w:val="20"/>
          <w:szCs w:val="20"/>
          <w:color w:val="auto"/>
        </w:rPr>
        <w:t>Fax/e-mail: [ * ]</w:t>
      </w:r>
    </w:p>
    <w:p>
      <w:pPr>
        <w:spacing w:after="0" w:line="200" w:lineRule="exact"/>
        <w:rPr>
          <w:sz w:val="20"/>
          <w:szCs w:val="20"/>
          <w:color w:val="auto"/>
        </w:rPr>
      </w:pPr>
    </w:p>
    <w:p>
      <w:pPr>
        <w:sectPr>
          <w:pgSz w:w="11900" w:h="16838" w:orient="portrait"/>
          <w:cols w:equalWidth="0" w:num="2">
            <w:col w:w="2820" w:space="720"/>
            <w:col w:w="7380"/>
          </w:cols>
          <w:pgMar w:left="740" w:top="144" w:right="239" w:bottom="1440" w:gutter="0" w:footer="0" w:header="0"/>
          <w:type w:val="continuous"/>
        </w:sectPr>
      </w:pPr>
    </w:p>
    <w:p>
      <w:pPr>
        <w:spacing w:after="0" w:line="178"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Either Party may change the above addresses, but no such change shall have any effect until the other Party has been properly notified with written notice of the change of the address.</w:t>
      </w:r>
    </w:p>
    <w:p>
      <w:pPr>
        <w:spacing w:after="0" w:line="88" w:lineRule="exact"/>
        <w:rPr>
          <w:sz w:val="20"/>
          <w:szCs w:val="20"/>
          <w:color w:val="auto"/>
        </w:rPr>
      </w:pPr>
    </w:p>
    <w:p>
      <w:pPr>
        <w:jc w:val="both"/>
        <w:ind w:left="160" w:hanging="647"/>
        <w:spacing w:after="0" w:line="332" w:lineRule="auto"/>
        <w:rPr>
          <w:sz w:val="20"/>
          <w:szCs w:val="20"/>
          <w:color w:val="auto"/>
        </w:rPr>
      </w:pPr>
      <w:r>
        <w:rPr>
          <w:rFonts w:ascii="Arial" w:cs="Arial" w:eastAsia="Arial" w:hAnsi="Arial"/>
          <w:sz w:val="22"/>
          <w:szCs w:val="22"/>
          <w:color w:val="auto"/>
        </w:rPr>
        <w:t xml:space="preserve">16.11 </w:t>
      </w:r>
      <w:r>
        <w:rPr>
          <w:rFonts w:ascii="Arial" w:cs="Arial" w:eastAsia="Arial" w:hAnsi="Arial"/>
          <w:sz w:val="19"/>
          <w:szCs w:val="19"/>
          <w:i w:val="1"/>
          <w:iCs w:val="1"/>
          <w:u w:val="single" w:color="auto"/>
          <w:color w:val="auto"/>
        </w:rPr>
        <w:t>Compliance with Laws.</w:t>
      </w:r>
      <w:r>
        <w:rPr>
          <w:rFonts w:ascii="Arial" w:cs="Arial" w:eastAsia="Arial" w:hAnsi="Arial"/>
          <w:sz w:val="22"/>
          <w:szCs w:val="22"/>
          <w:color w:val="auto"/>
        </w:rPr>
        <w:t xml:space="preserve"> </w:t>
      </w:r>
      <w:r>
        <w:rPr>
          <w:rFonts w:ascii="Arial" w:cs="Arial" w:eastAsia="Arial" w:hAnsi="Arial"/>
          <w:sz w:val="19"/>
          <w:szCs w:val="19"/>
          <w:color w:val="auto"/>
        </w:rPr>
        <w:t>Each Party shall comply with all Applicable Law governing its performance of the terms of this</w:t>
      </w:r>
      <w:r>
        <w:rPr>
          <w:rFonts w:ascii="Arial" w:cs="Arial" w:eastAsia="Arial" w:hAnsi="Arial"/>
          <w:sz w:val="22"/>
          <w:szCs w:val="22"/>
          <w:color w:val="auto"/>
        </w:rPr>
        <w:t xml:space="preserve"> </w:t>
      </w:r>
      <w:r>
        <w:rPr>
          <w:rFonts w:ascii="Arial" w:cs="Arial" w:eastAsia="Arial" w:hAnsi="Arial"/>
          <w:sz w:val="19"/>
          <w:szCs w:val="19"/>
          <w:color w:val="auto"/>
        </w:rPr>
        <w:t>Agreement, including, but not limited to, those relating to health, safety and the environment, fair labor practices, unlawful discrimination, debarment, supply chain transparency and modern slavery, anti-corruption and anti-bribery laws.</w:t>
      </w:r>
    </w:p>
    <w:p>
      <w:pPr>
        <w:spacing w:after="0" w:line="186" w:lineRule="exact"/>
        <w:rPr>
          <w:sz w:val="20"/>
          <w:szCs w:val="20"/>
          <w:color w:val="auto"/>
        </w:rPr>
      </w:pPr>
    </w:p>
    <w:p>
      <w:pPr>
        <w:jc w:val="both"/>
        <w:ind w:left="160" w:hanging="647"/>
        <w:spacing w:after="0" w:line="352" w:lineRule="auto"/>
        <w:rPr>
          <w:sz w:val="20"/>
          <w:szCs w:val="20"/>
          <w:color w:val="auto"/>
        </w:rPr>
      </w:pPr>
      <w:r>
        <w:rPr>
          <w:rFonts w:ascii="Arial" w:cs="Arial" w:eastAsia="Arial" w:hAnsi="Arial"/>
          <w:sz w:val="22"/>
          <w:szCs w:val="22"/>
          <w:color w:val="auto"/>
        </w:rPr>
        <w:t xml:space="preserve">16.12 </w:t>
      </w:r>
      <w:r>
        <w:rPr>
          <w:rFonts w:ascii="Arial" w:cs="Arial" w:eastAsia="Arial" w:hAnsi="Arial"/>
          <w:sz w:val="19"/>
          <w:szCs w:val="19"/>
          <w:i w:val="1"/>
          <w:iCs w:val="1"/>
          <w:u w:val="single" w:color="auto"/>
          <w:color w:val="auto"/>
        </w:rPr>
        <w:t>Hardship.</w:t>
      </w:r>
      <w:r>
        <w:rPr>
          <w:rFonts w:ascii="Arial" w:cs="Arial" w:eastAsia="Arial" w:hAnsi="Arial"/>
          <w:sz w:val="22"/>
          <w:szCs w:val="22"/>
          <w:color w:val="auto"/>
        </w:rPr>
        <w:t xml:space="preserve"> </w:t>
      </w:r>
      <w:r>
        <w:rPr>
          <w:rFonts w:ascii="Arial" w:cs="Arial" w:eastAsia="Arial" w:hAnsi="Arial"/>
          <w:sz w:val="19"/>
          <w:szCs w:val="19"/>
          <w:color w:val="auto"/>
        </w:rPr>
        <w:t>If during the Term of this Agreement, the performance of the Agreement should lead to unreasonable hardship</w:t>
      </w:r>
      <w:r>
        <w:rPr>
          <w:rFonts w:ascii="Arial" w:cs="Arial" w:eastAsia="Arial" w:hAnsi="Arial"/>
          <w:sz w:val="22"/>
          <w:szCs w:val="22"/>
          <w:color w:val="auto"/>
        </w:rPr>
        <w:t xml:space="preserve"> </w:t>
      </w:r>
      <w:r>
        <w:rPr>
          <w:rFonts w:ascii="Arial" w:cs="Arial" w:eastAsia="Arial" w:hAnsi="Arial"/>
          <w:sz w:val="19"/>
          <w:szCs w:val="19"/>
          <w:color w:val="auto"/>
        </w:rPr>
        <w:t>for the one or the other Party, both Parties shall undertake reasonable endeavors to discuss in good faith a possible amicable resolution or possible amendment to this Agreement in light of the change in circumstances; provided always, however, that (i) neither Party shall have any obligation to amend this Agreement or to waive or modify any of its rights under this Agreement and (ii)</w:t>
      </w:r>
    </w:p>
    <w:p>
      <w:pPr>
        <w:spacing w:after="0" w:line="338" w:lineRule="exact"/>
        <w:rPr>
          <w:sz w:val="20"/>
          <w:szCs w:val="20"/>
          <w:color w:val="auto"/>
        </w:rPr>
      </w:pPr>
    </w:p>
    <w:tbl>
      <w:tblPr>
        <w:tblLayout w:type="fixed"/>
        <w:tblInd w:w="66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0920"/>
          </w:cols>
          <w:pgMar w:left="740" w:top="144" w:right="239" w:bottom="144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14"/>
          <w:szCs w:val="14"/>
          <w:color w:val="auto"/>
        </w:rPr>
        <w:t>31 / 37</w:t>
      </w:r>
    </w:p>
    <w:p>
      <w:pPr>
        <w:spacing w:after="0" w:line="200" w:lineRule="exact"/>
        <w:rPr>
          <w:sz w:val="20"/>
          <w:szCs w:val="20"/>
          <w:color w:val="auto"/>
        </w:rPr>
      </w:pPr>
    </w:p>
    <w:p>
      <w:pPr>
        <w:spacing w:after="0" w:line="265" w:lineRule="exact"/>
        <w:rPr>
          <w:sz w:val="20"/>
          <w:szCs w:val="20"/>
          <w:color w:val="auto"/>
        </w:rPr>
      </w:pPr>
    </w:p>
    <w:p>
      <w:pPr>
        <w:jc w:val="both"/>
        <w:ind w:left="500"/>
        <w:spacing w:after="0" w:line="311" w:lineRule="auto"/>
        <w:rPr>
          <w:sz w:val="20"/>
          <w:szCs w:val="20"/>
          <w:color w:val="auto"/>
        </w:rPr>
      </w:pPr>
      <w:r>
        <w:rPr>
          <w:rFonts w:ascii="Arial" w:cs="Arial" w:eastAsia="Arial" w:hAnsi="Arial"/>
          <w:sz w:val="20"/>
          <w:szCs w:val="20"/>
          <w:color w:val="auto"/>
        </w:rPr>
        <w:t>notwithstanding any claim of unreasonable hardship by a Party pursuant to this Section 16.12, each Party shall remain fully liable for the performance of its obligations and duties under this Agreement unless and until, and only to the extent that, the Parties mutually agree in writing to alter or modify such obligations or duties by amending the provisions hereof (which alteration or modification shall only be binding if made in writing and signed by both Parties in accordance with the terms of this Agreement).</w:t>
      </w:r>
    </w:p>
    <w:p>
      <w:pPr>
        <w:spacing w:after="0" w:line="255"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22"/>
          <w:szCs w:val="22"/>
          <w:b w:val="1"/>
          <w:bCs w:val="1"/>
          <w:color w:val="auto"/>
        </w:rPr>
      </w:pPr>
      <w:r>
        <w:rPr>
          <w:rFonts w:ascii="Arial" w:cs="Arial" w:eastAsia="Arial" w:hAnsi="Arial"/>
          <w:sz w:val="20"/>
          <w:szCs w:val="20"/>
          <w:b w:val="1"/>
          <w:bCs w:val="1"/>
          <w:color w:val="auto"/>
        </w:rPr>
        <w:t>Applicable Law and Dispute Resolution</w:t>
      </w:r>
    </w:p>
    <w:p>
      <w:pPr>
        <w:spacing w:after="0" w:line="187" w:lineRule="exact"/>
        <w:rPr>
          <w:sz w:val="20"/>
          <w:szCs w:val="20"/>
          <w:color w:val="auto"/>
        </w:rPr>
      </w:pPr>
    </w:p>
    <w:p>
      <w:pPr>
        <w:jc w:val="both"/>
        <w:ind w:left="500" w:hanging="499"/>
        <w:spacing w:after="0" w:line="356"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19"/>
          <w:szCs w:val="19"/>
          <w:color w:val="auto"/>
        </w:rPr>
        <w:t>This Agreement shall be governed by German laws without regard to its conflict of laws provisions and the provisions of the</w:t>
      </w:r>
      <w:r>
        <w:rPr>
          <w:rFonts w:ascii="Arial" w:cs="Arial" w:eastAsia="Arial" w:hAnsi="Arial"/>
          <w:sz w:val="22"/>
          <w:szCs w:val="22"/>
          <w:color w:val="auto"/>
        </w:rPr>
        <w:t xml:space="preserve"> </w:t>
      </w:r>
      <w:r>
        <w:rPr>
          <w:rFonts w:ascii="Arial" w:cs="Arial" w:eastAsia="Arial" w:hAnsi="Arial"/>
          <w:sz w:val="19"/>
          <w:szCs w:val="19"/>
          <w:color w:val="auto"/>
        </w:rPr>
        <w:t>UN Convention regarding Contracts on the International Sale of Goods (Vienna Convention).</w:t>
      </w:r>
    </w:p>
    <w:p>
      <w:pPr>
        <w:spacing w:after="0" w:line="57" w:lineRule="exact"/>
        <w:rPr>
          <w:sz w:val="20"/>
          <w:szCs w:val="20"/>
          <w:color w:val="auto"/>
        </w:rPr>
      </w:pPr>
    </w:p>
    <w:p>
      <w:pPr>
        <w:jc w:val="both"/>
        <w:ind w:left="500" w:hanging="499"/>
        <w:spacing w:after="0" w:line="356"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19"/>
          <w:szCs w:val="19"/>
          <w:color w:val="auto"/>
        </w:rPr>
        <w:t>All disputes arising out of or in connection with this Agreement, including disputes on its conclusion, binding effect,</w:t>
      </w:r>
      <w:r>
        <w:rPr>
          <w:rFonts w:ascii="Arial" w:cs="Arial" w:eastAsia="Arial" w:hAnsi="Arial"/>
          <w:sz w:val="22"/>
          <w:szCs w:val="22"/>
          <w:color w:val="auto"/>
        </w:rPr>
        <w:t xml:space="preserve"> </w:t>
      </w:r>
      <w:r>
        <w:rPr>
          <w:rFonts w:ascii="Arial" w:cs="Arial" w:eastAsia="Arial" w:hAnsi="Arial"/>
          <w:sz w:val="19"/>
          <w:szCs w:val="19"/>
          <w:color w:val="auto"/>
        </w:rPr>
        <w:t>amendment or termination, shall be resolved exclusively by arbitration in accordance with the Arbitration Rules of the German Arbitration Institute (DIS) in force on the date on which the Notice of Arbitration is submitted in accordance with these Rules, agree as follows:</w:t>
      </w:r>
    </w:p>
    <w:p>
      <w:pPr>
        <w:spacing w:after="0" w:line="384"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number of arbitrators shall be three (3).</w:t>
      </w:r>
    </w:p>
    <w:p>
      <w:pPr>
        <w:spacing w:after="0" w:line="175" w:lineRule="exact"/>
        <w:rPr>
          <w:rFonts w:ascii="Arial" w:cs="Arial" w:eastAsia="Arial" w:hAnsi="Arial"/>
          <w:sz w:val="20"/>
          <w:szCs w:val="20"/>
          <w:color w:val="auto"/>
        </w:rPr>
      </w:pPr>
    </w:p>
    <w:p>
      <w:pPr>
        <w:ind w:left="980" w:hanging="324"/>
        <w:spacing w:after="0"/>
        <w:tabs>
          <w:tab w:leader="none" w:pos="9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seat of the arbitration shall be Hannover, Germany.</w:t>
      </w:r>
    </w:p>
    <w:p>
      <w:pPr>
        <w:spacing w:after="0" w:line="175" w:lineRule="exact"/>
        <w:rPr>
          <w:rFonts w:ascii="Arial" w:cs="Arial" w:eastAsia="Arial" w:hAnsi="Arial"/>
          <w:sz w:val="20"/>
          <w:szCs w:val="20"/>
          <w:color w:val="auto"/>
        </w:rPr>
      </w:pPr>
    </w:p>
    <w:p>
      <w:pPr>
        <w:ind w:left="980" w:hanging="324"/>
        <w:spacing w:after="0"/>
        <w:tabs>
          <w:tab w:leader="none" w:pos="9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arbitral proceedings shall be conducted in English.</w:t>
      </w:r>
    </w:p>
    <w:p>
      <w:pPr>
        <w:spacing w:after="0" w:line="172" w:lineRule="exact"/>
        <w:rPr>
          <w:sz w:val="20"/>
          <w:szCs w:val="20"/>
          <w:color w:val="auto"/>
        </w:rPr>
      </w:pPr>
    </w:p>
    <w:p>
      <w:pPr>
        <w:ind w:left="500" w:hanging="499"/>
        <w:spacing w:after="0" w:line="308"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19"/>
          <w:szCs w:val="19"/>
          <w:color w:val="auto"/>
        </w:rPr>
        <w:t>Notwithstanding any other provision of this Agreement, each Party shall still be entitled to access the courts in Hannover,</w:t>
      </w:r>
      <w:r>
        <w:rPr>
          <w:rFonts w:ascii="Arial" w:cs="Arial" w:eastAsia="Arial" w:hAnsi="Arial"/>
          <w:sz w:val="22"/>
          <w:szCs w:val="22"/>
          <w:color w:val="auto"/>
        </w:rPr>
        <w:t xml:space="preserve"> </w:t>
      </w:r>
      <w:r>
        <w:rPr>
          <w:rFonts w:ascii="Arial" w:cs="Arial" w:eastAsia="Arial" w:hAnsi="Arial"/>
          <w:sz w:val="19"/>
          <w:szCs w:val="19"/>
          <w:color w:val="auto"/>
        </w:rPr>
        <w:t>Germany, to obtain appropriate injunctive relief.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color w:val="auto"/>
        </w:rPr>
        <w:t>32 / 37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Annexes</w:t>
      </w:r>
    </w:p>
    <w:p>
      <w:pPr>
        <w:spacing w:after="0" w:line="200" w:lineRule="exact"/>
        <w:rPr>
          <w:sz w:val="20"/>
          <w:szCs w:val="20"/>
          <w:color w:val="auto"/>
        </w:rPr>
      </w:pPr>
    </w:p>
    <w:p>
      <w:pPr>
        <w:spacing w:after="0" w:line="266" w:lineRule="exact"/>
        <w:rPr>
          <w:sz w:val="20"/>
          <w:szCs w:val="20"/>
          <w:color w:val="auto"/>
        </w:rPr>
      </w:pPr>
    </w:p>
    <w:tbl>
      <w:tblPr>
        <w:tblLayout w:type="fixed"/>
        <w:tblInd w:w="90" w:type="dxa"/>
        <w:tblCellMar>
          <w:top w:w="0" w:type="dxa"/>
          <w:left w:w="0" w:type="dxa"/>
          <w:bottom w:w="0" w:type="dxa"/>
          <w:right w:w="0" w:type="dxa"/>
        </w:tblCellMar>
      </w:tblPr>
      <w:tr>
        <w:trPr>
          <w:trHeight w:val="279"/>
        </w:trPr>
        <w:tc>
          <w:tcPr>
            <w:tcW w:w="160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Annex</w:t>
            </w:r>
          </w:p>
        </w:tc>
        <w:tc>
          <w:tcPr>
            <w:tcW w:w="30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660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Content</w:t>
            </w:r>
          </w:p>
        </w:tc>
      </w:tr>
      <w:tr>
        <w:trPr>
          <w:trHeight w:val="264"/>
        </w:trPr>
        <w:tc>
          <w:tcPr>
            <w:tcW w:w="1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1.1</w:t>
            </w:r>
          </w:p>
        </w:tc>
        <w:tc>
          <w:tcPr>
            <w:tcW w:w="30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API</w:t>
            </w:r>
          </w:p>
        </w:tc>
        <w:tc>
          <w:tcPr>
            <w:tcW w:w="66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Description of API</w:t>
            </w:r>
          </w:p>
        </w:tc>
      </w:tr>
      <w:tr>
        <w:trPr>
          <w:trHeight w:val="264"/>
        </w:trPr>
        <w:tc>
          <w:tcPr>
            <w:tcW w:w="1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1.2</w:t>
            </w:r>
          </w:p>
        </w:tc>
        <w:tc>
          <w:tcPr>
            <w:tcW w:w="30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Drug Product</w:t>
            </w:r>
          </w:p>
        </w:tc>
        <w:tc>
          <w:tcPr>
            <w:tcW w:w="66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Description of Drug Product</w:t>
            </w:r>
          </w:p>
        </w:tc>
      </w:tr>
      <w:tr>
        <w:trPr>
          <w:trHeight w:val="264"/>
        </w:trPr>
        <w:tc>
          <w:tcPr>
            <w:tcW w:w="1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1.3</w:t>
            </w:r>
          </w:p>
        </w:tc>
        <w:tc>
          <w:tcPr>
            <w:tcW w:w="30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Key Material</w:t>
            </w:r>
          </w:p>
        </w:tc>
        <w:tc>
          <w:tcPr>
            <w:tcW w:w="66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Description of Key Material</w:t>
            </w:r>
          </w:p>
        </w:tc>
      </w:tr>
      <w:tr>
        <w:trPr>
          <w:trHeight w:val="264"/>
        </w:trPr>
        <w:tc>
          <w:tcPr>
            <w:tcW w:w="1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1.4</w:t>
            </w:r>
          </w:p>
        </w:tc>
        <w:tc>
          <w:tcPr>
            <w:tcW w:w="30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Commercial Terms</w:t>
            </w:r>
          </w:p>
        </w:tc>
        <w:tc>
          <w:tcPr>
            <w:tcW w:w="66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Price, MOQ and other commercial terms</w:t>
            </w:r>
          </w:p>
        </w:tc>
      </w:tr>
    </w:tbl>
    <w:p>
      <w:pPr>
        <w:spacing w:after="0" w:line="199"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Intending to be bound by the provisions hereof, each of the parties hereto have caused this Agreement to be executed personally or by its duly authorized representative, to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800" w:type="dxa"/>
            <w:vAlign w:val="bottom"/>
          </w:tcPr>
          <w:p>
            <w:pPr>
              <w:spacing w:after="0"/>
              <w:rPr>
                <w:sz w:val="20"/>
                <w:szCs w:val="20"/>
                <w:color w:val="auto"/>
              </w:rPr>
            </w:pPr>
            <w:r>
              <w:rPr>
                <w:rFonts w:ascii="Arial" w:cs="Arial" w:eastAsia="Arial" w:hAnsi="Arial"/>
                <w:sz w:val="20"/>
                <w:szCs w:val="20"/>
                <w:b w:val="1"/>
                <w:bCs w:val="1"/>
                <w:color w:val="auto"/>
              </w:rPr>
              <w:t>Siegfried AG</w:t>
            </w:r>
          </w:p>
        </w:tc>
        <w:tc>
          <w:tcPr>
            <w:tcW w:w="3420" w:type="dxa"/>
            <w:vAlign w:val="bottom"/>
          </w:tcPr>
          <w:p>
            <w:pPr>
              <w:spacing w:after="0"/>
              <w:rPr>
                <w:sz w:val="22"/>
                <w:szCs w:val="22"/>
                <w:color w:val="auto"/>
              </w:rPr>
            </w:pPr>
          </w:p>
        </w:tc>
      </w:tr>
      <w:tr>
        <w:trPr>
          <w:trHeight w:val="567"/>
        </w:trPr>
        <w:tc>
          <w:tcPr>
            <w:tcW w:w="4800" w:type="dxa"/>
            <w:vAlign w:val="bottom"/>
          </w:tcPr>
          <w:p>
            <w:pPr>
              <w:ind w:left="160"/>
              <w:spacing w:after="0"/>
              <w:rPr>
                <w:sz w:val="20"/>
                <w:szCs w:val="20"/>
                <w:color w:val="auto"/>
              </w:rPr>
            </w:pPr>
            <w:r>
              <w:rPr>
                <w:rFonts w:ascii="Arial" w:cs="Arial" w:eastAsia="Arial" w:hAnsi="Arial"/>
                <w:sz w:val="20"/>
                <w:szCs w:val="20"/>
                <w:i w:val="1"/>
                <w:iCs w:val="1"/>
                <w:color w:val="auto"/>
              </w:rPr>
              <w:t>/s/ Luca Parlanti</w:t>
            </w:r>
          </w:p>
        </w:tc>
        <w:tc>
          <w:tcPr>
            <w:tcW w:w="3420" w:type="dxa"/>
            <w:vAlign w:val="bottom"/>
          </w:tcPr>
          <w:p>
            <w:pPr>
              <w:ind w:left="1320"/>
              <w:spacing w:after="0"/>
              <w:rPr>
                <w:sz w:val="20"/>
                <w:szCs w:val="20"/>
                <w:color w:val="auto"/>
              </w:rPr>
            </w:pPr>
            <w:r>
              <w:rPr>
                <w:rFonts w:ascii="Arial" w:cs="Arial" w:eastAsia="Arial" w:hAnsi="Arial"/>
                <w:sz w:val="20"/>
                <w:szCs w:val="20"/>
                <w:i w:val="1"/>
                <w:iCs w:val="1"/>
                <w:color w:val="auto"/>
              </w:rPr>
              <w:t>/s/ Marco Henneböhle</w:t>
            </w:r>
          </w:p>
        </w:tc>
      </w:tr>
      <w:tr>
        <w:trPr>
          <w:trHeight w:val="554"/>
        </w:trPr>
        <w:tc>
          <w:tcPr>
            <w:tcW w:w="4800" w:type="dxa"/>
            <w:vAlign w:val="bottom"/>
          </w:tcPr>
          <w:p>
            <w:pPr>
              <w:spacing w:after="0"/>
              <w:rPr>
                <w:sz w:val="20"/>
                <w:szCs w:val="20"/>
                <w:color w:val="auto"/>
              </w:rPr>
            </w:pPr>
            <w:r>
              <w:rPr>
                <w:rFonts w:ascii="Arial" w:cs="Arial" w:eastAsia="Arial" w:hAnsi="Arial"/>
                <w:sz w:val="20"/>
                <w:szCs w:val="20"/>
                <w:color w:val="auto"/>
              </w:rPr>
              <w:t>Name / function</w:t>
            </w:r>
          </w:p>
        </w:tc>
        <w:tc>
          <w:tcPr>
            <w:tcW w:w="3420" w:type="dxa"/>
            <w:vAlign w:val="bottom"/>
          </w:tcPr>
          <w:p>
            <w:pPr>
              <w:ind w:left="1160"/>
              <w:spacing w:after="0"/>
              <w:rPr>
                <w:sz w:val="20"/>
                <w:szCs w:val="20"/>
                <w:color w:val="auto"/>
              </w:rPr>
            </w:pPr>
            <w:r>
              <w:rPr>
                <w:rFonts w:ascii="Arial" w:cs="Arial" w:eastAsia="Arial" w:hAnsi="Arial"/>
                <w:sz w:val="20"/>
                <w:szCs w:val="20"/>
                <w:color w:val="auto"/>
              </w:rPr>
              <w:t>Name / function</w:t>
            </w:r>
          </w:p>
        </w:tc>
      </w:tr>
      <w:tr>
        <w:trPr>
          <w:trHeight w:val="270"/>
        </w:trPr>
        <w:tc>
          <w:tcPr>
            <w:tcW w:w="4800" w:type="dxa"/>
            <w:vAlign w:val="bottom"/>
          </w:tcPr>
          <w:p>
            <w:pPr>
              <w:ind w:left="1540"/>
              <w:spacing w:after="0"/>
              <w:rPr>
                <w:sz w:val="20"/>
                <w:szCs w:val="20"/>
                <w:color w:val="auto"/>
              </w:rPr>
            </w:pPr>
            <w:r>
              <w:rPr>
                <w:rFonts w:ascii="Arial" w:cs="Arial" w:eastAsia="Arial" w:hAnsi="Arial"/>
                <w:sz w:val="20"/>
                <w:szCs w:val="20"/>
                <w:color w:val="auto"/>
              </w:rPr>
              <w:t>Dr. Luca Parlanti</w:t>
            </w:r>
          </w:p>
        </w:tc>
        <w:tc>
          <w:tcPr>
            <w:tcW w:w="3420" w:type="dxa"/>
            <w:vAlign w:val="bottom"/>
          </w:tcPr>
          <w:p>
            <w:pPr>
              <w:ind w:left="1160"/>
              <w:spacing w:after="0"/>
              <w:rPr>
                <w:sz w:val="20"/>
                <w:szCs w:val="20"/>
                <w:color w:val="auto"/>
              </w:rPr>
            </w:pPr>
            <w:r>
              <w:rPr>
                <w:rFonts w:ascii="Arial" w:cs="Arial" w:eastAsia="Arial" w:hAnsi="Arial"/>
                <w:sz w:val="20"/>
                <w:szCs w:val="20"/>
                <w:color w:val="auto"/>
              </w:rPr>
              <w:t>Dr. Marco Henneböhle</w:t>
            </w:r>
          </w:p>
        </w:tc>
      </w:tr>
      <w:tr>
        <w:trPr>
          <w:trHeight w:val="270"/>
        </w:trPr>
        <w:tc>
          <w:tcPr>
            <w:tcW w:w="4800" w:type="dxa"/>
            <w:vAlign w:val="bottom"/>
          </w:tcPr>
          <w:p>
            <w:pPr>
              <w:ind w:left="1540"/>
              <w:spacing w:after="0"/>
              <w:rPr>
                <w:sz w:val="20"/>
                <w:szCs w:val="20"/>
                <w:color w:val="auto"/>
              </w:rPr>
            </w:pPr>
            <w:r>
              <w:rPr>
                <w:rFonts w:ascii="Arial" w:cs="Arial" w:eastAsia="Arial" w:hAnsi="Arial"/>
                <w:sz w:val="20"/>
                <w:szCs w:val="20"/>
                <w:color w:val="auto"/>
              </w:rPr>
              <w:t>Head of Exclusive Sales</w:t>
            </w:r>
          </w:p>
        </w:tc>
        <w:tc>
          <w:tcPr>
            <w:tcW w:w="3420" w:type="dxa"/>
            <w:vAlign w:val="bottom"/>
          </w:tcPr>
          <w:p>
            <w:pPr>
              <w:ind w:left="1160"/>
              <w:spacing w:after="0"/>
              <w:rPr>
                <w:sz w:val="20"/>
                <w:szCs w:val="20"/>
                <w:color w:val="auto"/>
              </w:rPr>
            </w:pPr>
            <w:r>
              <w:rPr>
                <w:rFonts w:ascii="Arial" w:cs="Arial" w:eastAsia="Arial" w:hAnsi="Arial"/>
                <w:sz w:val="16"/>
                <w:szCs w:val="16"/>
                <w:color w:val="auto"/>
                <w:w w:val="99"/>
              </w:rPr>
              <w:t>Director Business Development</w:t>
            </w:r>
          </w:p>
        </w:tc>
      </w:tr>
      <w:tr>
        <w:trPr>
          <w:trHeight w:val="270"/>
        </w:trPr>
        <w:tc>
          <w:tcPr>
            <w:tcW w:w="4800" w:type="dxa"/>
            <w:vAlign w:val="bottom"/>
          </w:tcPr>
          <w:p>
            <w:pPr>
              <w:ind w:left="1540"/>
              <w:spacing w:after="0"/>
              <w:rPr>
                <w:sz w:val="20"/>
                <w:szCs w:val="20"/>
                <w:color w:val="auto"/>
              </w:rPr>
            </w:pPr>
            <w:r>
              <w:rPr>
                <w:rFonts w:ascii="Arial" w:cs="Arial" w:eastAsia="Arial" w:hAnsi="Arial"/>
                <w:sz w:val="20"/>
                <w:szCs w:val="20"/>
                <w:color w:val="auto"/>
              </w:rPr>
              <w:t>Drug Substance</w:t>
            </w:r>
          </w:p>
        </w:tc>
        <w:tc>
          <w:tcPr>
            <w:tcW w:w="3420" w:type="dxa"/>
            <w:vAlign w:val="bottom"/>
          </w:tcPr>
          <w:p>
            <w:pPr>
              <w:ind w:left="1160"/>
              <w:spacing w:after="0"/>
              <w:rPr>
                <w:sz w:val="20"/>
                <w:szCs w:val="20"/>
                <w:color w:val="auto"/>
              </w:rPr>
            </w:pPr>
            <w:r>
              <w:rPr>
                <w:rFonts w:ascii="Arial" w:cs="Arial" w:eastAsia="Arial" w:hAnsi="Arial"/>
                <w:sz w:val="16"/>
                <w:szCs w:val="16"/>
                <w:color w:val="auto"/>
              </w:rPr>
              <w:t>Exclusive Synthesis Europe</w:t>
            </w:r>
          </w:p>
        </w:tc>
      </w:tr>
      <w:tr>
        <w:trPr>
          <w:trHeight w:val="270"/>
        </w:trPr>
        <w:tc>
          <w:tcPr>
            <w:tcW w:w="4800" w:type="dxa"/>
            <w:vAlign w:val="bottom"/>
          </w:tcPr>
          <w:p>
            <w:pPr>
              <w:ind w:left="1540"/>
              <w:spacing w:after="0"/>
              <w:rPr>
                <w:sz w:val="20"/>
                <w:szCs w:val="20"/>
                <w:color w:val="auto"/>
              </w:rPr>
            </w:pPr>
            <w:r>
              <w:rPr>
                <w:rFonts w:ascii="Arial" w:cs="Arial" w:eastAsia="Arial" w:hAnsi="Arial"/>
                <w:sz w:val="20"/>
                <w:szCs w:val="20"/>
                <w:color w:val="auto"/>
              </w:rPr>
              <w:t>Siegfried AG</w:t>
            </w:r>
          </w:p>
        </w:tc>
        <w:tc>
          <w:tcPr>
            <w:tcW w:w="3420" w:type="dxa"/>
            <w:vAlign w:val="bottom"/>
          </w:tcPr>
          <w:p>
            <w:pPr>
              <w:ind w:left="1160"/>
              <w:spacing w:after="0"/>
              <w:rPr>
                <w:sz w:val="20"/>
                <w:szCs w:val="20"/>
                <w:color w:val="auto"/>
              </w:rPr>
            </w:pPr>
            <w:r>
              <w:rPr>
                <w:rFonts w:ascii="Arial" w:cs="Arial" w:eastAsia="Arial" w:hAnsi="Arial"/>
                <w:sz w:val="16"/>
                <w:szCs w:val="16"/>
                <w:color w:val="auto"/>
              </w:rPr>
              <w:t>Siegfried AG</w:t>
            </w:r>
          </w:p>
        </w:tc>
      </w:tr>
      <w:tr>
        <w:trPr>
          <w:trHeight w:val="864"/>
        </w:trPr>
        <w:tc>
          <w:tcPr>
            <w:tcW w:w="4800" w:type="dxa"/>
            <w:vAlign w:val="bottom"/>
          </w:tcPr>
          <w:p>
            <w:pPr>
              <w:spacing w:after="0"/>
              <w:rPr>
                <w:sz w:val="20"/>
                <w:szCs w:val="20"/>
                <w:color w:val="auto"/>
              </w:rPr>
            </w:pPr>
            <w:r>
              <w:rPr>
                <w:rFonts w:ascii="Arial" w:cs="Arial" w:eastAsia="Arial" w:hAnsi="Arial"/>
                <w:sz w:val="20"/>
                <w:szCs w:val="20"/>
                <w:b w:val="1"/>
                <w:bCs w:val="1"/>
                <w:color w:val="auto"/>
              </w:rPr>
              <w:t>Jazz Pharmaceuticals Ireland Limited</w:t>
            </w:r>
          </w:p>
        </w:tc>
        <w:tc>
          <w:tcPr>
            <w:tcW w:w="3420" w:type="dxa"/>
            <w:vAlign w:val="bottom"/>
          </w:tcPr>
          <w:p>
            <w:pPr>
              <w:spacing w:after="0"/>
              <w:rPr>
                <w:sz w:val="24"/>
                <w:szCs w:val="24"/>
                <w:color w:val="auto"/>
              </w:rPr>
            </w:pPr>
          </w:p>
        </w:tc>
      </w:tr>
      <w:tr>
        <w:trPr>
          <w:trHeight w:val="567"/>
        </w:trPr>
        <w:tc>
          <w:tcPr>
            <w:tcW w:w="4800" w:type="dxa"/>
            <w:vAlign w:val="bottom"/>
          </w:tcPr>
          <w:p>
            <w:pPr>
              <w:spacing w:after="0"/>
              <w:rPr>
                <w:sz w:val="20"/>
                <w:szCs w:val="20"/>
                <w:color w:val="auto"/>
              </w:rPr>
            </w:pPr>
            <w:r>
              <w:rPr>
                <w:rFonts w:ascii="Arial" w:cs="Arial" w:eastAsia="Arial" w:hAnsi="Arial"/>
                <w:sz w:val="20"/>
                <w:szCs w:val="20"/>
                <w:i w:val="1"/>
                <w:iCs w:val="1"/>
                <w:color w:val="auto"/>
              </w:rPr>
              <w:t>/s/ Kathleen Gibbons</w:t>
            </w:r>
          </w:p>
        </w:tc>
        <w:tc>
          <w:tcPr>
            <w:tcW w:w="3420" w:type="dxa"/>
            <w:vAlign w:val="bottom"/>
          </w:tcPr>
          <w:p>
            <w:pPr>
              <w:spacing w:after="0"/>
              <w:rPr>
                <w:sz w:val="24"/>
                <w:szCs w:val="24"/>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Name / function</w:t>
            </w:r>
          </w:p>
        </w:tc>
        <w:tc>
          <w:tcPr>
            <w:tcW w:w="3420" w:type="dxa"/>
            <w:vAlign w:val="bottom"/>
          </w:tcPr>
          <w:p>
            <w:pPr>
              <w:spacing w:after="0"/>
              <w:rPr>
                <w:sz w:val="24"/>
                <w:szCs w:val="24"/>
                <w:color w:val="auto"/>
              </w:rPr>
            </w:pPr>
          </w:p>
        </w:tc>
      </w:tr>
      <w:tr>
        <w:trPr>
          <w:trHeight w:val="567"/>
        </w:trPr>
        <w:tc>
          <w:tcPr>
            <w:tcW w:w="4800" w:type="dxa"/>
            <w:vAlign w:val="bottom"/>
          </w:tcPr>
          <w:p>
            <w:pPr>
              <w:spacing w:after="0"/>
              <w:rPr>
                <w:sz w:val="20"/>
                <w:szCs w:val="20"/>
                <w:color w:val="auto"/>
              </w:rPr>
            </w:pPr>
            <w:r>
              <w:rPr>
                <w:rFonts w:ascii="Arial" w:cs="Arial" w:eastAsia="Arial" w:hAnsi="Arial"/>
                <w:sz w:val="20"/>
                <w:szCs w:val="20"/>
                <w:color w:val="auto"/>
              </w:rPr>
              <w:t>Kathleen Gibbons</w:t>
            </w:r>
          </w:p>
        </w:tc>
        <w:tc>
          <w:tcPr>
            <w:tcW w:w="3420" w:type="dxa"/>
            <w:vAlign w:val="bottom"/>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20"/>
                <w:szCs w:val="20"/>
                <w:color w:val="auto"/>
              </w:rPr>
              <w:t>VP, Finance</w:t>
            </w:r>
          </w:p>
        </w:tc>
        <w:tc>
          <w:tcPr>
            <w:tcW w:w="34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8">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-2651760</wp:posOffset>
            </wp:positionV>
            <wp:extent cx="6457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color w:val="auto"/>
        </w:rPr>
        <w:t>33 / 37</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1.1 - 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color w:val="auto"/>
        </w:rPr>
        <w:t>34 / 37</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1.2 – Drug Product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color w:val="auto"/>
        </w:rPr>
        <w:t>35 / 37</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1.3 - Key Material</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color w:val="auto"/>
        </w:rPr>
        <w:t>36 / 37</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1.4 – Commercial Terms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4"/>
          <w:szCs w:val="14"/>
          <w:color w:val="auto"/>
        </w:rPr>
        <w:t>37 / 37</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714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Henn</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KG</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Siegfried</w:t>
            </w:r>
          </w:p>
        </w:tc>
        <w:tc>
          <w:tcPr>
            <w:tcW w:w="1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Jazz</w:t>
            </w:r>
          </w:p>
        </w:tc>
      </w:tr>
    </w:tbl>
    <w:p>
      <w:pPr>
        <w:sectPr>
          <w:pgSz w:w="11900" w:h="16838" w:orient="portrait"/>
          <w:cols w:equalWidth="0" w:num="1">
            <w:col w:w="11420"/>
          </w:cols>
          <w:pgMar w:left="240" w:top="14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10.22</w:t>
      </w:r>
    </w:p>
    <w:p>
      <w:pPr>
        <w:spacing w:after="0" w:line="34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WITHOUT PREJUDICE / SUBJECT TO CONTRACT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Compromise Agreement</w:t>
      </w:r>
    </w:p>
    <w:p>
      <w:pPr>
        <w:spacing w:after="0" w:line="387" w:lineRule="exact"/>
        <w:rPr>
          <w:sz w:val="20"/>
          <w:szCs w:val="20"/>
          <w:color w:val="auto"/>
        </w:rPr>
      </w:pPr>
    </w:p>
    <w:tbl>
      <w:tblPr>
        <w:tblLayout w:type="fixed"/>
        <w:tblInd w:w="900" w:type="dxa"/>
        <w:tblCellMar>
          <w:top w:w="0" w:type="dxa"/>
          <w:left w:w="0" w:type="dxa"/>
          <w:bottom w:w="0" w:type="dxa"/>
          <w:right w:w="0" w:type="dxa"/>
        </w:tblCellMar>
      </w:tblPr>
      <w:tr>
        <w:trPr>
          <w:trHeight w:val="239"/>
        </w:trPr>
        <w:tc>
          <w:tcPr>
            <w:tcW w:w="4340" w:type="dxa"/>
            <w:vAlign w:val="bottom"/>
          </w:tcPr>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w:t>
            </w:r>
          </w:p>
        </w:tc>
        <w:tc>
          <w:tcPr>
            <w:tcW w:w="2780" w:type="dxa"/>
            <w:vAlign w:val="bottom"/>
          </w:tcPr>
          <w:p>
            <w:pPr>
              <w:ind w:left="1800"/>
              <w:spacing w:after="0"/>
              <w:rPr>
                <w:sz w:val="20"/>
                <w:szCs w:val="20"/>
                <w:color w:val="auto"/>
              </w:rPr>
            </w:pPr>
            <w:r>
              <w:rPr>
                <w:rFonts w:ascii="Arial" w:cs="Arial" w:eastAsia="Arial" w:hAnsi="Arial"/>
                <w:sz w:val="18"/>
                <w:szCs w:val="18"/>
                <w:color w:val="auto"/>
                <w:w w:val="97"/>
              </w:rPr>
              <w:t>05 Oct 2019</w:t>
            </w:r>
          </w:p>
        </w:tc>
      </w:tr>
    </w:tbl>
    <w:p>
      <w:pPr>
        <w:spacing w:after="0" w:line="200" w:lineRule="exact"/>
        <w:rPr>
          <w:sz w:val="20"/>
          <w:szCs w:val="20"/>
          <w:color w:val="auto"/>
        </w:r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68" w:lineRule="exact"/>
        <w:rPr>
          <w:sz w:val="20"/>
          <w:szCs w:val="20"/>
          <w:color w:val="auto"/>
        </w:rPr>
      </w:pPr>
    </w:p>
    <w:p>
      <w:pPr>
        <w:ind w:left="660" w:hanging="652"/>
        <w:spacing w:after="0" w:line="30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JAZZ PHARMACEUTICALS IRELAND LIMITED </w:t>
      </w:r>
      <w:r>
        <w:rPr>
          <w:rFonts w:ascii="Arial" w:cs="Arial" w:eastAsia="Arial" w:hAnsi="Arial"/>
          <w:sz w:val="18"/>
          <w:szCs w:val="18"/>
          <w:color w:val="auto"/>
        </w:rPr>
        <w:t>a company incorporated under the laws of Ireland having its registered office at Fifth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Waterloo Exchange, Waterloo Road, Dublin 4 (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39" w:lineRule="exact"/>
        <w:rPr>
          <w:sz w:val="20"/>
          <w:szCs w:val="20"/>
          <w:color w:val="auto"/>
        </w:rPr>
      </w:pPr>
    </w:p>
    <w:p>
      <w:pPr>
        <w:ind w:right="7200" w:firstLine="8"/>
        <w:spacing w:after="0" w:line="516"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PAUL TREACY </w:t>
      </w:r>
      <w:r>
        <w:rPr>
          <w:rFonts w:ascii="Arial" w:cs="Arial" w:eastAsia="Arial" w:hAnsi="Arial"/>
          <w:sz w:val="18"/>
          <w:szCs w:val="18"/>
          <w:color w:val="auto"/>
        </w:rPr>
        <w:t>of Ireland (the “</w:t>
      </w:r>
      <w:r>
        <w:rPr>
          <w:rFonts w:ascii="Arial" w:cs="Arial" w:eastAsia="Arial" w:hAnsi="Arial"/>
          <w:sz w:val="18"/>
          <w:szCs w:val="18"/>
          <w:b w:val="1"/>
          <w:bCs w:val="1"/>
          <w:color w:val="auto"/>
        </w:rPr>
        <w:t>Employee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61" w:lineRule="exact"/>
        <w:rPr>
          <w:sz w:val="20"/>
          <w:szCs w:val="20"/>
          <w:color w:val="auto"/>
        </w:rPr>
      </w:pPr>
    </w:p>
    <w:p>
      <w:pPr>
        <w:jc w:val="both"/>
        <w:ind w:left="660" w:hanging="652"/>
        <w:spacing w:after="0" w:line="271"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Employee is presently employed by the Company on the terms and the conditions set out in a contract of employment dated 10 June 2014, executed by the Employee on 23 June 2014, and amended by letter dated 8 December 2014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is agreed that the three-month notice of termination of the Employee’s employment pursuant to clause 15 of the Employment Contract shall officially begin as of 1 October 2019 (the “</w:t>
      </w:r>
      <w:r>
        <w:rPr>
          <w:rFonts w:ascii="Arial" w:cs="Arial" w:eastAsia="Arial" w:hAnsi="Arial"/>
          <w:sz w:val="18"/>
          <w:szCs w:val="18"/>
          <w:b w:val="1"/>
          <w:bCs w:val="1"/>
          <w:color w:val="auto"/>
        </w:rPr>
        <w:t>Notice Effective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is entering into this Agreement for itself and on behalf of each of its Associated Undertakings.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239"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Termination of employment; Transition Assistance</w:t>
      </w:r>
      <w:r>
        <w:rPr>
          <w:rFonts w:ascii="Arial" w:cs="Arial" w:eastAsia="Arial" w:hAnsi="Arial"/>
          <w:sz w:val="18"/>
          <w:szCs w:val="18"/>
          <w:color w:val="auto"/>
        </w:rPr>
        <w:t>.</w:t>
      </w:r>
    </w:p>
    <w:p>
      <w:pPr>
        <w:spacing w:after="0" w:line="23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Employee’s employment with the Company shall terminate on 31 December 2019 (the “</w:t>
      </w:r>
      <w:r>
        <w:rPr>
          <w:rFonts w:ascii="Arial" w:cs="Arial" w:eastAsia="Arial" w:hAnsi="Arial"/>
          <w:sz w:val="18"/>
          <w:szCs w:val="18"/>
          <w:b w:val="1"/>
          <w:bCs w:val="1"/>
          <w:color w:val="auto"/>
        </w:rPr>
        <w:t>Termination Date</w:t>
      </w:r>
      <w:r>
        <w:rPr>
          <w:rFonts w:ascii="Arial" w:cs="Arial" w:eastAsia="Arial" w:hAnsi="Arial"/>
          <w:sz w:val="18"/>
          <w:szCs w:val="18"/>
          <w:color w:val="auto"/>
        </w:rPr>
        <w:t>”). Prior to the Notice Effective Date, the Employee will reasonably cooperate with the Company and provide full transition assistance with respect to his role, duties and projects, including, but not limited to, working closely with Daniel Swisher on preparing and implementing a mutually acceptable communication plan regarding his departure (including internal and external communications), and the transition plan for his responsibilities and relationships.</w:t>
      </w:r>
    </w:p>
    <w:p>
      <w:pPr>
        <w:spacing w:after="0" w:line="11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Save as set out in this Agreement, the Employee’s entitlement to salary and all other benefits associated with his employment by the Company shall continue until the Termination Date when they shall cease.</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By reason of the termination of his employment, the Employee is entitled to receive the following payments: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salary and contractual benefits up to and including the Termination Date; and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payment in lieu of outstanding annual leave accrued by the Employee, but not taken at the Termination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6" w:right="239" w:bottom="1440" w:gutter="0" w:footer="0" w:header="0"/>
        </w:sectPr>
      </w:pPr>
    </w:p>
    <w:bookmarkStart w:id="184" w:name="page185"/>
    <w:bookmarkEnd w:id="184"/>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payments specified in clause 1.3 shall be paid in the ordinary course via Company payroll and shall be subject to such income tax, PRSI and USC and other deductions as the Company is required (or permitted) to deduct from the gross amount and remit to the Irish Revenue Commissioners and/or any other tax or, governmental or, fiscal authority (“</w:t>
      </w:r>
      <w:r>
        <w:rPr>
          <w:rFonts w:ascii="Arial" w:cs="Arial" w:eastAsia="Arial" w:hAnsi="Arial"/>
          <w:sz w:val="18"/>
          <w:szCs w:val="18"/>
          <w:b w:val="1"/>
          <w:bCs w:val="1"/>
          <w:color w:val="auto"/>
        </w:rPr>
        <w:t>Revenue</w:t>
      </w:r>
      <w:r>
        <w:rPr>
          <w:rFonts w:ascii="Arial" w:cs="Arial" w:eastAsia="Arial" w:hAnsi="Arial"/>
          <w:sz w:val="18"/>
          <w:szCs w:val="18"/>
          <w:color w:val="auto"/>
        </w:rPr>
        <w:t>”) under the relevant tax and social welfare (or equivalent) legislation.</w:t>
      </w:r>
    </w:p>
    <w:p>
      <w:pPr>
        <w:spacing w:after="0" w:line="10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Garden Leave</w:t>
      </w:r>
    </w:p>
    <w:p>
      <w:pPr>
        <w:spacing w:after="0" w:line="26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Between the Notice Effective Date and the Termination Date, the Employee shall be on paid garden leave. During the garden leave period, the Company shall not be obliged to provide the Employee with any work or assign to him any powers, duties or functions (and shall be entitled to appoint the Employee’s successor). Save as agreed or requested by the Company, during the garden leave period the Employee: shall be removed from his position and not undertake any job duties; shall not enter any premises of the Company or any Associated Undertaking; and shall not engage in any contact (whether or not initiated by him), other than social contact, with any customer, client, supplier, consultant or agent of the Company or any Associated Undertaking.</w:t>
      </w:r>
    </w:p>
    <w:p>
      <w:pPr>
        <w:spacing w:after="0" w:line="12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For the avoidance of doubt, during the garden leave period the Employee shall continue to be bound by the duties of fidelity and good faith and shall comply with any and all relevant obligations under the Employment Contract or implied by common law (including but not limited to the duties of confidentiality and trust and confidence).</w:t>
      </w:r>
    </w:p>
    <w:p>
      <w:pPr>
        <w:spacing w:after="0" w:line="12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During the garden leave period, the Company may require the Employee to undertake at his home or at the premises of the Company or any Associated Undertaking or at such place reasonably nominated by the Company such reasonable duties as the Company may at its discretion assign to him and to provide any reasonable assistance requested by the Company or any Associated Undertaking. In particular, the Employee shall be required to provide full transition assistance to the Company including (but not limited to) assistance with regard to a mutually acceptable communication plan regarding his departure, and the transition of his responsibilities and relationships. The Employee shall hold himself available and remain contactable during normal business hours (other than agreed holidays or authorised sickness) to perform any such duties or provide any such assistance and shall ensure that the Company has up to date contact details for him.</w:t>
      </w:r>
    </w:p>
    <w:p>
      <w:pPr>
        <w:spacing w:after="0" w:line="108"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Consideration, settlement, release and discharge</w:t>
      </w:r>
    </w:p>
    <w:p>
      <w:pPr>
        <w:spacing w:after="0" w:line="26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As compensation for the Employee’s loss of employment, and subject to compliance by the Employee with his obligations under this Agreement, including providing the transition assistance discussed in clause 1.1 and signing and returning the Supplemental Waiver of Claims referred to in clause 9 (below), the Company shall make an ex gratia payment (the “</w:t>
      </w:r>
      <w:r>
        <w:rPr>
          <w:rFonts w:ascii="Arial" w:cs="Arial" w:eastAsia="Arial" w:hAnsi="Arial"/>
          <w:sz w:val="18"/>
          <w:szCs w:val="18"/>
          <w:b w:val="1"/>
          <w:bCs w:val="1"/>
          <w:color w:val="auto"/>
        </w:rPr>
        <w:t>Termination Payment</w:t>
      </w:r>
      <w:r>
        <w:rPr>
          <w:rFonts w:ascii="Arial" w:cs="Arial" w:eastAsia="Arial" w:hAnsi="Arial"/>
          <w:sz w:val="18"/>
          <w:szCs w:val="18"/>
          <w:color w:val="auto"/>
        </w:rPr>
        <w:t>”) to the Employee by no later than the Payment Date (defined below) consisting of the following amounts: (a) 2019 bonus in the amount of €180,000; (b) 2020 bonus in the amount of €180,000; (c) twenty-four (24) months of basic salary in the amount of €800,000; and (d) an amount equivalent to twenty-four (24) months of the Employee’s regular monthly employee benefits in effect as of the Termination Date.</w:t>
      </w:r>
    </w:p>
    <w:p>
      <w:pPr>
        <w:spacing w:after="0" w:line="12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Termination Payment shall be in full and final settlement, release and discharge of any and all actions or causes of actions, claims, complaints, contracts, liabilities and agreements (if any) as the Employee has or may have against the Company and/or any Associated Undertaking, and its or their employees, officers, shareholders and agents, whether arising under Statute, common law, contract, tort (including claims for personal injuries), equity or otherwise arising out of his employment and/or the termination of such employment.</w:t>
      </w:r>
    </w:p>
    <w:p>
      <w:pPr>
        <w:spacing w:after="0" w:line="1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For the purposes of this Agreement, the expression ‘</w:t>
      </w:r>
      <w:r>
        <w:rPr>
          <w:rFonts w:ascii="Arial" w:cs="Arial" w:eastAsia="Arial" w:hAnsi="Arial"/>
          <w:sz w:val="17"/>
          <w:szCs w:val="17"/>
          <w:b w:val="1"/>
          <w:bCs w:val="1"/>
          <w:color w:val="auto"/>
        </w:rPr>
        <w:t>Statute</w:t>
      </w:r>
      <w:r>
        <w:rPr>
          <w:rFonts w:ascii="Arial" w:cs="Arial" w:eastAsia="Arial" w:hAnsi="Arial"/>
          <w:sz w:val="17"/>
          <w:szCs w:val="17"/>
          <w:color w:val="auto"/>
        </w:rPr>
        <w:t>’ shall include, but not be limited to the following:</w:t>
      </w:r>
    </w:p>
    <w:p>
      <w:pPr>
        <w:spacing w:after="0" w:line="180" w:lineRule="exact"/>
        <w:rPr>
          <w:sz w:val="20"/>
          <w:szCs w:val="20"/>
          <w:color w:val="auto"/>
        </w:rPr>
      </w:pPr>
    </w:p>
    <w:p>
      <w:pPr>
        <w:ind w:left="1140" w:hanging="484"/>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Redundancy Payments Acts 1967</w:t>
      </w:r>
      <w:r>
        <w:rPr>
          <w:rFonts w:ascii="Arial" w:cs="Arial" w:eastAsia="Arial" w:hAnsi="Arial"/>
          <w:sz w:val="18"/>
          <w:szCs w:val="18"/>
          <w:color w:val="363636"/>
        </w:rPr>
        <w:t>-</w:t>
      </w:r>
      <w:r>
        <w:rPr>
          <w:rFonts w:ascii="Arial" w:cs="Arial" w:eastAsia="Arial" w:hAnsi="Arial"/>
          <w:sz w:val="18"/>
          <w:szCs w:val="18"/>
          <w:color w:val="auto"/>
        </w:rPr>
        <w:t xml:space="preserve"> 2014;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85" w:name="page186"/>
    <w:bookmarkEnd w:id="185"/>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Terms of Employment (Information) Acts 1994 </w:t>
      </w:r>
      <w:r>
        <w:rPr>
          <w:rFonts w:ascii="Arial" w:cs="Arial" w:eastAsia="Arial" w:hAnsi="Arial"/>
          <w:sz w:val="18"/>
          <w:szCs w:val="18"/>
          <w:color w:val="363636"/>
        </w:rPr>
        <w:t>-</w:t>
      </w:r>
      <w:r>
        <w:rPr>
          <w:rFonts w:ascii="Arial" w:cs="Arial" w:eastAsia="Arial" w:hAnsi="Arial"/>
          <w:sz w:val="18"/>
          <w:szCs w:val="18"/>
          <w:color w:val="auto"/>
        </w:rPr>
        <w:t xml:space="preserve"> 2014;</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Minimum Notice and Terms of Employment Acts 1973 </w:t>
      </w:r>
      <w:r>
        <w:rPr>
          <w:rFonts w:ascii="Arial" w:cs="Arial" w:eastAsia="Arial" w:hAnsi="Arial"/>
          <w:sz w:val="18"/>
          <w:szCs w:val="18"/>
          <w:color w:val="363636"/>
        </w:rPr>
        <w:t>-</w:t>
      </w:r>
      <w:r>
        <w:rPr>
          <w:rFonts w:ascii="Arial" w:cs="Arial" w:eastAsia="Arial" w:hAnsi="Arial"/>
          <w:sz w:val="18"/>
          <w:szCs w:val="18"/>
          <w:color w:val="auto"/>
        </w:rPr>
        <w:t xml:space="preserve"> 2005;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Protection of Employment Act 1977 - 2014;</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Protection of Employment (Exceptional Collective Redundancies and Related Matters) Act 2007;</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Organisation of Working Time Act 1997;</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Payment of Wages Act 1991;</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Unfair Dismissals Acts 1977 </w:t>
      </w:r>
      <w:r>
        <w:rPr>
          <w:rFonts w:ascii="Arial" w:cs="Arial" w:eastAsia="Arial" w:hAnsi="Arial"/>
          <w:sz w:val="18"/>
          <w:szCs w:val="18"/>
          <w:color w:val="363636"/>
        </w:rPr>
        <w:t>-</w:t>
      </w:r>
      <w:r>
        <w:rPr>
          <w:rFonts w:ascii="Arial" w:cs="Arial" w:eastAsia="Arial" w:hAnsi="Arial"/>
          <w:sz w:val="18"/>
          <w:szCs w:val="18"/>
          <w:color w:val="auto"/>
        </w:rPr>
        <w:t xml:space="preserve"> 2015;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Protected Disclosures Act 2014;</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Employment Equality Acts 1998 </w:t>
      </w:r>
      <w:r>
        <w:rPr>
          <w:rFonts w:ascii="Arial" w:cs="Arial" w:eastAsia="Arial" w:hAnsi="Arial"/>
          <w:sz w:val="18"/>
          <w:szCs w:val="18"/>
          <w:color w:val="363636"/>
        </w:rPr>
        <w:t>-</w:t>
      </w:r>
      <w:r>
        <w:rPr>
          <w:rFonts w:ascii="Arial" w:cs="Arial" w:eastAsia="Arial" w:hAnsi="Arial"/>
          <w:sz w:val="18"/>
          <w:szCs w:val="18"/>
          <w:color w:val="auto"/>
        </w:rPr>
        <w:t xml:space="preserve"> 2015;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European Communities (Protection of Employees on Transfer of Undertakings) Regulations 2003;</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Maternity Protection Acts 1994 and 2004;</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Adoptive Leave Acts 1995 and 2005;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Parental Leave Acts 1998 and 2006;</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Paternity Leave and Benefit Act 2016;</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National Minimum Wage Acts 2000 and 2015;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Carer’s Leave Act 2001 (as amended);</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Protection of Employees (Part-Time Work) Act 2001;</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Protection of Employees (Fixed-Term Work) Act 2003;</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Industrial Relations Acts, 1946 </w:t>
      </w:r>
      <w:r>
        <w:rPr>
          <w:rFonts w:ascii="Arial" w:cs="Arial" w:eastAsia="Arial" w:hAnsi="Arial"/>
          <w:sz w:val="18"/>
          <w:szCs w:val="18"/>
          <w:color w:val="363636"/>
        </w:rPr>
        <w:t>-</w:t>
      </w:r>
      <w:r>
        <w:rPr>
          <w:rFonts w:ascii="Arial" w:cs="Arial" w:eastAsia="Arial" w:hAnsi="Arial"/>
          <w:sz w:val="18"/>
          <w:szCs w:val="18"/>
          <w:color w:val="auto"/>
        </w:rPr>
        <w:t xml:space="preserve"> 2015;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Data Protection Acts 1988 - 2018;</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Workplace Relations Act 2015;</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Employment (Miscellaneous Provisions) Act 2018; and</w:t>
      </w:r>
    </w:p>
    <w:p>
      <w:pPr>
        <w:spacing w:after="0" w:line="238" w:lineRule="exact"/>
        <w:rPr>
          <w:rFonts w:ascii="Arial" w:cs="Arial" w:eastAsia="Arial" w:hAnsi="Arial"/>
          <w:sz w:val="18"/>
          <w:szCs w:val="18"/>
          <w:color w:val="auto"/>
        </w:rPr>
      </w:pPr>
    </w:p>
    <w:p>
      <w:pPr>
        <w:ind w:left="1120" w:hanging="48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Safety Health and Welfare at Work Act 2005 - 2014.</w:t>
      </w:r>
    </w:p>
    <w:p>
      <w:pPr>
        <w:spacing w:after="0" w:line="217"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For the purposes of clause 3.1, the “</w:t>
      </w:r>
      <w:r>
        <w:rPr>
          <w:rFonts w:ascii="Arial" w:cs="Arial" w:eastAsia="Arial" w:hAnsi="Arial"/>
          <w:sz w:val="18"/>
          <w:szCs w:val="18"/>
          <w:b w:val="1"/>
          <w:bCs w:val="1"/>
          <w:color w:val="auto"/>
        </w:rPr>
        <w:t>Payment Date</w:t>
      </w:r>
      <w:r>
        <w:rPr>
          <w:rFonts w:ascii="Arial" w:cs="Arial" w:eastAsia="Arial" w:hAnsi="Arial"/>
          <w:sz w:val="18"/>
          <w:szCs w:val="18"/>
          <w:color w:val="auto"/>
        </w:rPr>
        <w:t>” shall mean the date which is 30 days after the date on which the Company receives from the Employee a duly executed copy of the Supplemental Waiver of Claims (provided that the Employee signs and returns this Agreement by no later than 4 October 2019).</w:t>
      </w:r>
    </w:p>
    <w:p>
      <w:pPr>
        <w:spacing w:after="0" w:line="111"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Employee acknowledges that the payment to him of the Termination Payment is made without any admission of any liability or breach of statute or law by the Company or of any duty or obligation owed to him by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368" w:right="239" w:bottom="1440" w:gutter="0" w:footer="0" w:header="0"/>
        </w:sectPr>
      </w:pPr>
    </w:p>
    <w:bookmarkStart w:id="186" w:name="page187"/>
    <w:bookmarkEnd w:id="186"/>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Subject to the Employee’s signature of the Form of letter attached at Appendix 1 in a form satisfactory to the Company, the Termination Payment will be made in the most tax efficient manner permitted by law provided that this does not result in any additional cost or liability whatsoever to the Company and, subject thereto, the Termination Payment shall be subject to such income tax, PRSI, USC and other deductions as the Company is required to deduct from the gross amount and remit to Revenue under the relevant tax and social welfare legislation.</w:t>
      </w:r>
    </w:p>
    <w:p>
      <w:pPr>
        <w:spacing w:after="0" w:line="12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The Employee hereby agrees to indemnify and hold harmless the Company and any Associated Undertaking in full (on a continuing basis) against any tax liabilities, charges, levies, duties, social security liabilities, withholdings, other fiscal impositions and other similar deductions of any kind whatsoever, including any interest, charges, surcharges, fines and penalties thereon or claims made by Revenue arising from or in connection with the payment of the Termination Payment and any other payments contemplated under this Agreement, which may arise subsequent to the date hereof.</w:t>
      </w:r>
    </w:p>
    <w:p>
      <w:pPr>
        <w:spacing w:after="0" w:line="101"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26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Employee shall continue to be bound by any of the provisions of the Employment Contract which are expressed to take effect on or to continue after the termination of his employment including, but not limited to, clauses 23, 24 and 25 thereof.</w:t>
      </w:r>
    </w:p>
    <w:p>
      <w:pPr>
        <w:spacing w:after="0" w:line="11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Employee hereby covenants and agrees that he will not, from the Termination Date, hold himself out or expressly or impliedly represent to any third party that he has the authority to speak for, represent or in any way bind the Company, or any of its Associated Undertakings.</w:t>
      </w:r>
    </w:p>
    <w:p>
      <w:pPr>
        <w:spacing w:after="0" w:line="12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Without prejudice to any obligations owed by him under the Employment Contract, the Employee acknowledges that during the term of his employment, he had access to information which is confidential and/or proprietary to the Company, including but not limited to trade secrets, know-how, information that results from research and development, technical data, information concerning past, existing or prospective customers and/or suppliers and other information of a commercial, financial or technical nature relating in any way whatsoever to the business and affairs of the Company, and its Associated Undertakings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The Employee undertakes and agrees that all Confidential Information shall be and remain at all times the exclusive property of the Company. The Employee further undertakes and agrees that he will not at any time prior to or following the termination of his employment with the Company reveal, publish or disclose Confidential Information to any person, association, future employer or company nor shall he use it for his own benefit or for the benefit of others without prior written consent of a duly authorised officer of the Company.</w:t>
      </w:r>
    </w:p>
    <w:p>
      <w:pPr>
        <w:spacing w:after="0" w:line="107"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Return of property</w:t>
      </w:r>
    </w:p>
    <w:p>
      <w:pPr>
        <w:spacing w:after="0" w:line="26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Employee shall, no later than the Notice Effective Date, deliver up to the Company, all property belonging to the Company in his possession or under his control including but not limited to any Company vehicle and all accessories, Company mobile phone, laptop and any other electronic communication devices, security card or key to the premises, Company credit cards, Company files, personnel records, books, returns, Company information, memoranda, data, correspondence and all documentation prepared or obtained by the Employee in the course of his employment with the Company relating to its business and affairs; and the Employee undertakes not to retain copies of any of the foregoing documents without the prior written consent of the Company. The Employee agrees to provide a warranty to the Company, upon request, as to his compliance with this provision.</w:t>
      </w:r>
    </w:p>
    <w:p>
      <w:pPr>
        <w:spacing w:after="0" w:line="124"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Employee shall, no later than the Notice Effective Date, provide to the Company full details of all then current passwords used by the Employee in respect of computer equipment belonging to the Company or any Associated Undertaking and, having forwarded a copy to the Company, irretrievably delete from any computer drives, disks, tapes or other re-usable material and/or from any website and/or email account in the Employee’s possession or under his control (but which do not belong to the Company or any Associated Undertaking) any information belonging or relating to the business of the Company or any Associated Undertaking, their customers, clients or suppliers.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After deleting such material, the Employee shall at the Company’s request warrant in writing that he has complied with this clause.</w:t>
      </w:r>
    </w:p>
    <w:p>
      <w:pPr>
        <w:spacing w:after="0" w:line="13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No voluntary disclosure</w:t>
      </w:r>
    </w:p>
    <w:p>
      <w:pPr>
        <w:spacing w:after="0" w:line="260"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8"/>
          <w:szCs w:val="18"/>
          <w:color w:val="auto"/>
        </w:rPr>
        <w:t>Except as disclosure may be required by law (including corporate filing requirements), the Parties agree that the terms of this Agreement are confidential as between the Parties and that they shall not voluntarily divulge or publish, directly or indirectly, any information whatsoever regarding the substance, terms or existence of this Agreement. Notwithstanding the foregoing, the Parties may disclose this Agreement to their legal and other professional advisors, and the Employee may disclose this Agreement in confidence to his immediate family members.</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No adverse remarks</w:t>
      </w:r>
    </w:p>
    <w:p>
      <w:pPr>
        <w:spacing w:after="0" w:line="260"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The Employee shall not at any time make any negative or adverse remarks whatsoever concerning the Company or any Associated Undertaking or any of its or their shareholders, directors, officers, employees or agents or concerning the business, operations, technologies, products, services, marketing strategies, pricing policies, management affairs, financial condition, systems and procedures, controls, books and records, or service provider of the Company or any Associated Undertaking. The following individuals shall be instructed not to make negative or adverse remarks whatsoever concerning the Employee’s employment with the Company: Bruce Cozadd, Chief Executive Officer; Daniel Swisher, President and Chief Operating Officer; Heidi Manna, Chief Human Resources Officer; and the members of the Board of Directors of Jazz Pharmaceuticals plc.</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Independent legal advice</w:t>
      </w:r>
    </w:p>
    <w:p>
      <w:pPr>
        <w:spacing w:after="0" w:line="26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Employee confirms and agrees that he has been advised to and afforded the opportunity of obtaining independent legal advice regarding the contents and effect of this Agreement.</w:t>
      </w:r>
    </w:p>
    <w:p>
      <w:pPr>
        <w:spacing w:after="0" w:line="11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Employee acknowledges that he understands the effect and implications of this Agreement. The Employee confirms that he has signed this Agreement with full understanding that he is releasing and compromising any and all claims that he has or might have against the Company arising from or connected with his employment with the Company and the termination of such employment.</w:t>
      </w:r>
    </w:p>
    <w:p>
      <w:pPr>
        <w:spacing w:after="0" w:line="101"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Supplemental waiver of claims</w:t>
      </w:r>
    </w:p>
    <w:p>
      <w:pPr>
        <w:spacing w:after="0" w:line="260"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18"/>
          <w:szCs w:val="18"/>
          <w:color w:val="auto"/>
        </w:rPr>
        <w:t>The Employee acknowledges that the payment of the Termination Payment is conditional upon the Employee signing and returning the Supplemental Waiver of Claims (set out in Schedule A to this Agreement) to Heidi Manna, Chief Human Resources Officer, on or within 7 days from the Termination Date.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6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shall be governed by and construed in accordance with the laws of Ireland and the courts of Ireland shall have exclusive jurisdiction to deal with all disputes arising from or touching upon this Agreement.</w:t>
      </w:r>
    </w:p>
    <w:p>
      <w:pPr>
        <w:spacing w:after="0" w:line="94"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this Agreement, “</w:t>
      </w:r>
      <w:r>
        <w:rPr>
          <w:rFonts w:ascii="Arial" w:cs="Arial" w:eastAsia="Arial" w:hAnsi="Arial"/>
          <w:sz w:val="18"/>
          <w:szCs w:val="18"/>
          <w:b w:val="1"/>
          <w:bCs w:val="1"/>
          <w:color w:val="auto"/>
        </w:rPr>
        <w:t>Associated Undertaking</w:t>
      </w:r>
      <w:r>
        <w:rPr>
          <w:rFonts w:ascii="Arial" w:cs="Arial" w:eastAsia="Arial" w:hAnsi="Arial"/>
          <w:sz w:val="18"/>
          <w:szCs w:val="18"/>
          <w:color w:val="auto"/>
        </w:rPr>
        <w:t>” means any undertaking which from time to time is a subsidiary of the Company or is a holding company of the Company or a subsidiary of any such holding company (“</w:t>
      </w:r>
      <w:r>
        <w:rPr>
          <w:rFonts w:ascii="Arial" w:cs="Arial" w:eastAsia="Arial" w:hAnsi="Arial"/>
          <w:sz w:val="18"/>
          <w:szCs w:val="18"/>
          <w:b w:val="1"/>
          <w:bCs w:val="1"/>
          <w:color w:val="auto"/>
        </w:rPr>
        <w:t>holding company</w:t>
      </w:r>
      <w:r>
        <w:rPr>
          <w:rFonts w:ascii="Arial" w:cs="Arial" w:eastAsia="Arial" w:hAnsi="Arial"/>
          <w:sz w:val="18"/>
          <w:szCs w:val="18"/>
          <w:color w:val="auto"/>
        </w:rPr>
        <w:t>” and “</w:t>
      </w:r>
      <w:r>
        <w:rPr>
          <w:rFonts w:ascii="Arial" w:cs="Arial" w:eastAsia="Arial" w:hAnsi="Arial"/>
          <w:sz w:val="18"/>
          <w:szCs w:val="18"/>
          <w:b w:val="1"/>
          <w:bCs w:val="1"/>
          <w:color w:val="auto"/>
        </w:rPr>
        <w:t>subsidiary</w:t>
      </w:r>
      <w:r>
        <w:rPr>
          <w:rFonts w:ascii="Arial" w:cs="Arial" w:eastAsia="Arial" w:hAnsi="Arial"/>
          <w:sz w:val="18"/>
          <w:szCs w:val="18"/>
          <w:color w:val="auto"/>
        </w:rPr>
        <w:t>” having the meanings set out in section 7 and 8 of the Irish Companies Act 2014). By way of example, but not limitation, Jazz Pharmaceuticals plc is an Associated Undertaking;</w:t>
      </w:r>
    </w:p>
    <w:p>
      <w:pPr>
        <w:spacing w:after="0" w:line="11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This Agreement contains the whole agreement between the Parties relating to the matters provided for in this Agreement and supersedes all previous agreements (if any) between the Parties in respect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88" w:name="page189"/>
    <w:bookmarkEnd w:id="188"/>
    <w:p>
      <w:pPr>
        <w:ind w:left="660"/>
        <w:spacing w:after="0" w:line="277" w:lineRule="auto"/>
        <w:rPr>
          <w:sz w:val="20"/>
          <w:szCs w:val="20"/>
          <w:color w:val="auto"/>
        </w:rPr>
      </w:pPr>
      <w:r>
        <w:rPr>
          <w:rFonts w:ascii="Arial" w:cs="Arial" w:eastAsia="Arial" w:hAnsi="Arial"/>
          <w:sz w:val="18"/>
          <w:szCs w:val="18"/>
          <w:color w:val="auto"/>
        </w:rPr>
        <w:t>of such matters and each Party acknowledges that in agreeing to enter into this Agreement they have not relied on any representations or warranties except for those contained in this Agreement.</w:t>
      </w:r>
    </w:p>
    <w:p>
      <w:pPr>
        <w:spacing w:after="0" w:line="11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This Agreement, although marked “without prejudice” and “subject to contract” shall, upon signature by both parties, be treated as an open document evidencing an agreement that is and will be binding on the parties.</w:t>
      </w:r>
    </w:p>
    <w:p>
      <w:pPr>
        <w:spacing w:after="0" w:line="11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This Agreement may be executed by the parties to this Agreement on separate counterparts, each of which when executed shall constitute the original and all such counterparts together constitute but one and the same instrument.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2580" w:type="dxa"/>
            <w:vAlign w:val="bottom"/>
            <w:gridSpan w:val="5"/>
          </w:tcPr>
          <w:p>
            <w:pPr>
              <w:spacing w:after="0"/>
              <w:rPr>
                <w:sz w:val="20"/>
                <w:szCs w:val="20"/>
                <w:color w:val="auto"/>
              </w:rPr>
            </w:pPr>
            <w:r>
              <w:rPr>
                <w:rFonts w:ascii="Arial" w:cs="Arial" w:eastAsia="Arial" w:hAnsi="Arial"/>
                <w:sz w:val="18"/>
                <w:szCs w:val="18"/>
                <w:color w:val="auto"/>
              </w:rPr>
              <w:t>Dated the  5  day of  October</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6"/>
        </w:trPr>
        <w:tc>
          <w:tcPr>
            <w:tcW w:w="920" w:type="dxa"/>
            <w:vAlign w:val="bottom"/>
          </w:tcPr>
          <w:p>
            <w:pPr>
              <w:spacing w:after="0"/>
              <w:rPr>
                <w:sz w:val="20"/>
                <w:szCs w:val="20"/>
                <w:color w:val="auto"/>
              </w:rPr>
            </w:pPr>
            <w:r>
              <w:rPr>
                <w:rFonts w:ascii="Arial" w:cs="Arial" w:eastAsia="Arial" w:hAnsi="Arial"/>
                <w:sz w:val="18"/>
                <w:szCs w:val="18"/>
                <w:b w:val="1"/>
                <w:bCs w:val="1"/>
                <w:color w:val="auto"/>
              </w:rPr>
              <w:t>SIGNED:</w:t>
            </w:r>
          </w:p>
        </w:tc>
        <w:tc>
          <w:tcPr>
            <w:tcW w:w="1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Paul Treacy</w:t>
            </w:r>
          </w:p>
        </w:tc>
        <w:tc>
          <w:tcPr>
            <w:tcW w:w="0" w:type="dxa"/>
            <w:vAlign w:val="bottom"/>
          </w:tcPr>
          <w:p>
            <w:pPr>
              <w:spacing w:after="0"/>
              <w:rPr>
                <w:sz w:val="1"/>
                <w:szCs w:val="1"/>
                <w:color w:val="auto"/>
              </w:rPr>
            </w:pPr>
          </w:p>
        </w:tc>
      </w:tr>
      <w:tr>
        <w:trPr>
          <w:trHeight w:val="230"/>
        </w:trPr>
        <w:tc>
          <w:tcPr>
            <w:tcW w:w="2580" w:type="dxa"/>
            <w:vAlign w:val="bottom"/>
            <w:gridSpan w:val="5"/>
          </w:tcPr>
          <w:p>
            <w:pPr>
              <w:spacing w:after="0"/>
              <w:rPr>
                <w:sz w:val="20"/>
                <w:szCs w:val="20"/>
                <w:color w:val="auto"/>
              </w:rPr>
            </w:pPr>
            <w:r>
              <w:rPr>
                <w:rFonts w:ascii="Arial" w:cs="Arial" w:eastAsia="Arial" w:hAnsi="Arial"/>
                <w:sz w:val="18"/>
                <w:szCs w:val="18"/>
                <w:color w:val="auto"/>
              </w:rPr>
              <w:t>Paul Treacy</w:t>
            </w:r>
          </w:p>
        </w:tc>
        <w:tc>
          <w:tcPr>
            <w:tcW w:w="7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DATE:</w:t>
            </w:r>
          </w:p>
        </w:tc>
        <w:tc>
          <w:tcPr>
            <w:tcW w:w="760" w:type="dxa"/>
            <w:vAlign w:val="bottom"/>
          </w:tcPr>
          <w:p>
            <w:pPr>
              <w:spacing w:after="0"/>
              <w:rPr>
                <w:sz w:val="24"/>
                <w:szCs w:val="24"/>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05 Oct 2019.</w:t>
            </w:r>
          </w:p>
        </w:tc>
        <w:tc>
          <w:tcPr>
            <w:tcW w:w="0" w:type="dxa"/>
            <w:vAlign w:val="bottom"/>
          </w:tcPr>
          <w:p>
            <w:pPr>
              <w:spacing w:after="0"/>
              <w:rPr>
                <w:sz w:val="1"/>
                <w:szCs w:val="1"/>
                <w:color w:val="auto"/>
              </w:rPr>
            </w:pPr>
          </w:p>
        </w:tc>
      </w:tr>
      <w:tr>
        <w:trPr>
          <w:trHeight w:val="531"/>
        </w:trPr>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IN THE</w:t>
            </w: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PRESENCE OF:</w:t>
            </w:r>
          </w:p>
        </w:tc>
        <w:tc>
          <w:tcPr>
            <w:tcW w:w="760" w:type="dxa"/>
            <w:vAlign w:val="bottom"/>
          </w:tcPr>
          <w:p>
            <w:pPr>
              <w:spacing w:after="0"/>
              <w:rPr>
                <w:sz w:val="19"/>
                <w:szCs w:val="19"/>
                <w:color w:val="auto"/>
              </w:rPr>
            </w:pPr>
          </w:p>
        </w:tc>
        <w:tc>
          <w:tcPr>
            <w:tcW w:w="3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 Veronique O’Sullivan</w:t>
            </w:r>
          </w:p>
        </w:tc>
        <w:tc>
          <w:tcPr>
            <w:tcW w:w="0" w:type="dxa"/>
            <w:vAlign w:val="bottom"/>
          </w:tcPr>
          <w:p>
            <w:pPr>
              <w:spacing w:after="0"/>
              <w:rPr>
                <w:sz w:val="1"/>
                <w:szCs w:val="1"/>
                <w:color w:val="auto"/>
              </w:rPr>
            </w:pPr>
          </w:p>
        </w:tc>
      </w:tr>
      <w:tr>
        <w:trPr>
          <w:trHeight w:val="229"/>
        </w:trPr>
        <w:tc>
          <w:tcPr>
            <w:tcW w:w="2580" w:type="dxa"/>
            <w:vAlign w:val="bottom"/>
            <w:gridSpan w:val="5"/>
          </w:tcPr>
          <w:p>
            <w:pPr>
              <w:spacing w:after="0"/>
              <w:rPr>
                <w:sz w:val="20"/>
                <w:szCs w:val="20"/>
                <w:color w:val="auto"/>
              </w:rPr>
            </w:pPr>
            <w:r>
              <w:rPr>
                <w:rFonts w:ascii="Arial" w:cs="Arial" w:eastAsia="Arial" w:hAnsi="Arial"/>
                <w:sz w:val="18"/>
                <w:szCs w:val="18"/>
                <w:color w:val="auto"/>
              </w:rPr>
              <w:t>Witness</w:t>
            </w:r>
          </w:p>
        </w:tc>
        <w:tc>
          <w:tcPr>
            <w:tcW w:w="760" w:type="dxa"/>
            <w:vAlign w:val="bottom"/>
          </w:tcPr>
          <w:p>
            <w:pPr>
              <w:spacing w:after="0"/>
              <w:rPr>
                <w:sz w:val="19"/>
                <w:szCs w:val="19"/>
                <w:color w:val="auto"/>
              </w:rPr>
            </w:pPr>
          </w:p>
        </w:tc>
        <w:tc>
          <w:tcPr>
            <w:tcW w:w="3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2580" w:type="dxa"/>
            <w:vAlign w:val="bottom"/>
            <w:gridSpan w:val="5"/>
          </w:tcPr>
          <w:p>
            <w:pPr>
              <w:spacing w:after="0"/>
              <w:rPr>
                <w:sz w:val="20"/>
                <w:szCs w:val="20"/>
                <w:color w:val="auto"/>
              </w:rPr>
            </w:pPr>
            <w:r>
              <w:rPr>
                <w:rFonts w:ascii="Arial" w:cs="Arial" w:eastAsia="Arial" w:hAnsi="Arial"/>
                <w:sz w:val="18"/>
                <w:szCs w:val="18"/>
                <w:color w:val="auto"/>
              </w:rPr>
              <w:t>Witness name,</w:t>
            </w: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gridSpan w:val="5"/>
          </w:tcPr>
          <w:p>
            <w:pPr>
              <w:spacing w:after="0" w:line="202" w:lineRule="exact"/>
              <w:rPr>
                <w:sz w:val="20"/>
                <w:szCs w:val="20"/>
                <w:color w:val="auto"/>
              </w:rPr>
            </w:pPr>
            <w:r>
              <w:rPr>
                <w:rFonts w:ascii="Arial" w:cs="Arial" w:eastAsia="Arial" w:hAnsi="Arial"/>
                <w:sz w:val="18"/>
                <w:szCs w:val="18"/>
                <w:color w:val="auto"/>
              </w:rPr>
              <w:t>occupation</w:t>
            </w:r>
          </w:p>
        </w:tc>
        <w:tc>
          <w:tcPr>
            <w:tcW w:w="7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80" w:type="dxa"/>
            <w:vAlign w:val="bottom"/>
            <w:gridSpan w:val="5"/>
          </w:tcPr>
          <w:p>
            <w:pPr>
              <w:spacing w:after="0"/>
              <w:rPr>
                <w:sz w:val="20"/>
                <w:szCs w:val="20"/>
                <w:color w:val="auto"/>
              </w:rPr>
            </w:pPr>
            <w:r>
              <w:rPr>
                <w:rFonts w:ascii="Arial" w:cs="Arial" w:eastAsia="Arial" w:hAnsi="Arial"/>
                <w:sz w:val="18"/>
                <w:szCs w:val="18"/>
                <w:color w:val="auto"/>
              </w:rPr>
              <w:t>and address</w:t>
            </w:r>
          </w:p>
        </w:tc>
        <w:tc>
          <w:tcPr>
            <w:tcW w:w="760" w:type="dxa"/>
            <w:vAlign w:val="bottom"/>
          </w:tcPr>
          <w:p>
            <w:pPr>
              <w:spacing w:after="0"/>
              <w:rPr>
                <w:sz w:val="19"/>
                <w:szCs w:val="19"/>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VERONIQUE O'SULLIVAN</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PUBLIC SERVANT</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 ARDFIELD MEADOWS</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ARDFIELD, DOUGLAS, CORK.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b w:val="1"/>
          <w:bCs w:val="1"/>
          <w:color w:val="auto"/>
        </w:rPr>
        <w:t>SIGNED:</w:t>
      </w:r>
      <w:r>
        <w:rPr>
          <w:sz w:val="20"/>
          <w:szCs w:val="20"/>
          <w:color w:val="auto"/>
        </w:rPr>
        <w:tab/>
      </w:r>
      <w:r>
        <w:rPr>
          <w:rFonts w:ascii="Arial" w:cs="Arial" w:eastAsia="Arial" w:hAnsi="Arial"/>
          <w:sz w:val="18"/>
          <w:szCs w:val="18"/>
          <w:i w:val="1"/>
          <w:iCs w:val="1"/>
          <w:color w:val="auto"/>
        </w:rPr>
        <w:t>/s/ Heidi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28575</wp:posOffset>
            </wp:positionV>
            <wp:extent cx="22726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the Company</w:t>
      </w:r>
    </w:p>
    <w:p>
      <w:pPr>
        <w:spacing w:after="0" w:line="379"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9/4/19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28575</wp:posOffset>
            </wp:positionV>
            <wp:extent cx="2272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99"/>
          </w:cols>
          <w:pgMar w:left="560" w:top="1310"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APPENDIX 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Confirmation Letter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Mr Paul Treacy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&amp; Confidential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Ireland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Fifth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Waterloo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Waterloo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Dublin 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refer to the ex gratia Termination Payment referenced in clause 3.1 of the Compromise Agreement between me and Jazz Pharmaceuticals Ireland Limited (the “</w:t>
      </w:r>
      <w:r>
        <w:rPr>
          <w:rFonts w:ascii="Arial" w:cs="Arial" w:eastAsia="Arial" w:hAnsi="Arial"/>
          <w:sz w:val="18"/>
          <w:szCs w:val="18"/>
          <w:b w:val="1"/>
          <w:bCs w:val="1"/>
          <w:color w:val="auto"/>
        </w:rPr>
        <w:t>Company</w:t>
      </w:r>
      <w:r>
        <w:rPr>
          <w:rFonts w:ascii="Arial" w:cs="Arial" w:eastAsia="Arial" w:hAnsi="Arial"/>
          <w:sz w:val="18"/>
          <w:szCs w:val="18"/>
          <w:color w:val="auto"/>
        </w:rPr>
        <w:t>”), to be paid to me by the Company in connection with the termination of my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Termination Date</w:t>
      </w:r>
      <w:r>
        <w:rPr>
          <w:rFonts w:ascii="Arial" w:cs="Arial" w:eastAsia="Arial" w:hAnsi="Arial"/>
          <w:sz w:val="18"/>
          <w:szCs w:val="18"/>
          <w:color w:val="auto"/>
        </w:rPr>
        <w:t>” has the same meaning as in the Compromise Agreement that I entered into with the Company.</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confirm that I have not made a claim under section 123, section 201 or Schedule 3 of the Taxes Consolidation Act 1997 (as amended) within the period of ten years prior to the Termination Date.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further confirm that the aggregate amount of all tax free payments made to me in respect of any and all ex-gratia payments received by me during my lifetime, including the tax exempt amount in respect of the proposed ex-gratia payment in clause 3.1 of the Compromise Agreement, does not exceed the limit of €200,000 as set out in section 201(8) of the Taxes Consolidation Act 1997 (as amended).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am entitled to receive a tax-free lump sum in the future under the Company’s occupational pension plan. The net present value as at the Termination Date of the future tax-free lump sum is approximately €164,491.70</w:t>
      </w:r>
    </w:p>
    <w:p>
      <w:pPr>
        <w:spacing w:after="0" w:line="360" w:lineRule="exact"/>
        <w:rPr>
          <w:sz w:val="20"/>
          <w:szCs w:val="20"/>
          <w:color w:val="auto"/>
        </w:rPr>
      </w:pPr>
    </w:p>
    <w:tbl>
      <w:tblPr>
        <w:tblLayout w:type="fixed"/>
        <w:tblInd w:w="460" w:type="dxa"/>
        <w:tblCellMar>
          <w:top w:w="0" w:type="dxa"/>
          <w:left w:w="0" w:type="dxa"/>
          <w:bottom w:w="0" w:type="dxa"/>
          <w:right w:w="0" w:type="dxa"/>
        </w:tblCellMar>
      </w:tblPr>
      <w:tr>
        <w:trPr>
          <w:trHeight w:val="224"/>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Yours sincerely</w:t>
            </w:r>
          </w:p>
        </w:tc>
        <w:tc>
          <w:tcPr>
            <w:tcW w:w="3060" w:type="dxa"/>
            <w:vAlign w:val="bottom"/>
            <w:gridSpan w:val="3"/>
          </w:tcPr>
          <w:p>
            <w:pPr>
              <w:ind w:left="560"/>
              <w:spacing w:after="0"/>
              <w:rPr>
                <w:sz w:val="20"/>
                <w:szCs w:val="20"/>
                <w:color w:val="auto"/>
              </w:rPr>
            </w:pPr>
            <w:r>
              <w:rPr>
                <w:rFonts w:ascii="Arial" w:cs="Arial" w:eastAsia="Arial" w:hAnsi="Arial"/>
                <w:sz w:val="18"/>
                <w:szCs w:val="18"/>
                <w:color w:val="auto"/>
              </w:rPr>
              <w:t>Witness Name: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VERONIQUE O'SULLIVAN</w:t>
            </w:r>
          </w:p>
        </w:tc>
      </w:tr>
      <w:tr>
        <w:trPr>
          <w:trHeight w:val="250"/>
        </w:trPr>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60" w:type="dxa"/>
            <w:vAlign w:val="bottom"/>
            <w:gridSpan w:val="3"/>
          </w:tcPr>
          <w:p>
            <w:pPr>
              <w:ind w:left="560"/>
              <w:spacing w:after="0"/>
              <w:rPr>
                <w:sz w:val="20"/>
                <w:szCs w:val="20"/>
                <w:color w:val="auto"/>
              </w:rPr>
            </w:pPr>
            <w:r>
              <w:rPr>
                <w:rFonts w:ascii="Arial" w:cs="Arial" w:eastAsia="Arial" w:hAnsi="Arial"/>
                <w:sz w:val="18"/>
                <w:szCs w:val="18"/>
                <w:color w:val="auto"/>
              </w:rPr>
              <w:t>Witness Address:</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 ARDFIELD MEADOWS, CORK</w:t>
            </w:r>
          </w:p>
        </w:tc>
      </w:tr>
      <w:tr>
        <w:trPr>
          <w:trHeight w:val="250"/>
        </w:trPr>
        <w:tc>
          <w:tcPr>
            <w:tcW w:w="3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Paul Treacy</w:t>
            </w:r>
          </w:p>
        </w:tc>
        <w:tc>
          <w:tcPr>
            <w:tcW w:w="3060" w:type="dxa"/>
            <w:vAlign w:val="bottom"/>
            <w:gridSpan w:val="3"/>
          </w:tcPr>
          <w:p>
            <w:pPr>
              <w:ind w:left="560"/>
              <w:spacing w:after="0"/>
              <w:rPr>
                <w:sz w:val="20"/>
                <w:szCs w:val="20"/>
                <w:color w:val="auto"/>
              </w:rPr>
            </w:pPr>
            <w:r>
              <w:rPr>
                <w:rFonts w:ascii="Arial" w:cs="Arial" w:eastAsia="Arial" w:hAnsi="Arial"/>
                <w:sz w:val="18"/>
                <w:szCs w:val="18"/>
                <w:color w:val="auto"/>
              </w:rPr>
              <w:t>Witness Occupation:</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PUBLIC SERVANT</w:t>
            </w:r>
          </w:p>
        </w:tc>
      </w:tr>
      <w:tr>
        <w:trPr>
          <w:trHeight w:val="243"/>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Paul Treacy</w:t>
            </w: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338"/>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Date: 14 NOV 2019</w:t>
            </w:r>
          </w:p>
        </w:tc>
        <w:tc>
          <w:tcPr>
            <w:tcW w:w="3060" w:type="dxa"/>
            <w:vAlign w:val="bottom"/>
            <w:gridSpan w:val="3"/>
          </w:tcPr>
          <w:p>
            <w:pPr>
              <w:ind w:left="560"/>
              <w:spacing w:after="0"/>
              <w:rPr>
                <w:sz w:val="20"/>
                <w:szCs w:val="20"/>
                <w:color w:val="auto"/>
              </w:rPr>
            </w:pPr>
            <w:r>
              <w:rPr>
                <w:rFonts w:ascii="Arial" w:cs="Arial" w:eastAsia="Arial" w:hAnsi="Arial"/>
                <w:sz w:val="18"/>
                <w:szCs w:val="18"/>
                <w:color w:val="auto"/>
              </w:rPr>
              <w:t>Date: 05 . OCT 2019</w:t>
            </w:r>
          </w:p>
        </w:tc>
        <w:tc>
          <w:tcPr>
            <w:tcW w:w="43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ectPr>
          <w:pgSz w:w="11900" w:h="16838" w:orient="portrait"/>
          <w:cols w:equalWidth="0" w:num="1">
            <w:col w:w="11420"/>
          </w:cols>
          <w:pgMar w:left="240" w:top="346"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SCHEDULE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Waiver of Claims</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further consideration of the terms and conditions of the Compromise Agreement executed by me on 05 October 2019, I accept the terms and conditions of this supplemental waiver of claims (“</w:t>
      </w:r>
      <w:r>
        <w:rPr>
          <w:rFonts w:ascii="Arial" w:cs="Arial" w:eastAsia="Arial" w:hAnsi="Arial"/>
          <w:sz w:val="18"/>
          <w:szCs w:val="18"/>
          <w:b w:val="1"/>
          <w:bCs w:val="1"/>
          <w:color w:val="auto"/>
        </w:rPr>
        <w:t>Waiver</w:t>
      </w:r>
      <w:r>
        <w:rPr>
          <w:rFonts w:ascii="Arial" w:cs="Arial" w:eastAsia="Arial" w:hAnsi="Arial"/>
          <w:sz w:val="18"/>
          <w:szCs w:val="18"/>
          <w:color w:val="auto"/>
        </w:rPr>
        <w:t>”) and waive as a full and final settlement, and satisfaction of any and all claims, actions or causes of action, suits, complaints, contracts or liabilities of whatsoever nature made and/or which may be made by me in Ireland and/or in any other jurisdiction anywhere in the world against the Company and any Associated Undertakings and/or each and all of their respective directors, officers, employees, shareholders and agents in connection with and/or arising out of and/or concerning my employment with the Company and/or the termination of such employment.</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Without prejudice to the generality of the foregoing, I hereby acknowledge and agree that the provisions made in the Compromise Agreement constitute a full and final settlement of all claims, actions or causes of action and demands made and/or which may be made by me against the Company, any Associated Undertakings and the other persons referred to above, whether such claims arise at common law, in equity, pursuant to Statute (including but not limited to the Redundancy Payments Acts 1967 </w:t>
      </w:r>
      <w:r>
        <w:rPr>
          <w:rFonts w:ascii="Arial" w:cs="Arial" w:eastAsia="Arial" w:hAnsi="Arial"/>
          <w:sz w:val="18"/>
          <w:szCs w:val="18"/>
          <w:color w:val="2D2D2D"/>
        </w:rPr>
        <w:t>-</w:t>
      </w:r>
      <w:r>
        <w:rPr>
          <w:rFonts w:ascii="Arial" w:cs="Arial" w:eastAsia="Arial" w:hAnsi="Arial"/>
          <w:sz w:val="18"/>
          <w:szCs w:val="18"/>
          <w:color w:val="auto"/>
        </w:rPr>
        <w:t xml:space="preserve"> 2014; the Terms of Employment (Information) Acts 1994 -2014; the Minimum Notice and Terms of Employment Acts 1973 - 2005; the Protection of Employment Act 1977-2014; the Protection of Employment (Exceptional Collective Redundancies and Related Matters) Act 2007; the Organisation of Working Time Act 1997; the Payment of Wages Act 1991; the Unfair Dismissals Acts 1977 </w:t>
      </w:r>
      <w:r>
        <w:rPr>
          <w:rFonts w:ascii="Arial" w:cs="Arial" w:eastAsia="Arial" w:hAnsi="Arial"/>
          <w:sz w:val="18"/>
          <w:szCs w:val="18"/>
          <w:color w:val="2D2D2D"/>
        </w:rPr>
        <w:t>-</w:t>
      </w:r>
      <w:r>
        <w:rPr>
          <w:rFonts w:ascii="Arial" w:cs="Arial" w:eastAsia="Arial" w:hAnsi="Arial"/>
          <w:sz w:val="18"/>
          <w:szCs w:val="18"/>
          <w:color w:val="auto"/>
        </w:rPr>
        <w:t xml:space="preserve"> 2015; the Protected Disclosures Act 2014; the Employment Equality Acts 1998 - 2015; the European Communities (Protection of Employees on Transfer of Undertakings) Regulations 2003; the Maternity Protection Acts 1994 and 2004; the Adoptive Leave Acts 1995 and 2005; the Parental Leave Acts 1998 and 2006; the Paternity Leave and Benefit Act 2016; the National Minimum Wage Acts 2000 and 2015; the Carer’s Leave Act 2001 (as amended); the Protection of Employees (Part-Time Work) Act 2001; the Protection of Employees (Fixed-Term Work) Act 2003; the Industrial Relations Acts, 1946 - 2015; the Data Protection Acts 1988 - 2018; the Workplace Relations Act 2015; the Employment (Miscellaneous Provisions) Act 2018, and the Safety Health and Welfare at Work Act 2005-2014) or pursuant to contract, in tort (including personal injury claims) or otherwise, howsoever arising.</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 acknowledge that I have read, advised of and been given an opportunity to take legal advice on the Compromise Agreement and the provisions hereof and that I understand, accept and agree to the contents of the same and, furthermore, that I am signing this Waiver voluntarily without coercion of any description and with full understanding that I am releasing and compromising any and all claims and demands of every nature whatsoever that I have or might have against the Company and its Associated Undertakings and the other persons referred to above, save only in respect of the obligations of the Company as set out in the Compromise Agreement.</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Dated this </w:t>
      </w:r>
      <w:r>
        <w:rPr>
          <w:rFonts w:ascii="Arial" w:cs="Arial" w:eastAsia="Arial" w:hAnsi="Arial"/>
          <w:sz w:val="18"/>
          <w:szCs w:val="18"/>
          <w:u w:val="single" w:color="auto"/>
          <w:color w:val="auto"/>
        </w:rPr>
        <w:t>6</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JAN</w:t>
      </w:r>
      <w:r>
        <w:rPr>
          <w:rFonts w:ascii="Arial" w:cs="Arial" w:eastAsia="Arial" w:hAnsi="Arial"/>
          <w:sz w:val="18"/>
          <w:szCs w:val="18"/>
          <w:color w:val="auto"/>
        </w:rPr>
        <w:t xml:space="preserve"> [month] </w:t>
      </w:r>
      <w:r>
        <w:rPr>
          <w:rFonts w:ascii="Arial" w:cs="Arial" w:eastAsia="Arial" w:hAnsi="Arial"/>
          <w:sz w:val="18"/>
          <w:szCs w:val="18"/>
          <w:u w:val="single" w:color="auto"/>
          <w:color w:val="auto"/>
        </w:rPr>
        <w:t>2020</w:t>
      </w:r>
      <w:r>
        <w:rPr>
          <w:rFonts w:ascii="Arial" w:cs="Arial" w:eastAsia="Arial" w:hAnsi="Arial"/>
          <w:sz w:val="18"/>
          <w:szCs w:val="18"/>
          <w:color w:val="auto"/>
        </w:rPr>
        <w:t xml:space="preserve"> [year]</w:t>
      </w:r>
    </w:p>
    <w:p>
      <w:pPr>
        <w:spacing w:after="0" w:line="369" w:lineRule="exact"/>
        <w:rPr>
          <w:sz w:val="20"/>
          <w:szCs w:val="20"/>
          <w:color w:val="auto"/>
        </w:rPr>
      </w:pPr>
    </w:p>
    <w:p>
      <w:pPr>
        <w:ind w:left="40"/>
        <w:spacing w:after="0"/>
        <w:tabs>
          <w:tab w:leader="none" w:pos="1500" w:val="left"/>
          <w:tab w:leader="none" w:pos="5180" w:val="left"/>
          <w:tab w:leader="none" w:pos="6400" w:val="left"/>
        </w:tabs>
        <w:rPr>
          <w:sz w:val="20"/>
          <w:szCs w:val="20"/>
          <w:color w:val="auto"/>
        </w:rPr>
      </w:pPr>
      <w:r>
        <w:rPr>
          <w:rFonts w:ascii="Arial" w:cs="Arial" w:eastAsia="Arial" w:hAnsi="Arial"/>
          <w:sz w:val="18"/>
          <w:szCs w:val="18"/>
          <w:color w:val="auto"/>
        </w:rPr>
        <w:t>Signed by:</w:t>
      </w:r>
      <w:r>
        <w:rPr>
          <w:sz w:val="20"/>
          <w:szCs w:val="20"/>
          <w:color w:val="auto"/>
        </w:rPr>
        <w:tab/>
      </w:r>
      <w:r>
        <w:rPr>
          <w:rFonts w:ascii="Arial" w:cs="Arial" w:eastAsia="Arial" w:hAnsi="Arial"/>
          <w:sz w:val="18"/>
          <w:szCs w:val="18"/>
          <w:i w:val="1"/>
          <w:iCs w:val="1"/>
          <w:color w:val="auto"/>
        </w:rPr>
        <w:t>/s/ Paul Treacy</w:t>
      </w:r>
      <w:r>
        <w:rPr>
          <w:sz w:val="20"/>
          <w:szCs w:val="20"/>
          <w:color w:val="auto"/>
        </w:rPr>
        <w:tab/>
      </w:r>
      <w:r>
        <w:rPr>
          <w:rFonts w:ascii="Arial" w:cs="Arial" w:eastAsia="Arial" w:hAnsi="Arial"/>
          <w:sz w:val="18"/>
          <w:szCs w:val="18"/>
          <w:color w:val="auto"/>
        </w:rPr>
        <w:t>Witness:</w:t>
      </w:r>
      <w:r>
        <w:rPr>
          <w:sz w:val="20"/>
          <w:szCs w:val="20"/>
          <w:color w:val="auto"/>
        </w:rPr>
        <w:tab/>
      </w:r>
      <w:r>
        <w:rPr>
          <w:rFonts w:ascii="Arial" w:cs="Arial" w:eastAsia="Arial" w:hAnsi="Arial"/>
          <w:sz w:val="17"/>
          <w:szCs w:val="17"/>
          <w:i w:val="1"/>
          <w:iCs w:val="1"/>
          <w:color w:val="auto"/>
        </w:rPr>
        <w:t>/s/ Veronique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26035</wp:posOffset>
            </wp:positionV>
            <wp:extent cx="5059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3">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PAUL TREACY</w:t>
      </w:r>
    </w:p>
    <w:p>
      <w:pPr>
        <w:sectPr>
          <w:pgSz w:w="11900" w:h="16838" w:orient="portrait"/>
          <w:cols w:equalWidth="0" w:num="1">
            <w:col w:w="11420"/>
          </w:cols>
          <w:pgMar w:left="240" w:top="34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10.27</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Mr. Finbar Larkin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 of Employment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Finbar,</w:t>
      </w:r>
    </w:p>
    <w:p>
      <w:pPr>
        <w:spacing w:after="0" w:line="220" w:lineRule="exact"/>
        <w:rPr>
          <w:sz w:val="20"/>
          <w:szCs w:val="20"/>
          <w:color w:val="auto"/>
        </w:rPr>
      </w:pPr>
    </w:p>
    <w:p>
      <w:pPr>
        <w:jc w:val="both"/>
        <w:ind w:right="140"/>
        <w:spacing w:after="0" w:line="253" w:lineRule="auto"/>
        <w:rPr>
          <w:sz w:val="20"/>
          <w:szCs w:val="20"/>
          <w:color w:val="auto"/>
        </w:rPr>
      </w:pPr>
      <w:r>
        <w:rPr>
          <w:rFonts w:ascii="Arial" w:cs="Arial" w:eastAsia="Arial" w:hAnsi="Arial"/>
          <w:sz w:val="22"/>
          <w:szCs w:val="22"/>
          <w:color w:val="auto"/>
        </w:rPr>
        <w:t>On behalf of Jazz Pharmaceuticals Ireland Limited of 4th Floor, Connaught House, 1 Burlington Road, Dublin 4, registered at the Companies Registration Office with company number 429847 (the “</w:t>
      </w:r>
      <w:r>
        <w:rPr>
          <w:rFonts w:ascii="Arial" w:cs="Arial" w:eastAsia="Arial" w:hAnsi="Arial"/>
          <w:sz w:val="22"/>
          <w:szCs w:val="22"/>
          <w:b w:val="1"/>
          <w:bCs w:val="1"/>
          <w:color w:val="auto"/>
        </w:rPr>
        <w:t>Company</w:t>
      </w:r>
      <w:r>
        <w:rPr>
          <w:rFonts w:ascii="Arial" w:cs="Arial" w:eastAsia="Arial" w:hAnsi="Arial"/>
          <w:sz w:val="22"/>
          <w:szCs w:val="22"/>
          <w:color w:val="auto"/>
        </w:rPr>
        <w:t>”), I am very pleased to offer you employment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Your employment will be subject to the following terms and conditions.</w:t>
      </w:r>
    </w:p>
    <w:p>
      <w:pPr>
        <w:spacing w:after="0" w:line="214"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w:t>
      </w:r>
    </w:p>
    <w:p>
      <w:pPr>
        <w:spacing w:after="0" w:line="225" w:lineRule="exact"/>
        <w:rPr>
          <w:rFonts w:ascii="Arial" w:cs="Arial" w:eastAsia="Arial" w:hAnsi="Arial"/>
          <w:sz w:val="22"/>
          <w:szCs w:val="22"/>
          <w:b w:val="1"/>
          <w:bCs w:val="1"/>
          <w:color w:val="auto"/>
        </w:rPr>
      </w:pPr>
    </w:p>
    <w:p>
      <w:pPr>
        <w:ind w:left="660" w:right="40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Your position with the Company will be as Executive Director, Technical Operations or such other role as the Company considers appropriate.</w:t>
      </w:r>
    </w:p>
    <w:p>
      <w:pPr>
        <w:spacing w:after="0" w:line="168" w:lineRule="exact"/>
        <w:rPr>
          <w:rFonts w:ascii="Arial" w:cs="Arial" w:eastAsia="Arial" w:hAnsi="Arial"/>
          <w:sz w:val="22"/>
          <w:szCs w:val="22"/>
          <w:b w:val="1"/>
          <w:bCs w:val="1"/>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COMMENCEMENT DATE</w:t>
      </w:r>
    </w:p>
    <w:p>
      <w:pPr>
        <w:spacing w:after="0" w:line="214" w:lineRule="exact"/>
        <w:rPr>
          <w:rFonts w:ascii="Arial" w:cs="Arial" w:eastAsia="Arial" w:hAnsi="Arial"/>
          <w:sz w:val="22"/>
          <w:szCs w:val="22"/>
          <w:b w:val="1"/>
          <w:bCs w:val="1"/>
          <w:color w:val="auto"/>
        </w:rPr>
      </w:pPr>
    </w:p>
    <w:p>
      <w:pPr>
        <w:ind w:left="660" w:right="100"/>
        <w:spacing w:after="0" w:line="231" w:lineRule="auto"/>
        <w:rPr>
          <w:rFonts w:ascii="Arial" w:cs="Arial" w:eastAsia="Arial" w:hAnsi="Arial"/>
          <w:sz w:val="22"/>
          <w:szCs w:val="22"/>
          <w:b w:val="1"/>
          <w:bCs w:val="1"/>
          <w:color w:val="auto"/>
        </w:rPr>
      </w:pPr>
      <w:r>
        <w:rPr>
          <w:rFonts w:ascii="Arial" w:cs="Arial" w:eastAsia="Arial" w:hAnsi="Arial"/>
          <w:sz w:val="22"/>
          <w:szCs w:val="22"/>
          <w:color w:val="auto"/>
        </w:rPr>
        <w:t>Your employment will be deemed to have commenced on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April 2013 or an earlier date as advised and the terms and conditions set out in this contract will take effect from such date. No employment with a previous employer counts towards your period of continuous service with the Company.</w:t>
      </w:r>
    </w:p>
    <w:p>
      <w:pPr>
        <w:spacing w:after="0" w:line="19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work for anyone else while you are employed by the Company.</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PLACE OF WORK</w:t>
      </w:r>
    </w:p>
    <w:p>
      <w:pPr>
        <w:spacing w:after="0" w:line="214" w:lineRule="exact"/>
        <w:rPr>
          <w:rFonts w:ascii="Arial" w:cs="Arial" w:eastAsia="Arial" w:hAnsi="Arial"/>
          <w:sz w:val="22"/>
          <w:szCs w:val="22"/>
          <w:b w:val="1"/>
          <w:bCs w:val="1"/>
          <w:color w:val="auto"/>
        </w:rPr>
      </w:pPr>
    </w:p>
    <w:p>
      <w:pPr>
        <w:ind w:left="660" w:right="220"/>
        <w:spacing w:after="0" w:line="226" w:lineRule="auto"/>
        <w:rPr>
          <w:rFonts w:ascii="Arial" w:cs="Arial" w:eastAsia="Arial" w:hAnsi="Arial"/>
          <w:sz w:val="22"/>
          <w:szCs w:val="22"/>
          <w:b w:val="1"/>
          <w:bCs w:val="1"/>
          <w:color w:val="auto"/>
        </w:rPr>
      </w:pPr>
      <w:r>
        <w:rPr>
          <w:rFonts w:ascii="Arial" w:cs="Arial" w:eastAsia="Arial" w:hAnsi="Arial"/>
          <w:sz w:val="22"/>
          <w:szCs w:val="22"/>
          <w:color w:val="auto"/>
        </w:rPr>
        <w:t>You will be normally based at the Company’s offices at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Connaught House, 1 Burlington Road, Dublin 4 but will be required to travel within Ireland and abroad in carrying out your responsibilities.</w:t>
      </w:r>
    </w:p>
    <w:p>
      <w:pPr>
        <w:spacing w:after="0" w:line="198" w:lineRule="exact"/>
        <w:rPr>
          <w:rFonts w:ascii="Arial" w:cs="Arial" w:eastAsia="Arial" w:hAnsi="Arial"/>
          <w:sz w:val="22"/>
          <w:szCs w:val="22"/>
          <w:b w:val="1"/>
          <w:bCs w:val="1"/>
          <w:color w:val="auto"/>
        </w:rPr>
      </w:pPr>
    </w:p>
    <w:p>
      <w:pPr>
        <w:ind w:left="660" w:right="2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You will be required to travel to the United States of America and other locations from time to time. Where you are required to work outside Ireland for a period of at least one month, prior to departure, you will be provided with written terms and conditions which will apply for the period spent abroad.</w:t>
      </w:r>
    </w:p>
    <w:p>
      <w:pPr>
        <w:spacing w:after="0" w:line="179" w:lineRule="exact"/>
        <w:rPr>
          <w:rFonts w:ascii="Arial" w:cs="Arial" w:eastAsia="Arial" w:hAnsi="Arial"/>
          <w:sz w:val="22"/>
          <w:szCs w:val="22"/>
          <w:b w:val="1"/>
          <w:bCs w:val="1"/>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HOURS OF WORK</w:t>
      </w:r>
    </w:p>
    <w:p>
      <w:pPr>
        <w:spacing w:after="0" w:line="225" w:lineRule="exact"/>
        <w:rPr>
          <w:rFonts w:ascii="Arial" w:cs="Arial" w:eastAsia="Arial" w:hAnsi="Arial"/>
          <w:sz w:val="22"/>
          <w:szCs w:val="22"/>
          <w:b w:val="1"/>
          <w:bCs w:val="1"/>
          <w:color w:val="auto"/>
        </w:rPr>
      </w:pPr>
    </w:p>
    <w:p>
      <w:pPr>
        <w:ind w:left="660" w:right="140"/>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You will determine your own hours of work and will be required to work the requisite hours and days in order to best perform your duties and to this end a degree of flexibility will be required on your part. You shall work a minimum of 37.5 hours per week from 9:00 am to 5:30 pm Monday to Friday, with a break of one hour for lunch each day. No</w:t>
      </w:r>
    </w:p>
    <w:p>
      <w:pPr>
        <w:sectPr>
          <w:pgSz w:w="11900" w:h="16838" w:orient="portrait"/>
          <w:cols w:equalWidth="0" w:num="1">
            <w:col w:w="11420"/>
          </w:cols>
          <w:pgMar w:left="240" w:top="342" w:right="239" w:bottom="1440" w:gutter="0" w:footer="0" w:header="0"/>
        </w:sectPr>
      </w:pPr>
    </w:p>
    <w:bookmarkStart w:id="193" w:name="page194"/>
    <w:bookmarkEnd w:id="193"/>
    <w:p>
      <w:pPr>
        <w:ind w:left="652"/>
        <w:spacing w:after="0"/>
        <w:rPr>
          <w:sz w:val="20"/>
          <w:szCs w:val="20"/>
          <w:color w:val="auto"/>
        </w:rPr>
      </w:pPr>
      <w:r>
        <w:rPr>
          <w:rFonts w:ascii="Arial" w:cs="Arial" w:eastAsia="Arial" w:hAnsi="Arial"/>
          <w:sz w:val="19"/>
          <w:szCs w:val="19"/>
          <w:color w:val="auto"/>
        </w:rPr>
        <w:t>extra remuneration will be paid for additional hours worked or where work is required to be performed on a weekend.</w:t>
      </w:r>
    </w:p>
    <w:p>
      <w:pPr>
        <w:spacing w:after="0" w:line="248" w:lineRule="exact"/>
        <w:rPr>
          <w:sz w:val="20"/>
          <w:szCs w:val="20"/>
          <w:color w:val="auto"/>
        </w:rPr>
      </w:pPr>
    </w:p>
    <w:p>
      <w:pPr>
        <w:ind w:left="652" w:hanging="652"/>
        <w:spacing w:after="0"/>
        <w:tabs>
          <w:tab w:leader="none" w:pos="652"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 STRUCTURE</w:t>
      </w:r>
    </w:p>
    <w:p>
      <w:pPr>
        <w:spacing w:after="0" w:line="225" w:lineRule="exact"/>
        <w:rPr>
          <w:rFonts w:ascii="Arial" w:cs="Arial" w:eastAsia="Arial" w:hAnsi="Arial"/>
          <w:sz w:val="22"/>
          <w:szCs w:val="22"/>
          <w:b w:val="1"/>
          <w:bCs w:val="1"/>
          <w:color w:val="auto"/>
        </w:rPr>
      </w:pPr>
    </w:p>
    <w:p>
      <w:pPr>
        <w:ind w:left="652" w:right="1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You will report directly to the Vice President, Product Development, Michael Desjardin. However the reporting structure may change from time to time, at the discretion of the Chief Financial Officer, the Chief Executive Officer or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ind w:left="652" w:hanging="652"/>
        <w:spacing w:after="0"/>
        <w:tabs>
          <w:tab w:leader="none" w:pos="652"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SALARY</w:t>
      </w:r>
    </w:p>
    <w:p>
      <w:pPr>
        <w:spacing w:after="0" w:line="226" w:lineRule="exact"/>
        <w:rPr>
          <w:sz w:val="20"/>
          <w:szCs w:val="20"/>
          <w:color w:val="auto"/>
        </w:rPr>
      </w:pPr>
    </w:p>
    <w:p>
      <w:pPr>
        <w:ind w:left="652" w:right="40" w:hanging="647"/>
        <w:spacing w:after="0" w:line="302" w:lineRule="auto"/>
        <w:tabs>
          <w:tab w:leader="none" w:pos="63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Your initial salary will be €170,000 per annum and shall accrue from day to day. This will be paid to you monthly in arrears on the last day of each month by credit transfer directly to your bank account. Your salary will be subject to annual review each year on the anniversary of the date of this contract. There is no obligation to award an increase. There will be no review of the salary after notice has been given by either party to terminate your employment.</w:t>
      </w:r>
    </w:p>
    <w:p>
      <w:pPr>
        <w:spacing w:after="0" w:line="143" w:lineRule="exact"/>
        <w:rPr>
          <w:sz w:val="20"/>
          <w:szCs w:val="20"/>
          <w:color w:val="auto"/>
        </w:rPr>
      </w:pPr>
    </w:p>
    <w:p>
      <w:pPr>
        <w:ind w:left="652" w:right="140" w:hanging="647"/>
        <w:spacing w:after="0" w:line="253" w:lineRule="auto"/>
        <w:tabs>
          <w:tab w:leader="none" w:pos="632" w:val="left"/>
        </w:tabs>
        <w:rPr>
          <w:sz w:val="20"/>
          <w:szCs w:val="20"/>
          <w:color w:val="auto"/>
        </w:rPr>
      </w:pPr>
      <w:r>
        <w:rPr>
          <w:rFonts w:ascii="Arial" w:cs="Arial" w:eastAsia="Arial" w:hAnsi="Arial"/>
          <w:sz w:val="22"/>
          <w:szCs w:val="22"/>
          <w:color w:val="auto"/>
        </w:rPr>
        <w:t>6.2.</w:t>
        <w:tab/>
        <w:t>All payments to you will be subject to deductions of tax, PRSI, Universal Social Charge and any other deductions required by law or provided for in this contract. You will be notified each month by the Company of the amount of your gross and net remuneration and of the nature and amount of all deductions.</w:t>
      </w:r>
    </w:p>
    <w:p>
      <w:pPr>
        <w:spacing w:after="0" w:line="186" w:lineRule="exact"/>
        <w:rPr>
          <w:sz w:val="20"/>
          <w:szCs w:val="20"/>
          <w:color w:val="auto"/>
        </w:rPr>
      </w:pPr>
    </w:p>
    <w:p>
      <w:pPr>
        <w:ind w:left="652" w:right="160" w:hanging="647"/>
        <w:spacing w:after="0" w:line="250" w:lineRule="auto"/>
        <w:tabs>
          <w:tab w:leader="none" w:pos="632" w:val="left"/>
        </w:tabs>
        <w:rPr>
          <w:sz w:val="20"/>
          <w:szCs w:val="20"/>
          <w:color w:val="auto"/>
        </w:rPr>
      </w:pPr>
      <w:r>
        <w:rPr>
          <w:rFonts w:ascii="Arial" w:cs="Arial" w:eastAsia="Arial" w:hAnsi="Arial"/>
          <w:sz w:val="22"/>
          <w:szCs w:val="22"/>
          <w:color w:val="auto"/>
        </w:rPr>
        <w:t>6.3.</w:t>
        <w:tab/>
        <w:t>For the purposes of the National Minimum Wage Act, 2000, the pay reference period shall be a month. In accordance with section 23 of the Act, you may request from the Company a written statement of your average hourly rate of pay for any pay reference period (other than a current pay reference period) falling within the twelve month period immediately preceding the request.</w:t>
      </w:r>
    </w:p>
    <w:p>
      <w:pPr>
        <w:spacing w:after="0" w:line="188" w:lineRule="exact"/>
        <w:rPr>
          <w:sz w:val="20"/>
          <w:szCs w:val="20"/>
          <w:color w:val="auto"/>
        </w:rPr>
      </w:pPr>
    </w:p>
    <w:p>
      <w:pPr>
        <w:ind w:left="652" w:right="40" w:hanging="647"/>
        <w:spacing w:after="0" w:line="250" w:lineRule="auto"/>
        <w:tabs>
          <w:tab w:leader="none" w:pos="632" w:val="left"/>
        </w:tabs>
        <w:rPr>
          <w:sz w:val="20"/>
          <w:szCs w:val="20"/>
          <w:color w:val="auto"/>
        </w:rPr>
      </w:pPr>
      <w:r>
        <w:rPr>
          <w:rFonts w:ascii="Arial" w:cs="Arial" w:eastAsia="Arial" w:hAnsi="Arial"/>
          <w:sz w:val="22"/>
          <w:szCs w:val="22"/>
          <w:color w:val="auto"/>
        </w:rPr>
        <w:t>6.4.</w:t>
        <w:tab/>
        <w:t>The Company may deduct from your salary, or other sums owed to you, any money owed to the Company by you. Where the Company suffers loss as a result of your actions or omissions, deductions will be made only after you have received written notification providing at least one full week’s notice that the deduction will be made. The deduction must take place within 6 months of the loss/cost originally being incurred.</w:t>
      </w:r>
    </w:p>
    <w:p>
      <w:pPr>
        <w:spacing w:after="0" w:line="182" w:lineRule="exact"/>
        <w:rPr>
          <w:sz w:val="20"/>
          <w:szCs w:val="20"/>
          <w:color w:val="auto"/>
        </w:rPr>
      </w:pPr>
    </w:p>
    <w:p>
      <w:pPr>
        <w:ind w:left="652" w:hanging="652"/>
        <w:spacing w:after="0"/>
        <w:tabs>
          <w:tab w:leader="none" w:pos="652"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BONUS</w:t>
      </w:r>
    </w:p>
    <w:p>
      <w:pPr>
        <w:spacing w:after="0" w:line="226" w:lineRule="exact"/>
        <w:rPr>
          <w:sz w:val="20"/>
          <w:szCs w:val="20"/>
          <w:color w:val="auto"/>
        </w:rPr>
      </w:pPr>
    </w:p>
    <w:p>
      <w:pPr>
        <w:jc w:val="both"/>
        <w:ind w:left="652" w:right="140" w:hanging="647"/>
        <w:spacing w:after="0" w:line="253" w:lineRule="auto"/>
        <w:tabs>
          <w:tab w:leader="none" w:pos="632" w:val="left"/>
        </w:tabs>
        <w:rPr>
          <w:sz w:val="20"/>
          <w:szCs w:val="20"/>
          <w:color w:val="auto"/>
        </w:rPr>
      </w:pPr>
      <w:r>
        <w:rPr>
          <w:rFonts w:ascii="Arial" w:cs="Arial" w:eastAsia="Arial" w:hAnsi="Arial"/>
          <w:sz w:val="22"/>
          <w:szCs w:val="22"/>
          <w:color w:val="auto"/>
        </w:rPr>
        <w:t>7.1.</w:t>
        <w:tab/>
        <w:t>You may be entitled to be considered for a bonus based on your performance. Any bonus payment will be made entirely at the sole discretion of the Board, at such intervals and subject to such conditions as the Board may in its absolute discretion determine from time to time.</w:t>
      </w:r>
    </w:p>
    <w:p>
      <w:pPr>
        <w:spacing w:after="0" w:line="186" w:lineRule="exact"/>
        <w:rPr>
          <w:sz w:val="20"/>
          <w:szCs w:val="20"/>
          <w:color w:val="auto"/>
        </w:rPr>
      </w:pPr>
    </w:p>
    <w:p>
      <w:pPr>
        <w:ind w:left="652" w:right="60" w:hanging="647"/>
        <w:spacing w:after="0" w:line="343" w:lineRule="auto"/>
        <w:tabs>
          <w:tab w:leader="none" w:pos="63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Any bonus payment to you shall be purely discretionary and shall not form part of your contractual remuneration under this contract. If the Company makes a payment to you, it shall not be obliged to make subsequent bonus payments.</w:t>
      </w:r>
    </w:p>
    <w:p>
      <w:pPr>
        <w:spacing w:after="0" w:line="105" w:lineRule="exact"/>
        <w:rPr>
          <w:sz w:val="20"/>
          <w:szCs w:val="20"/>
          <w:color w:val="auto"/>
        </w:rPr>
      </w:pPr>
    </w:p>
    <w:p>
      <w:pPr>
        <w:ind w:left="652" w:hanging="647"/>
        <w:spacing w:after="0" w:line="263" w:lineRule="auto"/>
        <w:tabs>
          <w:tab w:leader="none" w:pos="632" w:val="left"/>
        </w:tabs>
        <w:rPr>
          <w:sz w:val="20"/>
          <w:szCs w:val="20"/>
          <w:color w:val="auto"/>
        </w:rPr>
      </w:pPr>
      <w:r>
        <w:rPr>
          <w:rFonts w:ascii="Arial" w:cs="Arial" w:eastAsia="Arial" w:hAnsi="Arial"/>
          <w:sz w:val="22"/>
          <w:szCs w:val="22"/>
          <w:color w:val="auto"/>
        </w:rPr>
        <w:t>7.3.</w:t>
        <w:tab/>
        <w:t>You will not be entitled to a bonus if your employment has been terminated, or notice of such termination has been given by either you or the Company, prior to the date the bonus is paid.</w:t>
      </w:r>
    </w:p>
    <w:p>
      <w:pPr>
        <w:sectPr>
          <w:pgSz w:w="11900" w:h="16838" w:orient="portrait"/>
          <w:cols w:equalWidth="0" w:num="1">
            <w:col w:w="11392"/>
          </w:cols>
          <w:pgMar w:left="248" w:top="348" w:right="259" w:bottom="1440" w:gutter="0" w:footer="0" w:header="0"/>
        </w:sectPr>
      </w:pPr>
    </w:p>
    <w:bookmarkStart w:id="194" w:name="page195"/>
    <w:bookmarkEnd w:id="194"/>
    <w:p>
      <w:pPr>
        <w:ind w:left="652" w:hanging="652"/>
        <w:spacing w:after="0"/>
        <w:tabs>
          <w:tab w:leader="none" w:pos="65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EQUITY</w:t>
      </w:r>
    </w:p>
    <w:p>
      <w:pPr>
        <w:spacing w:after="0" w:line="225" w:lineRule="exact"/>
        <w:rPr>
          <w:rFonts w:ascii="Arial" w:cs="Arial" w:eastAsia="Arial" w:hAnsi="Arial"/>
          <w:sz w:val="22"/>
          <w:szCs w:val="22"/>
          <w:b w:val="1"/>
          <w:bCs w:val="1"/>
          <w:color w:val="auto"/>
        </w:rPr>
      </w:pPr>
    </w:p>
    <w:p>
      <w:pPr>
        <w:ind w:left="652" w:right="1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Subject to approval by the Board of Director, your offer includes a grant of options to purchase 3,150 Jazz Pharmaceuticals ordinary shares and a grant of 1,575 restricted stock units (RSUs) giving you a right to receive Jazz Pharmaceuticals ordinary shares at a future date. Subject to the plan as in effect and your continued employment on each vesting date as per the Company equity plan.</w:t>
      </w:r>
    </w:p>
    <w:p>
      <w:pPr>
        <w:spacing w:after="0" w:line="182" w:lineRule="exact"/>
        <w:rPr>
          <w:rFonts w:ascii="Arial" w:cs="Arial" w:eastAsia="Arial" w:hAnsi="Arial"/>
          <w:sz w:val="22"/>
          <w:szCs w:val="22"/>
          <w:b w:val="1"/>
          <w:bCs w:val="1"/>
          <w:color w:val="auto"/>
        </w:rPr>
      </w:pPr>
    </w:p>
    <w:p>
      <w:pPr>
        <w:ind w:left="652" w:hanging="652"/>
        <w:spacing w:after="0"/>
        <w:tabs>
          <w:tab w:leader="none" w:pos="65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p>
    <w:p>
      <w:pPr>
        <w:spacing w:after="0" w:line="225"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19"/>
          <w:szCs w:val="19"/>
          <w:color w:val="auto"/>
        </w:rPr>
        <w:t>All properly vouched and authorised expenses incurred by you on Company business will be reimbursed by the Company.</w:t>
      </w:r>
    </w:p>
    <w:p>
      <w:pPr>
        <w:spacing w:after="0" w:line="248" w:lineRule="exact"/>
        <w:rPr>
          <w:rFonts w:ascii="Arial" w:cs="Arial" w:eastAsia="Arial" w:hAnsi="Arial"/>
          <w:sz w:val="22"/>
          <w:szCs w:val="22"/>
          <w:b w:val="1"/>
          <w:bCs w:val="1"/>
          <w:color w:val="auto"/>
        </w:rPr>
      </w:pPr>
    </w:p>
    <w:p>
      <w:pPr>
        <w:ind w:left="652" w:hanging="652"/>
        <w:spacing w:after="0"/>
        <w:tabs>
          <w:tab w:leader="none" w:pos="65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HOLIDAYS</w:t>
      </w:r>
    </w:p>
    <w:p>
      <w:pPr>
        <w:spacing w:after="0" w:line="226" w:lineRule="exact"/>
        <w:rPr>
          <w:sz w:val="20"/>
          <w:szCs w:val="20"/>
          <w:color w:val="auto"/>
        </w:rPr>
      </w:pPr>
    </w:p>
    <w:p>
      <w:pPr>
        <w:ind w:left="652" w:right="140" w:hanging="647"/>
        <w:spacing w:after="0" w:line="312" w:lineRule="auto"/>
        <w:tabs>
          <w:tab w:leader="none" w:pos="632"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You will be entitled to 21 days’ holidays (exclusive of all Irish bank and other public holidays in accordance with the Organisation of Working Time Act 1997) in each year. Your holidays are to be taken by arrangement with the Company, at such time or times that the Company considers to be most convenient having regard to the requirements of your position.</w:t>
      </w:r>
    </w:p>
    <w:p>
      <w:pPr>
        <w:spacing w:after="0" w:line="134" w:lineRule="exact"/>
        <w:rPr>
          <w:sz w:val="20"/>
          <w:szCs w:val="20"/>
          <w:color w:val="auto"/>
        </w:rPr>
      </w:pPr>
    </w:p>
    <w:p>
      <w:pPr>
        <w:ind w:left="652" w:right="20" w:hanging="647"/>
        <w:spacing w:after="0" w:line="297" w:lineRule="auto"/>
        <w:tabs>
          <w:tab w:leader="none" w:pos="632"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The Company’s holiday year runs from 1 January to 31 December. Holidays from the previous year may not be carried over to the following year except with the Company's consent. Upon notice of termination of employment being served by either party, the Company may, subject to the provisions of the Organisation of Working Time Act 1997, require you to take any unused holidays accrued at that time during any notice period. Alternatively, the Company may, at its discretion, on termination of the employment, make a payment in lieu of accrued contractual holiday entitlement.</w:t>
      </w:r>
    </w:p>
    <w:p>
      <w:pPr>
        <w:spacing w:after="0" w:line="147" w:lineRule="exact"/>
        <w:rPr>
          <w:sz w:val="20"/>
          <w:szCs w:val="20"/>
          <w:color w:val="auto"/>
        </w:rPr>
      </w:pPr>
    </w:p>
    <w:p>
      <w:pPr>
        <w:ind w:left="652" w:right="300" w:hanging="647"/>
        <w:spacing w:after="0" w:line="263" w:lineRule="auto"/>
        <w:tabs>
          <w:tab w:leader="none" w:pos="632" w:val="left"/>
        </w:tabs>
        <w:rPr>
          <w:sz w:val="20"/>
          <w:szCs w:val="20"/>
          <w:color w:val="auto"/>
        </w:rPr>
      </w:pPr>
      <w:r>
        <w:rPr>
          <w:rFonts w:ascii="Arial" w:cs="Arial" w:eastAsia="Arial" w:hAnsi="Arial"/>
          <w:sz w:val="22"/>
          <w:szCs w:val="22"/>
          <w:color w:val="auto"/>
        </w:rPr>
        <w:t>10.3.</w:t>
        <w:tab/>
        <w:t>If you are ill during a period of annual leave and have a valid medical certificate for the days that you were ill, these sick days will not be counted as annual leave days.</w:t>
      </w:r>
    </w:p>
    <w:p>
      <w:pPr>
        <w:spacing w:after="0" w:line="175" w:lineRule="exact"/>
        <w:rPr>
          <w:sz w:val="20"/>
          <w:szCs w:val="20"/>
          <w:color w:val="auto"/>
        </w:rPr>
      </w:pPr>
    </w:p>
    <w:p>
      <w:pPr>
        <w:ind w:left="652" w:hanging="647"/>
        <w:spacing w:after="0" w:line="260" w:lineRule="auto"/>
        <w:tabs>
          <w:tab w:leader="none" w:pos="632" w:val="left"/>
        </w:tabs>
        <w:rPr>
          <w:sz w:val="20"/>
          <w:szCs w:val="20"/>
          <w:color w:val="auto"/>
        </w:rPr>
      </w:pPr>
      <w:r>
        <w:rPr>
          <w:rFonts w:ascii="Arial" w:cs="Arial" w:eastAsia="Arial" w:hAnsi="Arial"/>
          <w:sz w:val="22"/>
          <w:szCs w:val="22"/>
          <w:color w:val="auto"/>
        </w:rPr>
        <w:t>10.4.</w:t>
        <w:tab/>
        <w:t>If on termination of employment, you have taken in excess of your accrued holiday entitlement, the Company shall be entitled to recover from you by way of deduction from any payments due to you or otherwise, one day’s pay for each excess day (calculated at l/260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your salary for each excess day).</w:t>
      </w:r>
    </w:p>
    <w:p>
      <w:pPr>
        <w:spacing w:after="0" w:line="83"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PENSION</w:t>
      </w:r>
    </w:p>
    <w:p>
      <w:pPr>
        <w:spacing w:after="0" w:line="225" w:lineRule="exact"/>
        <w:rPr>
          <w:rFonts w:ascii="Arial" w:cs="Arial" w:eastAsia="Arial" w:hAnsi="Arial"/>
          <w:sz w:val="22"/>
          <w:szCs w:val="22"/>
          <w:b w:val="1"/>
          <w:bCs w:val="1"/>
          <w:color w:val="auto"/>
        </w:rPr>
      </w:pPr>
    </w:p>
    <w:p>
      <w:pPr>
        <w:ind w:left="652" w:right="380"/>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At this time, the Company has no pension scheme. The Company does provide access to a personal retirement savings account (PRSA). If you wish to begin making contributions to a PRSA, please contact Bridget O’Brien. If and when the Company installs a pension scheme, you will be eligible to participate in accordance with the plan.</w:t>
      </w:r>
    </w:p>
    <w:p>
      <w:pPr>
        <w:spacing w:after="0" w:line="127" w:lineRule="exact"/>
        <w:rPr>
          <w:rFonts w:ascii="Arial" w:cs="Arial" w:eastAsia="Arial" w:hAnsi="Arial"/>
          <w:sz w:val="22"/>
          <w:szCs w:val="22"/>
          <w:b w:val="1"/>
          <w:bCs w:val="1"/>
          <w:color w:val="auto"/>
        </w:rPr>
      </w:pPr>
    </w:p>
    <w:p>
      <w:pPr>
        <w:ind w:left="652" w:hanging="652"/>
        <w:spacing w:after="0"/>
        <w:tabs>
          <w:tab w:leader="none" w:pos="652"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w:t>
      </w:r>
    </w:p>
    <w:p>
      <w:pPr>
        <w:spacing w:after="0" w:line="225" w:lineRule="exact"/>
        <w:rPr>
          <w:rFonts w:ascii="Arial" w:cs="Arial" w:eastAsia="Arial" w:hAnsi="Arial"/>
          <w:sz w:val="22"/>
          <w:szCs w:val="22"/>
          <w:b w:val="1"/>
          <w:bCs w:val="1"/>
          <w:color w:val="auto"/>
        </w:rPr>
      </w:pPr>
    </w:p>
    <w:p>
      <w:pPr>
        <w:ind w:left="652" w:right="920"/>
        <w:spacing w:after="0" w:line="343" w:lineRule="auto"/>
        <w:rPr>
          <w:rFonts w:ascii="Arial" w:cs="Arial" w:eastAsia="Arial" w:hAnsi="Arial"/>
          <w:sz w:val="22"/>
          <w:szCs w:val="22"/>
          <w:b w:val="1"/>
          <w:bCs w:val="1"/>
          <w:color w:val="auto"/>
        </w:rPr>
      </w:pPr>
      <w:r>
        <w:rPr>
          <w:rFonts w:ascii="Arial" w:cs="Arial" w:eastAsia="Arial" w:hAnsi="Arial"/>
          <w:sz w:val="19"/>
          <w:szCs w:val="19"/>
          <w:color w:val="auto"/>
        </w:rPr>
        <w:t>You will carry out duties as assigned to you from time to time by the Company. Your area of work and/or specific responsibilities may be altered from time to time by the Company as the circumstances of the business dictate.</w:t>
      </w:r>
    </w:p>
    <w:p>
      <w:pPr>
        <w:sectPr>
          <w:pgSz w:w="11900" w:h="16838" w:orient="portrait"/>
          <w:cols w:equalWidth="0" w:num="1">
            <w:col w:w="11392"/>
          </w:cols>
          <w:pgMar w:left="248" w:top="342" w:right="259" w:bottom="1440" w:gutter="0" w:footer="0" w:header="0"/>
        </w:sectPr>
      </w:pPr>
    </w:p>
    <w:bookmarkStart w:id="195" w:name="page196"/>
    <w:bookmarkEnd w:id="195"/>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PERIOD OF EMPLOYMENT</w:t>
      </w:r>
    </w:p>
    <w:p>
      <w:pPr>
        <w:spacing w:after="0" w:line="225" w:lineRule="exact"/>
        <w:rPr>
          <w:rFonts w:ascii="Arial" w:cs="Arial" w:eastAsia="Arial" w:hAnsi="Arial"/>
          <w:sz w:val="22"/>
          <w:szCs w:val="22"/>
          <w:b w:val="1"/>
          <w:bCs w:val="1"/>
          <w:color w:val="auto"/>
        </w:rPr>
      </w:pPr>
    </w:p>
    <w:p>
      <w:pPr>
        <w:ind w:left="660"/>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Subject to the provisions of Clauses 15, 16 and 22, your employment will continue until terminated by you or the Company giving the other at least 8 weeks’ written notice of termination (or, if longer, the period required by law).</w:t>
      </w:r>
    </w:p>
    <w:p>
      <w:pPr>
        <w:spacing w:after="0" w:line="145" w:lineRule="exact"/>
        <w:rPr>
          <w:rFonts w:ascii="Arial" w:cs="Arial" w:eastAsia="Arial" w:hAnsi="Arial"/>
          <w:sz w:val="22"/>
          <w:szCs w:val="22"/>
          <w:b w:val="1"/>
          <w:bCs w:val="1"/>
          <w:color w:val="auto"/>
        </w:rPr>
      </w:pPr>
    </w:p>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IN LIEU OF NOTICE / GARDEN LEAVE</w:t>
      </w:r>
    </w:p>
    <w:p>
      <w:pPr>
        <w:spacing w:after="0" w:line="226" w:lineRule="exact"/>
        <w:rPr>
          <w:sz w:val="20"/>
          <w:szCs w:val="20"/>
          <w:color w:val="auto"/>
        </w:rPr>
      </w:pPr>
    </w:p>
    <w:p>
      <w:pPr>
        <w:ind w:left="660" w:right="360"/>
        <w:spacing w:after="0" w:line="263" w:lineRule="auto"/>
        <w:rPr>
          <w:sz w:val="20"/>
          <w:szCs w:val="20"/>
          <w:color w:val="auto"/>
        </w:rPr>
      </w:pPr>
      <w:r>
        <w:rPr>
          <w:rFonts w:ascii="Arial" w:cs="Arial" w:eastAsia="Arial" w:hAnsi="Arial"/>
          <w:sz w:val="22"/>
          <w:szCs w:val="22"/>
          <w:color w:val="auto"/>
        </w:rPr>
        <w:t>Where notice of termination of your employment is given, whether by you or the Company, the Company will have the right to:</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pay you in lieu of notice the amount of your entitlement to salary in respect of such notice period; or</w:t>
      </w:r>
    </w:p>
    <w:p>
      <w:pPr>
        <w:spacing w:after="0" w:line="220" w:lineRule="exact"/>
        <w:rPr>
          <w:sz w:val="20"/>
          <w:szCs w:val="20"/>
          <w:color w:val="auto"/>
        </w:rPr>
      </w:pPr>
    </w:p>
    <w:p>
      <w:pPr>
        <w:ind w:left="660" w:right="280" w:hanging="647"/>
        <w:spacing w:after="0" w:line="253" w:lineRule="auto"/>
        <w:tabs>
          <w:tab w:leader="none" w:pos="640" w:val="left"/>
        </w:tabs>
        <w:rPr>
          <w:sz w:val="20"/>
          <w:szCs w:val="20"/>
          <w:color w:val="auto"/>
        </w:rPr>
      </w:pPr>
      <w:r>
        <w:rPr>
          <w:rFonts w:ascii="Arial" w:cs="Arial" w:eastAsia="Arial" w:hAnsi="Arial"/>
          <w:sz w:val="22"/>
          <w:szCs w:val="22"/>
          <w:color w:val="auto"/>
        </w:rPr>
        <w:t>14.2.</w:t>
        <w:tab/>
        <w:t>require you to cease performing or exercising during some or all of the remainder of any notice period some or all of the powers, authorities and discretions delegated to you in your employment and/or to cease attending your place of work during such period.</w:t>
      </w:r>
    </w:p>
    <w:p>
      <w:pPr>
        <w:spacing w:after="0" w:line="180"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WITHOUT NOTICE</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Your employment may be terminated without prior notice if, at any time after the date of this contract, you:</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are guilty of any material breach or non-observance of the provisions contained in this contract;</w:t>
      </w:r>
    </w:p>
    <w:p>
      <w:pPr>
        <w:spacing w:after="0" w:line="220" w:lineRule="exact"/>
        <w:rPr>
          <w:sz w:val="20"/>
          <w:szCs w:val="20"/>
          <w:color w:val="auto"/>
        </w:rPr>
      </w:pPr>
    </w:p>
    <w:p>
      <w:pPr>
        <w:ind w:left="660" w:right="380" w:hanging="647"/>
        <w:spacing w:after="0" w:line="263" w:lineRule="auto"/>
        <w:tabs>
          <w:tab w:leader="none" w:pos="640" w:val="left"/>
        </w:tabs>
        <w:rPr>
          <w:sz w:val="20"/>
          <w:szCs w:val="20"/>
          <w:color w:val="auto"/>
        </w:rPr>
      </w:pPr>
      <w:r>
        <w:rPr>
          <w:rFonts w:ascii="Arial" w:cs="Arial" w:eastAsia="Arial" w:hAnsi="Arial"/>
          <w:sz w:val="22"/>
          <w:szCs w:val="22"/>
          <w:color w:val="auto"/>
        </w:rPr>
        <w:t>15.2.</w:t>
        <w:tab/>
        <w:t>are guilty of any serious or gross misconduct and/or negligence in the discharge of the duties of your employment or in connection with or affecting the business of the Company;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commit any serious act of dishonesty or repeated acts of dishonesty;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cease to be eligible to work in the Republic of Ireland; or</w:t>
      </w:r>
    </w:p>
    <w:p>
      <w:pPr>
        <w:spacing w:after="0" w:line="220"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22"/>
          <w:szCs w:val="22"/>
          <w:color w:val="auto"/>
        </w:rPr>
        <w:t>15.5.</w:t>
        <w:tab/>
        <w:t>are convicted of a criminal offence which the Company considers affects or could affect your position within the Company (other than minor traffic offences).</w:t>
      </w:r>
    </w:p>
    <w:p>
      <w:pPr>
        <w:spacing w:after="0" w:line="16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NORMAL RETIREMENT AGE</w:t>
      </w:r>
    </w:p>
    <w:p>
      <w:pPr>
        <w:spacing w:after="0" w:line="225" w:lineRule="exact"/>
        <w:rPr>
          <w:rFonts w:ascii="Arial" w:cs="Arial" w:eastAsia="Arial" w:hAnsi="Arial"/>
          <w:sz w:val="22"/>
          <w:szCs w:val="22"/>
          <w:b w:val="1"/>
          <w:bCs w:val="1"/>
          <w:color w:val="auto"/>
        </w:rPr>
      </w:pPr>
    </w:p>
    <w:p>
      <w:pPr>
        <w:ind w:left="660" w:right="2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The Company’s normal retirement age is 65. Your employment will end automatically on your 65th birthday if it has not terminated before then in accordance with the provisions of this contract.</w:t>
      </w:r>
    </w:p>
    <w:p>
      <w:pPr>
        <w:spacing w:after="0" w:line="168" w:lineRule="exact"/>
        <w:rPr>
          <w:rFonts w:ascii="Arial" w:cs="Arial" w:eastAsia="Arial" w:hAnsi="Arial"/>
          <w:sz w:val="22"/>
          <w:szCs w:val="22"/>
          <w:b w:val="1"/>
          <w:bCs w:val="1"/>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ILLNESS</w:t>
      </w:r>
    </w:p>
    <w:p>
      <w:pPr>
        <w:spacing w:after="0" w:line="226" w:lineRule="exact"/>
        <w:rPr>
          <w:sz w:val="20"/>
          <w:szCs w:val="20"/>
          <w:color w:val="auto"/>
        </w:rPr>
      </w:pPr>
    </w:p>
    <w:p>
      <w:pPr>
        <w:jc w:val="both"/>
        <w:ind w:left="660" w:right="40" w:hanging="647"/>
        <w:spacing w:after="0" w:line="253" w:lineRule="auto"/>
        <w:tabs>
          <w:tab w:leader="none" w:pos="640" w:val="left"/>
        </w:tabs>
        <w:rPr>
          <w:sz w:val="20"/>
          <w:szCs w:val="20"/>
          <w:color w:val="auto"/>
        </w:rPr>
      </w:pPr>
      <w:r>
        <w:rPr>
          <w:rFonts w:ascii="Arial" w:cs="Arial" w:eastAsia="Arial" w:hAnsi="Arial"/>
          <w:sz w:val="22"/>
          <w:szCs w:val="22"/>
          <w:color w:val="auto"/>
        </w:rPr>
        <w:t>17.1.</w:t>
        <w:tab/>
        <w:t>Absences from work for whatever reason must be notified to your Manager as soon as possible before your usual start time on the first day of absence. You should telephone your Manager and confirm the reason for your absence and the expected length of such</w:t>
      </w:r>
    </w:p>
    <w:p>
      <w:pPr>
        <w:sectPr>
          <w:pgSz w:w="11900" w:h="16838" w:orient="portrait"/>
          <w:cols w:equalWidth="0" w:num="1">
            <w:col w:w="11340"/>
          </w:cols>
          <w:pgMar w:left="240" w:top="815" w:right="319" w:bottom="1440" w:gutter="0" w:footer="0" w:header="0"/>
        </w:sectPr>
      </w:pPr>
    </w:p>
    <w:bookmarkStart w:id="196" w:name="page197"/>
    <w:bookmarkEnd w:id="196"/>
    <w:p>
      <w:pPr>
        <w:ind w:left="660"/>
        <w:spacing w:after="0"/>
        <w:rPr>
          <w:sz w:val="20"/>
          <w:szCs w:val="20"/>
          <w:color w:val="auto"/>
        </w:rPr>
      </w:pPr>
      <w:r>
        <w:rPr>
          <w:rFonts w:ascii="Arial" w:cs="Arial" w:eastAsia="Arial" w:hAnsi="Arial"/>
          <w:sz w:val="22"/>
          <w:szCs w:val="22"/>
          <w:color w:val="auto"/>
        </w:rPr>
        <w:t>absence. Text messaging and emails are unacceptable means of communication for this purpose.</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Payment of salary for any absences attributable to illness will be entirely at the sole discretion of the Company.</w:t>
      </w:r>
    </w:p>
    <w:p>
      <w:pPr>
        <w:spacing w:after="0" w:line="220" w:lineRule="exact"/>
        <w:rPr>
          <w:sz w:val="20"/>
          <w:szCs w:val="20"/>
          <w:color w:val="auto"/>
        </w:rPr>
      </w:pPr>
    </w:p>
    <w:p>
      <w:pPr>
        <w:jc w:val="right"/>
        <w:ind w:right="20"/>
        <w:spacing w:after="0" w:line="343" w:lineRule="auto"/>
        <w:rPr>
          <w:sz w:val="20"/>
          <w:szCs w:val="20"/>
          <w:color w:val="auto"/>
        </w:rPr>
      </w:pPr>
      <w:r>
        <w:rPr>
          <w:rFonts w:ascii="Arial" w:cs="Arial" w:eastAsia="Arial" w:hAnsi="Arial"/>
          <w:sz w:val="19"/>
          <w:szCs w:val="19"/>
          <w:color w:val="auto"/>
        </w:rPr>
        <w:t>17.3.  If you are at any time prevented by illness, injury, accident or any other circumstances from discharging all your duties for a period of three consecutive days, then a satisfactory certificate will be required from your doctor in respect of such absence.</w:t>
      </w:r>
    </w:p>
    <w:p>
      <w:pPr>
        <w:spacing w:after="0" w:line="105" w:lineRule="exact"/>
        <w:rPr>
          <w:sz w:val="20"/>
          <w:szCs w:val="20"/>
          <w:color w:val="auto"/>
        </w:rPr>
      </w:pPr>
    </w:p>
    <w:p>
      <w:pPr>
        <w:ind w:left="660" w:right="80" w:hanging="647"/>
        <w:spacing w:after="0" w:line="253" w:lineRule="auto"/>
        <w:tabs>
          <w:tab w:leader="none" w:pos="640" w:val="left"/>
        </w:tabs>
        <w:rPr>
          <w:sz w:val="20"/>
          <w:szCs w:val="20"/>
          <w:color w:val="auto"/>
        </w:rPr>
      </w:pPr>
      <w:r>
        <w:rPr>
          <w:rFonts w:ascii="Arial" w:cs="Arial" w:eastAsia="Arial" w:hAnsi="Arial"/>
          <w:sz w:val="22"/>
          <w:szCs w:val="22"/>
          <w:color w:val="auto"/>
        </w:rPr>
        <w:t>17.4.</w:t>
        <w:tab/>
        <w:t>The Company reserves the right, at any time, to require you to undergo a medical examination by a Doctor or Consultant nominated by the Company, in which event you agree to consent to this request and the Company will bear the cost of such examination.</w:t>
      </w:r>
    </w:p>
    <w:p>
      <w:pPr>
        <w:spacing w:after="0" w:line="186" w:lineRule="exact"/>
        <w:rPr>
          <w:sz w:val="20"/>
          <w:szCs w:val="20"/>
          <w:color w:val="auto"/>
        </w:rPr>
      </w:pPr>
    </w:p>
    <w:p>
      <w:pPr>
        <w:ind w:left="660" w:hanging="647"/>
        <w:spacing w:after="0" w:line="290" w:lineRule="auto"/>
        <w:tabs>
          <w:tab w:leader="none" w:pos="64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If your absence is or appears to be occasioned by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You shall, if you have been in receipt of salary for a period of absence and if required by the Company, refund to the Company that part of any damages or compensation recovered by you relating to the loss of earnings for the period of sickness as the Company may reasonably determine less any costs borne by you in connection with the recovery of such damages or compensation, provided that the amount to be refunded shall not exceed the total amount paid to you by the Company in respect of the period of sickness.</w:t>
      </w:r>
    </w:p>
    <w:p>
      <w:pPr>
        <w:spacing w:after="0" w:line="151"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DISCIPLINARY RULES AND PROCEDURE</w:t>
      </w:r>
    </w:p>
    <w:p>
      <w:pPr>
        <w:spacing w:after="0" w:line="226" w:lineRule="exact"/>
        <w:rPr>
          <w:sz w:val="20"/>
          <w:szCs w:val="20"/>
          <w:color w:val="auto"/>
        </w:rPr>
      </w:pPr>
    </w:p>
    <w:p>
      <w:pPr>
        <w:ind w:left="660" w:right="680" w:hanging="647"/>
        <w:spacing w:after="0" w:line="263" w:lineRule="auto"/>
        <w:tabs>
          <w:tab w:leader="none" w:pos="640" w:val="left"/>
        </w:tabs>
        <w:rPr>
          <w:sz w:val="20"/>
          <w:szCs w:val="20"/>
          <w:color w:val="auto"/>
        </w:rPr>
      </w:pPr>
      <w:r>
        <w:rPr>
          <w:rFonts w:ascii="Arial" w:cs="Arial" w:eastAsia="Arial" w:hAnsi="Arial"/>
          <w:sz w:val="22"/>
          <w:szCs w:val="22"/>
          <w:color w:val="auto"/>
        </w:rPr>
        <w:t>18.1.</w:t>
        <w:tab/>
        <w:t>You will conduct yourself with propriety at all times and with due regard for the Company and each of its associated companies and the clients and employees of each such company.</w:t>
      </w:r>
    </w:p>
    <w:p>
      <w:pPr>
        <w:spacing w:after="0" w:line="175" w:lineRule="exact"/>
        <w:rPr>
          <w:sz w:val="20"/>
          <w:szCs w:val="20"/>
          <w:color w:val="auto"/>
        </w:rPr>
      </w:pPr>
    </w:p>
    <w:p>
      <w:pPr>
        <w:ind w:left="660" w:right="160" w:hanging="647"/>
        <w:spacing w:after="0" w:line="292" w:lineRule="auto"/>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In the event that your conduct or performance falls short of the standards required by the Company or the Board in any respect, (other than cases of misconduct) you will receive at first instance, a verbal warning, followed, if necessary in the event of a repetition, by a written warning which, in appropriate circumstances, may be deemed to be a final written warning. In the event of further breach of conduct or poor performance, and following due investigation during which you will be afforded an opportunity to make whatever representations you consider appropriate, your employment may be terminated by the Company, with or without notice as is deemed appropriate. Where appropriate, because of the gravity of your conduct or performance, the Company reserves the right to commence this procedure at any stage</w:t>
      </w:r>
    </w:p>
    <w:p>
      <w:pPr>
        <w:spacing w:after="0" w:line="151"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22"/>
          <w:szCs w:val="22"/>
          <w:color w:val="auto"/>
        </w:rPr>
        <w:t>18.3.</w:t>
        <w:tab/>
        <w:t>In order to investigate a complaint against you, the Company may suspend you on full pay for as long as may be necessary to carry out an investigation and hold a disciplinary hearing.</w:t>
      </w:r>
    </w:p>
    <w:p>
      <w:pPr>
        <w:sectPr>
          <w:pgSz w:w="11900" w:h="16838" w:orient="portrait"/>
          <w:cols w:equalWidth="0" w:num="1">
            <w:col w:w="11400"/>
          </w:cols>
          <w:pgMar w:left="240" w:top="321" w:right="259" w:bottom="1440" w:gutter="0" w:footer="0" w:header="0"/>
        </w:sectPr>
      </w:pPr>
    </w:p>
    <w:bookmarkStart w:id="197" w:name="page198"/>
    <w:bookmarkEnd w:id="197"/>
    <w:p>
      <w:pPr>
        <w:ind w:left="652" w:hanging="652"/>
        <w:spacing w:after="0"/>
        <w:tabs>
          <w:tab w:leader="none" w:pos="652"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MONITORING</w:t>
      </w:r>
    </w:p>
    <w:p>
      <w:pPr>
        <w:spacing w:after="0" w:line="226" w:lineRule="exact"/>
        <w:rPr>
          <w:sz w:val="20"/>
          <w:szCs w:val="20"/>
          <w:color w:val="auto"/>
        </w:rPr>
      </w:pPr>
    </w:p>
    <w:p>
      <w:pPr>
        <w:jc w:val="both"/>
        <w:ind w:left="652" w:right="40" w:hanging="647"/>
        <w:spacing w:after="0" w:line="312" w:lineRule="auto"/>
        <w:tabs>
          <w:tab w:leader="none" w:pos="632"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You consent to the Company monitoring and recording any use that you make of the Company’s electronic communications systems for the purpose of ensuring that the Company’s rules are being complied with and for legitimate business purposes. You shall comply with any electronic communication systems policies that the Company may issue from time to time.</w:t>
      </w:r>
    </w:p>
    <w:p>
      <w:pPr>
        <w:spacing w:after="0" w:line="128" w:lineRule="exact"/>
        <w:rPr>
          <w:sz w:val="20"/>
          <w:szCs w:val="20"/>
          <w:color w:val="auto"/>
        </w:rPr>
      </w:pPr>
    </w:p>
    <w:p>
      <w:pPr>
        <w:ind w:left="652" w:hanging="652"/>
        <w:spacing w:after="0"/>
        <w:tabs>
          <w:tab w:leader="none" w:pos="652"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pacing w:after="0" w:line="226" w:lineRule="exact"/>
        <w:rPr>
          <w:sz w:val="20"/>
          <w:szCs w:val="20"/>
          <w:color w:val="auto"/>
        </w:rPr>
      </w:pPr>
    </w:p>
    <w:p>
      <w:pPr>
        <w:ind w:left="652" w:hanging="647"/>
        <w:spacing w:after="0" w:line="258" w:lineRule="auto"/>
        <w:tabs>
          <w:tab w:leader="none" w:pos="632"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You will not, except as authorised or required by your duties, reveal to any person, persons or company any information of a confidential or proprietary nature, including any trade secrets, secret or confidential operations, processes or dealings or any information concerning the organisation, business, finances, transactions or affairs of the Company, its subsidiary or associated companies or their existing or potential customers including but not limited to: client lists, prices, financial information, information on the marketing and development of products, which may come to your knowledge during the period of your employment with the Company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You will keep all Confidential Information entrusted to you completely secret and will not use or attempt to use any Confidential Information in any manner which may injure or cause loss either directly or indirectly to the Company or any of its subsidiary or associated companies or their existing or potential customers or its or their business or businesses. This restriction will continue to apply after the termination of your employment without limit in point of time but will cease to apply to information or knowledge which may reasonably be said to have come into the public domain other than by reason of breach of the provisions of this contract.</w:t>
      </w:r>
    </w:p>
    <w:p>
      <w:pPr>
        <w:spacing w:after="0" w:line="180" w:lineRule="exact"/>
        <w:rPr>
          <w:sz w:val="20"/>
          <w:szCs w:val="20"/>
          <w:color w:val="auto"/>
        </w:rPr>
      </w:pPr>
    </w:p>
    <w:p>
      <w:pPr>
        <w:ind w:left="652" w:right="40" w:hanging="647"/>
        <w:spacing w:after="0" w:line="246" w:lineRule="auto"/>
        <w:tabs>
          <w:tab w:leader="none" w:pos="632" w:val="left"/>
        </w:tabs>
        <w:rPr>
          <w:sz w:val="20"/>
          <w:szCs w:val="20"/>
          <w:color w:val="auto"/>
        </w:rPr>
      </w:pPr>
      <w:r>
        <w:rPr>
          <w:rFonts w:ascii="Arial" w:cs="Arial" w:eastAsia="Arial" w:hAnsi="Arial"/>
          <w:sz w:val="22"/>
          <w:szCs w:val="22"/>
          <w:color w:val="auto"/>
        </w:rPr>
        <w:t>20.2.</w:t>
        <w:tab/>
        <w:t>You will not during the term of your employment with the Company make, otherwise than for the benefit of the Company, any notes or memoranda relating to any matter within the scope of the business of the Company, its subsidiary or associated companies or their existing or potential customers or concerning any of the dealings or affairs of any such company nor will you either during the term of your employment with the Company or afterwards use or permit to be used any such notes or memoranda otherwise than for the benefit of the Company, it being the intention of the parties that all such notes or memoranda made by you will be the property of the Company and left at its offices upon the termination of your employment with the Company.</w:t>
      </w:r>
    </w:p>
    <w:p>
      <w:pPr>
        <w:spacing w:after="0" w:line="191" w:lineRule="exact"/>
        <w:rPr>
          <w:sz w:val="20"/>
          <w:szCs w:val="20"/>
          <w:color w:val="auto"/>
        </w:rPr>
      </w:pPr>
    </w:p>
    <w:p>
      <w:pPr>
        <w:ind w:left="652" w:hanging="652"/>
        <w:spacing w:after="0"/>
        <w:tabs>
          <w:tab w:leader="none" w:pos="652"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RIGHTS</w:t>
      </w:r>
    </w:p>
    <w:p>
      <w:pPr>
        <w:spacing w:after="0" w:line="220" w:lineRule="exact"/>
        <w:rPr>
          <w:sz w:val="20"/>
          <w:szCs w:val="20"/>
          <w:color w:val="auto"/>
        </w:rPr>
      </w:pPr>
    </w:p>
    <w:p>
      <w:pPr>
        <w:ind w:left="652" w:right="40" w:hanging="647"/>
        <w:spacing w:after="0" w:line="247" w:lineRule="auto"/>
        <w:tabs>
          <w:tab w:leader="none" w:pos="632" w:val="left"/>
        </w:tabs>
        <w:rPr>
          <w:sz w:val="20"/>
          <w:szCs w:val="20"/>
          <w:color w:val="auto"/>
        </w:rPr>
      </w:pPr>
      <w:r>
        <w:rPr>
          <w:rFonts w:ascii="Arial" w:cs="Arial" w:eastAsia="Arial" w:hAnsi="Arial"/>
          <w:sz w:val="22"/>
          <w:szCs w:val="22"/>
          <w:color w:val="auto"/>
        </w:rPr>
        <w:t>21.1.</w:t>
        <w:tab/>
        <w:t>In this Clause 21, “</w:t>
      </w:r>
      <w:r>
        <w:rPr>
          <w:rFonts w:ascii="Arial" w:cs="Arial" w:eastAsia="Arial" w:hAnsi="Arial"/>
          <w:sz w:val="22"/>
          <w:szCs w:val="22"/>
          <w:b w:val="1"/>
          <w:bCs w:val="1"/>
          <w:color w:val="auto"/>
        </w:rPr>
        <w:t>IP</w:t>
      </w:r>
      <w:r>
        <w:rPr>
          <w:rFonts w:ascii="Arial" w:cs="Arial" w:eastAsia="Arial" w:hAnsi="Arial"/>
          <w:sz w:val="22"/>
          <w:szCs w:val="22"/>
          <w:color w:val="auto"/>
        </w:rPr>
        <w:t>” means all intellectual property rights of whatever nature, including copyright (present and future), moral rights, patents, trademarks, trade names, domain names, rights in get-up, goodwill and the right to sue for passing off or unfair competition, rights in computer software, design rights, rights to inventions and database rights (whether or not any of these is registered and including any applications for registration of any such rights), rights to preserve the confidentiality of information(including trade secrets and know-how) and any other intellectual property rights, in each case whether registered or unregistered and including all applications (or rights to apply) for and be granted, renewals or extensions of, and rights to claim priority</w:t>
      </w:r>
    </w:p>
    <w:p>
      <w:pPr>
        <w:sectPr>
          <w:pgSz w:w="11900" w:h="16838" w:orient="portrait"/>
          <w:cols w:equalWidth="0" w:num="1">
            <w:col w:w="11412"/>
          </w:cols>
          <w:pgMar w:left="248" w:top="814" w:right="239" w:bottom="1440" w:gutter="0" w:footer="0" w:header="0"/>
        </w:sectPr>
      </w:pPr>
    </w:p>
    <w:bookmarkStart w:id="198" w:name="page199"/>
    <w:bookmarkEnd w:id="198"/>
    <w:p>
      <w:pPr>
        <w:ind w:left="652" w:right="300"/>
        <w:spacing w:after="0" w:line="232" w:lineRule="auto"/>
        <w:rPr>
          <w:sz w:val="20"/>
          <w:szCs w:val="20"/>
          <w:color w:val="auto"/>
        </w:rPr>
      </w:pPr>
      <w:r>
        <w:rPr>
          <w:rFonts w:ascii="Arial" w:cs="Arial" w:eastAsia="Arial" w:hAnsi="Arial"/>
          <w:sz w:val="22"/>
          <w:szCs w:val="22"/>
          <w:color w:val="auto"/>
        </w:rPr>
        <w:t>from, such rights and all similar or equivalent rights or forms of protection which may now or in the future subsist in any part of the world.</w:t>
      </w:r>
    </w:p>
    <w:p>
      <w:pPr>
        <w:spacing w:after="0" w:line="186" w:lineRule="exact"/>
        <w:rPr>
          <w:sz w:val="20"/>
          <w:szCs w:val="20"/>
          <w:color w:val="auto"/>
        </w:rPr>
      </w:pPr>
    </w:p>
    <w:p>
      <w:pPr>
        <w:ind w:left="652" w:hanging="647"/>
        <w:spacing w:after="0" w:line="290" w:lineRule="auto"/>
        <w:tabs>
          <w:tab w:leader="none" w:pos="632"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You will immediately disclose to the Company in writing full details of any discovery, invention, process or improvement in procedure made or discovered by you (whether or not in conjunction with any other person or persons) together with all works embodying IP rights while in the employment of the Company in connection with or in any way affecting or relating to the business of the Company, its subsidiary or associated companies or capable of being used or adapted for use therein or in connection therewith (“</w:t>
      </w:r>
      <w:r>
        <w:rPr>
          <w:rFonts w:ascii="Arial" w:cs="Arial" w:eastAsia="Arial" w:hAnsi="Arial"/>
          <w:sz w:val="19"/>
          <w:szCs w:val="19"/>
          <w:b w:val="1"/>
          <w:bCs w:val="1"/>
          <w:color w:val="auto"/>
        </w:rPr>
        <w:t>Inventions</w:t>
      </w:r>
      <w:r>
        <w:rPr>
          <w:rFonts w:ascii="Arial" w:cs="Arial" w:eastAsia="Arial" w:hAnsi="Arial"/>
          <w:sz w:val="19"/>
          <w:szCs w:val="19"/>
          <w:color w:val="auto"/>
        </w:rPr>
        <w:t>”). You acknowledge that all IP rights subsisting (or which may in the future subsist) in all such Inventions and works shall automatically, on creation, vest in the Company absolutely. To the extent that they do not vest automatically, you hold them on trust for the Company. You agree promptly to execute all documents and do all acts as may, in the opinion of the Company, be necessary to give effect to this clause.</w:t>
      </w:r>
    </w:p>
    <w:p>
      <w:pPr>
        <w:spacing w:after="0" w:line="157" w:lineRule="exact"/>
        <w:rPr>
          <w:sz w:val="20"/>
          <w:szCs w:val="20"/>
          <w:color w:val="auto"/>
        </w:rPr>
      </w:pPr>
    </w:p>
    <w:p>
      <w:pPr>
        <w:ind w:left="652" w:right="180" w:hanging="647"/>
        <w:spacing w:after="0" w:line="297" w:lineRule="auto"/>
        <w:tabs>
          <w:tab w:leader="none" w:pos="632"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If and whenever required so to do (whether during or after the termination of your employment), you will without charge and at the expense of the Company or its nominee apply or join in applying for letters, patents or other forms of protection for any IP referred to in this Clause 20 and execute all instruments and do all things considered necessary in the absolute discretion of the Company in relation to the said IP including vesting all rights and titles to such IP, when obtained, in the Company (or its nominee) as sole beneficial owner, or in such other person as the Company may require.</w:t>
      </w:r>
    </w:p>
    <w:p>
      <w:pPr>
        <w:spacing w:after="0" w:line="147" w:lineRule="exact"/>
        <w:rPr>
          <w:sz w:val="20"/>
          <w:szCs w:val="20"/>
          <w:color w:val="auto"/>
        </w:rPr>
      </w:pPr>
    </w:p>
    <w:p>
      <w:pPr>
        <w:ind w:left="652" w:right="40" w:hanging="647"/>
        <w:spacing w:after="0" w:line="248" w:lineRule="auto"/>
        <w:tabs>
          <w:tab w:leader="none" w:pos="632" w:val="left"/>
        </w:tabs>
        <w:rPr>
          <w:sz w:val="20"/>
          <w:szCs w:val="20"/>
          <w:color w:val="auto"/>
        </w:rPr>
      </w:pPr>
      <w:r>
        <w:rPr>
          <w:rFonts w:ascii="Arial" w:cs="Arial" w:eastAsia="Arial" w:hAnsi="Arial"/>
          <w:sz w:val="22"/>
          <w:szCs w:val="22"/>
          <w:color w:val="auto"/>
        </w:rPr>
        <w:t>21.4.</w:t>
        <w:tab/>
        <w:t>You irrevocably appoint the Company to be your attorney in your name and on your behalf to execute and do any such instruments or things and generally to use your name for the purpose of giving to the Company (or its nominee) the full benefit of the provisions of this Clause 21. A certificate in writing signed by any executive or the Secretary of the Company that any instrument or act falls within the authority conferred in this Clause 21.4 will be conclusive evidence that such is the case in favour of a third party.</w:t>
      </w:r>
    </w:p>
    <w:p>
      <w:pPr>
        <w:spacing w:after="0" w:line="186" w:lineRule="exact"/>
        <w:rPr>
          <w:sz w:val="20"/>
          <w:szCs w:val="20"/>
          <w:color w:val="auto"/>
        </w:rPr>
      </w:pPr>
    </w:p>
    <w:p>
      <w:pPr>
        <w:ind w:left="652" w:hanging="652"/>
        <w:spacing w:after="0"/>
        <w:tabs>
          <w:tab w:leader="none" w:pos="652"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6" w:lineRule="exact"/>
        <w:rPr>
          <w:sz w:val="20"/>
          <w:szCs w:val="20"/>
          <w:color w:val="auto"/>
        </w:rPr>
      </w:pPr>
    </w:p>
    <w:p>
      <w:pPr>
        <w:ind w:left="652" w:right="40" w:hanging="647"/>
        <w:spacing w:after="0" w:line="250" w:lineRule="auto"/>
        <w:tabs>
          <w:tab w:leader="none" w:pos="632" w:val="left"/>
        </w:tabs>
        <w:rPr>
          <w:sz w:val="20"/>
          <w:szCs w:val="20"/>
          <w:color w:val="auto"/>
        </w:rPr>
      </w:pPr>
      <w:r>
        <w:rPr>
          <w:rFonts w:ascii="Arial" w:cs="Arial" w:eastAsia="Arial" w:hAnsi="Arial"/>
          <w:sz w:val="22"/>
          <w:szCs w:val="22"/>
          <w:color w:val="auto"/>
        </w:rPr>
        <w:t>22.1.</w:t>
        <w:tab/>
        <w:t>You may not during the period of your employment with the Company, without prior written consent of the Company, engage, whether directly or indirectly, in any business or employment which is similar to or competitive with the business of the Company or its subsidiary or associated companies or which may in the Company’s opinion impair your ability to act at all times in the best interest of the Company.</w:t>
      </w:r>
    </w:p>
    <w:p>
      <w:pPr>
        <w:spacing w:after="0" w:line="188" w:lineRule="exact"/>
        <w:rPr>
          <w:sz w:val="20"/>
          <w:szCs w:val="20"/>
          <w:color w:val="auto"/>
        </w:rPr>
      </w:pPr>
    </w:p>
    <w:p>
      <w:pPr>
        <w:ind w:left="652" w:right="340" w:hanging="647"/>
        <w:spacing w:after="0" w:line="263" w:lineRule="auto"/>
        <w:tabs>
          <w:tab w:leader="none" w:pos="632" w:val="left"/>
        </w:tabs>
        <w:rPr>
          <w:sz w:val="20"/>
          <w:szCs w:val="20"/>
          <w:color w:val="auto"/>
        </w:rPr>
      </w:pPr>
      <w:r>
        <w:rPr>
          <w:rFonts w:ascii="Arial" w:cs="Arial" w:eastAsia="Arial" w:hAnsi="Arial"/>
          <w:sz w:val="22"/>
          <w:szCs w:val="22"/>
          <w:color w:val="auto"/>
        </w:rPr>
        <w:t>22.2.</w:t>
        <w:tab/>
        <w:t>In order to protect the Confidential Information and business connections of the Company to which you have access as a result of your employment, you covenant with the Company that you shall not:</w:t>
      </w:r>
    </w:p>
    <w:p>
      <w:pPr>
        <w:spacing w:after="0" w:line="175" w:lineRule="exact"/>
        <w:rPr>
          <w:sz w:val="20"/>
          <w:szCs w:val="20"/>
          <w:color w:val="auto"/>
        </w:rPr>
      </w:pPr>
    </w:p>
    <w:p>
      <w:pPr>
        <w:ind w:left="652" w:right="520" w:hanging="647"/>
        <w:spacing w:after="0" w:line="253" w:lineRule="auto"/>
        <w:rPr>
          <w:sz w:val="20"/>
          <w:szCs w:val="20"/>
          <w:color w:val="auto"/>
        </w:rPr>
      </w:pPr>
      <w:r>
        <w:rPr>
          <w:rFonts w:ascii="Arial" w:cs="Arial" w:eastAsia="Arial" w:hAnsi="Arial"/>
          <w:sz w:val="22"/>
          <w:szCs w:val="22"/>
          <w:color w:val="auto"/>
        </w:rPr>
        <w:t>22.2.1. for 6 months after the date of the termination of your employment, in the Republic of Ireland be employed, engaged, concerned or interested, in any business directly competing with the products sold by the Company or its subsidiary or associated companies at that time.</w:t>
      </w:r>
    </w:p>
    <w:p>
      <w:pPr>
        <w:spacing w:after="0" w:line="186" w:lineRule="exact"/>
        <w:rPr>
          <w:sz w:val="20"/>
          <w:szCs w:val="20"/>
          <w:color w:val="auto"/>
        </w:rPr>
      </w:pPr>
    </w:p>
    <w:p>
      <w:pPr>
        <w:ind w:left="652" w:right="580" w:hanging="647"/>
        <w:spacing w:after="0" w:line="263" w:lineRule="auto"/>
        <w:rPr>
          <w:sz w:val="20"/>
          <w:szCs w:val="20"/>
          <w:color w:val="auto"/>
        </w:rPr>
      </w:pPr>
      <w:r>
        <w:rPr>
          <w:rFonts w:ascii="Arial" w:cs="Arial" w:eastAsia="Arial" w:hAnsi="Arial"/>
          <w:sz w:val="22"/>
          <w:szCs w:val="22"/>
          <w:color w:val="auto"/>
        </w:rPr>
        <w:t>22.2.2. for a period of 6 months after the termination of your employment, offer to employ or otherwise entice away from the Company or its subsidiary or associated companies, any</w:t>
      </w:r>
    </w:p>
    <w:p>
      <w:pPr>
        <w:sectPr>
          <w:pgSz w:w="11900" w:h="16838" w:orient="portrait"/>
          <w:cols w:equalWidth="0" w:num="1">
            <w:col w:w="11412"/>
          </w:cols>
          <w:pgMar w:left="248" w:top="321" w:right="239" w:bottom="1440" w:gutter="0" w:footer="0" w:header="0"/>
        </w:sectPr>
      </w:pPr>
    </w:p>
    <w:bookmarkStart w:id="199" w:name="page200"/>
    <w:bookmarkEnd w:id="199"/>
    <w:p>
      <w:pPr>
        <w:ind w:left="660" w:right="20"/>
        <w:spacing w:after="0" w:line="232" w:lineRule="auto"/>
        <w:rPr>
          <w:sz w:val="20"/>
          <w:szCs w:val="20"/>
          <w:color w:val="auto"/>
        </w:rPr>
      </w:pPr>
      <w:r>
        <w:rPr>
          <w:rFonts w:ascii="Arial" w:cs="Arial" w:eastAsia="Arial" w:hAnsi="Arial"/>
          <w:sz w:val="22"/>
          <w:szCs w:val="22"/>
          <w:color w:val="auto"/>
        </w:rPr>
        <w:t>person who was at any time in the twelve months prior to the termination of your employment with the Company employed or engaged by the Company or its subsidiary or associated companies.</w:t>
      </w:r>
    </w:p>
    <w:p>
      <w:pPr>
        <w:spacing w:after="0" w:line="186" w:lineRule="exact"/>
        <w:rPr>
          <w:sz w:val="20"/>
          <w:szCs w:val="20"/>
          <w:color w:val="auto"/>
        </w:rPr>
      </w:pPr>
    </w:p>
    <w:p>
      <w:pPr>
        <w:ind w:left="660" w:hanging="647"/>
        <w:spacing w:after="0" w:line="297" w:lineRule="auto"/>
        <w:rPr>
          <w:sz w:val="20"/>
          <w:szCs w:val="20"/>
          <w:color w:val="auto"/>
        </w:rPr>
      </w:pPr>
      <w:r>
        <w:rPr>
          <w:rFonts w:ascii="Arial" w:cs="Arial" w:eastAsia="Arial" w:hAnsi="Arial"/>
          <w:sz w:val="19"/>
          <w:szCs w:val="19"/>
          <w:color w:val="auto"/>
        </w:rPr>
        <w:t>22.2.3. for a period of 6 months after the termination of your employment, solicit or endeavour to entice away from the Company or its subsidiary or associated companies the business or custom of any firm, company or person who, during the 12 months before your termination of employment was a customer or prospective customer of the Company or its subsidiary or associated companies about whom you became aware or informed in the course of your employment, with a view to providing goods or services to that firm, company or person in competition with the services provided by the Company.</w:t>
      </w:r>
    </w:p>
    <w:p>
      <w:pPr>
        <w:spacing w:after="0" w:line="147" w:lineRule="exact"/>
        <w:rPr>
          <w:sz w:val="20"/>
          <w:szCs w:val="20"/>
          <w:color w:val="auto"/>
        </w:rPr>
      </w:pPr>
    </w:p>
    <w:p>
      <w:pPr>
        <w:ind w:left="660" w:hanging="647"/>
        <w:spacing w:after="0" w:line="302" w:lineRule="auto"/>
        <w:rPr>
          <w:sz w:val="20"/>
          <w:szCs w:val="20"/>
          <w:color w:val="auto"/>
        </w:rPr>
      </w:pPr>
      <w:r>
        <w:rPr>
          <w:rFonts w:ascii="Arial" w:cs="Arial" w:eastAsia="Arial" w:hAnsi="Arial"/>
          <w:sz w:val="19"/>
          <w:szCs w:val="19"/>
          <w:color w:val="auto"/>
        </w:rPr>
        <w:t>22.2.4. for a period of 6 months after the termination of your employment, be involved with the provision of goods or services to (or otherwise have any business dealings with) any firm, company or person who, during the 12 months before the termination of your employment, was in the habit of dealing with the Company or its subsidiary or associated companies, in the course of any business concern which is in competition with the business of the Company.</w:t>
      </w:r>
    </w:p>
    <w:p>
      <w:pPr>
        <w:spacing w:after="0" w:line="143" w:lineRule="exact"/>
        <w:rPr>
          <w:sz w:val="20"/>
          <w:szCs w:val="20"/>
          <w:color w:val="auto"/>
        </w:rPr>
      </w:pPr>
    </w:p>
    <w:p>
      <w:pPr>
        <w:ind w:left="660" w:right="840" w:hanging="647"/>
        <w:spacing w:after="0" w:line="287" w:lineRule="auto"/>
        <w:rPr>
          <w:sz w:val="20"/>
          <w:szCs w:val="20"/>
          <w:color w:val="auto"/>
        </w:rPr>
      </w:pPr>
      <w:r>
        <w:rPr>
          <w:rFonts w:ascii="Arial" w:cs="Arial" w:eastAsia="Arial" w:hAnsi="Arial"/>
          <w:sz w:val="21"/>
          <w:szCs w:val="21"/>
          <w:color w:val="auto"/>
        </w:rPr>
        <w:t>22.2.5. at any time after the termination of your employment, represent yourself as connected with the Company as agent, consultant, director, employee, owner, partner, shareholder or in any other capacity.</w:t>
      </w:r>
    </w:p>
    <w:p>
      <w:pPr>
        <w:spacing w:after="0" w:line="152" w:lineRule="exact"/>
        <w:rPr>
          <w:sz w:val="20"/>
          <w:szCs w:val="20"/>
          <w:color w:val="auto"/>
        </w:rPr>
      </w:pPr>
    </w:p>
    <w:p>
      <w:pPr>
        <w:jc w:val="both"/>
        <w:ind w:left="660" w:right="100" w:hanging="647"/>
        <w:spacing w:after="0" w:line="271"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1"/>
          <w:szCs w:val="21"/>
          <w:color w:val="auto"/>
        </w:rPr>
        <w:t>You acknowledge and agree that all of the restrictions contained in this contract are reasonable and necessary to protect the interests of the Company and its subsidiary and associated companies and you agree that the Company may seek equitable remedies to enforce them in addition to any other legal remedies it has.</w:t>
      </w:r>
    </w:p>
    <w:p>
      <w:pPr>
        <w:spacing w:after="0" w:line="168" w:lineRule="exact"/>
        <w:rPr>
          <w:sz w:val="20"/>
          <w:szCs w:val="20"/>
          <w:color w:val="auto"/>
        </w:rPr>
      </w:pPr>
    </w:p>
    <w:p>
      <w:pPr>
        <w:ind w:left="660" w:right="240" w:hanging="647"/>
        <w:spacing w:after="0" w:line="263" w:lineRule="auto"/>
        <w:tabs>
          <w:tab w:leader="none" w:pos="640" w:val="left"/>
        </w:tabs>
        <w:rPr>
          <w:sz w:val="20"/>
          <w:szCs w:val="20"/>
          <w:color w:val="auto"/>
        </w:rPr>
      </w:pPr>
      <w:r>
        <w:rPr>
          <w:rFonts w:ascii="Arial" w:cs="Arial" w:eastAsia="Arial" w:hAnsi="Arial"/>
          <w:sz w:val="22"/>
          <w:szCs w:val="22"/>
          <w:color w:val="auto"/>
        </w:rPr>
        <w:t>22.4.</w:t>
        <w:tab/>
        <w:t>The restrictions above apply to you acting directly or indirectly and on your own behalf or on behalf of, or in conjunction with, any firm, company or person.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The time periods for which the restrictions apply shall be reduced by any period that you spend on garden leave.</w:t>
      </w:r>
    </w:p>
    <w:p>
      <w:pPr>
        <w:spacing w:after="0" w:line="220" w:lineRule="exact"/>
        <w:rPr>
          <w:sz w:val="20"/>
          <w:szCs w:val="20"/>
          <w:color w:val="auto"/>
        </w:rPr>
      </w:pPr>
    </w:p>
    <w:p>
      <w:pPr>
        <w:ind w:left="660" w:right="40" w:hanging="647"/>
        <w:spacing w:after="0" w:line="247" w:lineRule="auto"/>
        <w:tabs>
          <w:tab w:leader="none" w:pos="640" w:val="left"/>
        </w:tabs>
        <w:rPr>
          <w:sz w:val="20"/>
          <w:szCs w:val="20"/>
          <w:color w:val="auto"/>
        </w:rPr>
      </w:pPr>
      <w:r>
        <w:rPr>
          <w:rFonts w:ascii="Arial" w:cs="Arial" w:eastAsia="Arial" w:hAnsi="Arial"/>
          <w:sz w:val="22"/>
          <w:szCs w:val="22"/>
          <w:color w:val="auto"/>
        </w:rPr>
        <w:t>22.6.</w:t>
        <w:tab/>
        <w:t>If any provision in this Clause 22 is deemed to be, or becomes invalid, illegal, void or unenforceable under applicable laws, such provision will be deemed amended to conform to applicable laws so as to be valid and enforceable (including, by way of example, by restricting the area, duration and/or scope of the covenants in to such area, duration and/or scope as would be held reasonable), or if it cannot be so amended without materially altering the intention of the parties, it will be deleted, but the validity, legality and enforceability of the remaining provisions of this contract shall not be impaired or affected in any way.</w:t>
      </w:r>
    </w:p>
    <w:p>
      <w:pPr>
        <w:spacing w:after="0" w:line="188"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PROBATIONARY PERIOD</w:t>
      </w:r>
    </w:p>
    <w:p>
      <w:pPr>
        <w:spacing w:after="0" w:line="226" w:lineRule="exact"/>
        <w:rPr>
          <w:sz w:val="20"/>
          <w:szCs w:val="20"/>
          <w:color w:val="auto"/>
        </w:rPr>
      </w:pPr>
    </w:p>
    <w:p>
      <w:pPr>
        <w:jc w:val="both"/>
        <w:ind w:left="660" w:right="280" w:hanging="647"/>
        <w:spacing w:after="0" w:line="265"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The first six months of your employment will be on a probationary basis. The Company may, at its discretion, extend the probationary period for a further period of up to four months where it deems appropriate. During the probationary period your performance and suitability will be monitored and your employment is subject to the satisfactory completion of the probationary period. Your employment may be terminated at any time</w:t>
      </w:r>
    </w:p>
    <w:p>
      <w:pPr>
        <w:sectPr>
          <w:pgSz w:w="11900" w:h="16838" w:orient="portrait"/>
          <w:cols w:equalWidth="0" w:num="1">
            <w:col w:w="11380"/>
          </w:cols>
          <w:pgMar w:left="240" w:top="321" w:right="279" w:bottom="1440" w:gutter="0" w:footer="0" w:header="0"/>
        </w:sectPr>
      </w:pPr>
    </w:p>
    <w:bookmarkStart w:id="200" w:name="page201"/>
    <w:bookmarkEnd w:id="200"/>
    <w:p>
      <w:pPr>
        <w:ind w:left="660" w:right="300"/>
        <w:spacing w:after="0" w:line="232" w:lineRule="auto"/>
        <w:rPr>
          <w:sz w:val="20"/>
          <w:szCs w:val="20"/>
          <w:color w:val="auto"/>
        </w:rPr>
      </w:pPr>
      <w:r>
        <w:rPr>
          <w:rFonts w:ascii="Arial" w:cs="Arial" w:eastAsia="Arial" w:hAnsi="Arial"/>
          <w:sz w:val="22"/>
          <w:szCs w:val="22"/>
          <w:color w:val="auto"/>
        </w:rPr>
        <w:t>during the probationary period on the giving of two weeks’ notice by you or by the Company. The Company reserves the right to make a payment in lieu of notice.</w:t>
      </w:r>
    </w:p>
    <w:p>
      <w:pPr>
        <w:spacing w:after="0" w:line="18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PROTECTION ACTS 1988 AND 2003</w:t>
      </w:r>
    </w:p>
    <w:p>
      <w:pPr>
        <w:spacing w:after="0" w:line="226" w:lineRule="exact"/>
        <w:rPr>
          <w:sz w:val="20"/>
          <w:szCs w:val="20"/>
          <w:color w:val="auto"/>
        </w:rPr>
      </w:pPr>
    </w:p>
    <w:p>
      <w:pPr>
        <w:ind w:left="660" w:right="120" w:hanging="647"/>
        <w:spacing w:after="0" w:line="260" w:lineRule="auto"/>
        <w:tabs>
          <w:tab w:leader="none" w:pos="6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You hereby acknowledge that during the course of your employment with the Company, the Company will keep personal data and sensitive personal data (e.g. doctor’s certificates or medical reports) relating to you on computer and in manual files/paper files. You hereby acknowledge and agree that the Company is permitted to hold and process personal information about you as part of its personnel and other business records and may use such information in the course of the Company’s business. You further agree that the Company may disclose such information to third parties in the event that such disclosure is in the Company’s view required by the proper conduct of the Company’s business. This clause applies to information held, used or disclosed in any medium.</w:t>
      </w:r>
    </w:p>
    <w:p>
      <w:pPr>
        <w:spacing w:after="0" w:line="17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HEALTH &amp; SAFETY</w:t>
      </w:r>
    </w:p>
    <w:p>
      <w:pPr>
        <w:spacing w:after="0" w:line="226" w:lineRule="exact"/>
        <w:rPr>
          <w:sz w:val="20"/>
          <w:szCs w:val="20"/>
          <w:color w:val="auto"/>
        </w:rPr>
      </w:pPr>
    </w:p>
    <w:p>
      <w:pPr>
        <w:ind w:left="660" w:right="40" w:hanging="647"/>
        <w:spacing w:after="0" w:line="247" w:lineRule="auto"/>
        <w:tabs>
          <w:tab w:leader="none" w:pos="640" w:val="left"/>
        </w:tabs>
        <w:rPr>
          <w:sz w:val="20"/>
          <w:szCs w:val="20"/>
          <w:color w:val="auto"/>
        </w:rPr>
      </w:pPr>
      <w:r>
        <w:rPr>
          <w:rFonts w:ascii="Arial" w:cs="Arial" w:eastAsia="Arial" w:hAnsi="Arial"/>
          <w:sz w:val="22"/>
          <w:szCs w:val="22"/>
          <w:color w:val="auto"/>
        </w:rPr>
        <w:t>25.1.</w:t>
        <w:tab/>
        <w:t>The Company takes seriously its obligations regarding the safety, health and welfare of its employees and in that regard your attention is drawn to the Company safety statement (which is available for viewing on the intranet). By signing this contract, you agree to take reasonable care of your own safety and health and that of any other persons who may be affected by your acts or admissions while at work. You also agree to cooperate with the Company and any other person to enable compliance with any provision of the Safety, Health and Welfare at Work Acts 1989 and 2005 and any Regulation made thereunder.</w:t>
      </w:r>
    </w:p>
    <w:p>
      <w:pPr>
        <w:spacing w:after="0" w:line="188"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COLLECTIVE AGREEMENT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color w:val="auto"/>
        </w:rPr>
        <w:t>There is no collective agreement which directly affects your employment.</w:t>
      </w:r>
    </w:p>
    <w:p>
      <w:pPr>
        <w:spacing w:after="0" w:line="21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p>
    <w:p>
      <w:pPr>
        <w:spacing w:after="0" w:line="226" w:lineRule="exact"/>
        <w:rPr>
          <w:sz w:val="20"/>
          <w:szCs w:val="20"/>
          <w:color w:val="auto"/>
        </w:rPr>
      </w:pPr>
    </w:p>
    <w:p>
      <w:pPr>
        <w:ind w:left="660" w:right="60" w:hanging="647"/>
        <w:spacing w:after="0" w:line="302" w:lineRule="auto"/>
        <w:tabs>
          <w:tab w:leader="none" w:pos="64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Any notice under this contract will be given in writing and will be deemed to have been duly given if delivered</w:t>
      </w:r>
      <w:r>
        <w:rPr>
          <w:rFonts w:ascii="Arial" w:cs="Arial" w:eastAsia="Arial" w:hAnsi="Arial"/>
          <w:sz w:val="19"/>
          <w:szCs w:val="19"/>
          <w:u w:val="single" w:color="auto"/>
          <w:color w:val="auto"/>
        </w:rPr>
        <w:t xml:space="preserve"> </w:t>
      </w:r>
      <w:r>
        <w:rPr>
          <w:rFonts w:ascii="Arial" w:cs="Arial" w:eastAsia="Arial" w:hAnsi="Arial"/>
          <w:sz w:val="19"/>
          <w:szCs w:val="19"/>
          <w:color w:val="auto"/>
        </w:rPr>
        <w:t>personally to the addressee or the duly authorised agent of the addressee or sent by prepaid registered post to the last known address of the party to whom such notice is given. Any such notice will be deemed to have been duly given at the time of delivery if delivered personally, or two working days after posting if sent by prepaid registered post.</w:t>
      </w:r>
    </w:p>
    <w:p>
      <w:pPr>
        <w:spacing w:after="0" w:line="143" w:lineRule="exact"/>
        <w:rPr>
          <w:sz w:val="20"/>
          <w:szCs w:val="20"/>
          <w:color w:val="auto"/>
        </w:rPr>
      </w:pPr>
    </w:p>
    <w:p>
      <w:pPr>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22"/>
          <w:szCs w:val="22"/>
          <w:u w:val="single" w:color="auto"/>
          <w:color w:val="auto"/>
        </w:rPr>
        <w:t>Entire Agreement</w:t>
      </w:r>
      <w:r>
        <w:rPr>
          <w:rFonts w:ascii="Arial" w:cs="Arial" w:eastAsia="Arial" w:hAnsi="Arial"/>
          <w:sz w:val="22"/>
          <w:szCs w:val="22"/>
          <w:color w:val="auto"/>
        </w:rPr>
        <w:t>. This contract is in substitution for all previous agreements and undertakings (if any) either written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verbal between the Company and you, and all such agreements and undertakings will be deemed to have been terminated by mutual consent as from the date of your execution of this contract.</w:t>
      </w:r>
    </w:p>
    <w:p>
      <w:pPr>
        <w:spacing w:after="0" w:line="186" w:lineRule="exact"/>
        <w:rPr>
          <w:sz w:val="20"/>
          <w:szCs w:val="20"/>
          <w:color w:val="auto"/>
        </w:rPr>
      </w:pPr>
    </w:p>
    <w:p>
      <w:pPr>
        <w:ind w:left="660" w:right="660" w:hanging="647"/>
        <w:spacing w:after="0" w:line="263" w:lineRule="auto"/>
        <w:tabs>
          <w:tab w:leader="none" w:pos="64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22"/>
          <w:szCs w:val="22"/>
          <w:u w:val="single" w:color="auto"/>
          <w:color w:val="auto"/>
        </w:rPr>
        <w:t>Governing Law and Jurisdiction</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Ireland, and shall be subject to the exclusive jurisdiction of the Irish courts.</w:t>
      </w:r>
    </w:p>
    <w:p>
      <w:pPr>
        <w:sectPr>
          <w:pgSz w:w="11900" w:h="16838" w:orient="portrait"/>
          <w:cols w:equalWidth="0" w:num="1">
            <w:col w:w="11420"/>
          </w:cols>
          <w:pgMar w:left="240" w:top="321" w:right="239" w:bottom="1440" w:gutter="0" w:footer="0" w:header="0"/>
        </w:sectPr>
      </w:pPr>
    </w:p>
    <w:bookmarkStart w:id="201" w:name="page202"/>
    <w:bookmarkEnd w:id="201"/>
    <w:p>
      <w:pPr>
        <w:jc w:val="center"/>
        <w:ind w:right="660"/>
        <w:spacing w:after="0" w:line="343" w:lineRule="auto"/>
        <w:rPr>
          <w:sz w:val="20"/>
          <w:szCs w:val="20"/>
          <w:color w:val="auto"/>
        </w:rPr>
      </w:pPr>
      <w:r>
        <w:rPr>
          <w:rFonts w:ascii="Arial" w:cs="Arial" w:eastAsia="Arial" w:hAnsi="Arial"/>
          <w:sz w:val="19"/>
          <w:szCs w:val="19"/>
          <w:color w:val="auto"/>
        </w:rPr>
        <w:t>27.4.  The information contained in this contract constitutes a written statement of particulars of your employment with the Company in accordance with the requirements of section 3 of the Terms of Employment Act 1994 and 2001.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right="40"/>
        <w:spacing w:after="0" w:line="263" w:lineRule="auto"/>
        <w:rPr>
          <w:sz w:val="20"/>
          <w:szCs w:val="20"/>
          <w:color w:val="auto"/>
        </w:rPr>
      </w:pPr>
      <w:r>
        <w:rPr>
          <w:rFonts w:ascii="Arial" w:cs="Arial" w:eastAsia="Arial" w:hAnsi="Arial"/>
          <w:sz w:val="22"/>
          <w:szCs w:val="22"/>
          <w:color w:val="auto"/>
        </w:rPr>
        <w:t>If you choose to accept the terms and conditions of employment set out in this contract, please sign the enclosed copy of the contract and return it to 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Yours sincerely</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Fintan Keegan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90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Fintan Keegan</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Duly authorised for and on behalf of</w:t>
      </w:r>
    </w:p>
    <w:p>
      <w:pPr>
        <w:ind w:left="40"/>
        <w:spacing w:after="0"/>
        <w:rPr>
          <w:sz w:val="20"/>
          <w:szCs w:val="20"/>
          <w:color w:val="auto"/>
        </w:rPr>
      </w:pPr>
      <w:r>
        <w:rPr>
          <w:rFonts w:ascii="Arial" w:cs="Arial" w:eastAsia="Arial" w:hAnsi="Arial"/>
          <w:sz w:val="22"/>
          <w:szCs w:val="22"/>
          <w:b w:val="1"/>
          <w:bCs w:val="1"/>
          <w:color w:val="auto"/>
        </w:rPr>
        <w:t>Jazz Pharmaceuticals Ireland Limited</w:t>
      </w:r>
    </w:p>
    <w:p>
      <w:pPr>
        <w:spacing w:after="0" w:line="269" w:lineRule="exact"/>
        <w:rPr>
          <w:sz w:val="20"/>
          <w:szCs w:val="20"/>
          <w:color w:val="auto"/>
        </w:rPr>
      </w:pPr>
    </w:p>
    <w:p>
      <w:pPr>
        <w:ind w:left="5060" w:right="80"/>
        <w:spacing w:after="0" w:line="328" w:lineRule="auto"/>
        <w:rPr>
          <w:sz w:val="20"/>
          <w:szCs w:val="20"/>
          <w:color w:val="auto"/>
        </w:rPr>
      </w:pPr>
      <w:r>
        <w:rPr>
          <w:rFonts w:ascii="Arial" w:cs="Arial" w:eastAsia="Arial" w:hAnsi="Arial"/>
          <w:sz w:val="19"/>
          <w:szCs w:val="19"/>
          <w:b w:val="1"/>
          <w:bCs w:val="1"/>
          <w:i w:val="1"/>
          <w:iCs w:val="1"/>
          <w:color w:val="auto"/>
        </w:rPr>
        <w:t>I accept employment with the Company on the terms and conditions as set out in the Company’s contract of which this is a copy.</w:t>
      </w:r>
    </w:p>
    <w:p>
      <w:pPr>
        <w:spacing w:after="0" w:line="200" w:lineRule="exact"/>
        <w:rPr>
          <w:sz w:val="20"/>
          <w:szCs w:val="20"/>
          <w:color w:val="auto"/>
        </w:rPr>
      </w:pPr>
    </w:p>
    <w:p>
      <w:pPr>
        <w:spacing w:after="0" w:line="358" w:lineRule="exact"/>
        <w:rPr>
          <w:sz w:val="20"/>
          <w:szCs w:val="20"/>
          <w:color w:val="auto"/>
        </w:rPr>
      </w:pPr>
    </w:p>
    <w:tbl>
      <w:tblPr>
        <w:tblLayout w:type="fixed"/>
        <w:tblInd w:w="5060" w:type="dxa"/>
        <w:tblCellMar>
          <w:top w:w="0" w:type="dxa"/>
          <w:left w:w="0" w:type="dxa"/>
          <w:bottom w:w="0" w:type="dxa"/>
          <w:right w:w="0" w:type="dxa"/>
        </w:tblCellMar>
      </w:tblPr>
      <w:tr>
        <w:trPr>
          <w:trHeight w:val="291"/>
        </w:trPr>
        <w:tc>
          <w:tcPr>
            <w:tcW w:w="1580" w:type="dxa"/>
            <w:vAlign w:val="bottom"/>
          </w:tcPr>
          <w:p>
            <w:pPr>
              <w:spacing w:after="0"/>
              <w:rPr>
                <w:sz w:val="20"/>
                <w:szCs w:val="20"/>
                <w:color w:val="auto"/>
              </w:rPr>
            </w:pPr>
            <w:r>
              <w:rPr>
                <w:rFonts w:ascii="Arial" w:cs="Arial" w:eastAsia="Arial" w:hAnsi="Arial"/>
                <w:sz w:val="22"/>
                <w:szCs w:val="22"/>
                <w:b w:val="1"/>
                <w:bCs w:val="1"/>
                <w:color w:val="auto"/>
              </w:rPr>
              <w:t>Signed:</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Finbar Larkin</w:t>
            </w:r>
          </w:p>
        </w:tc>
      </w:tr>
      <w:tr>
        <w:trPr>
          <w:trHeight w:val="291"/>
        </w:trPr>
        <w:tc>
          <w:tcPr>
            <w:tcW w:w="1580" w:type="dxa"/>
            <w:vAlign w:val="bottom"/>
          </w:tcPr>
          <w:p>
            <w:pPr>
              <w:spacing w:after="0"/>
              <w:rPr>
                <w:sz w:val="20"/>
                <w:szCs w:val="20"/>
                <w:color w:val="auto"/>
              </w:rPr>
            </w:pPr>
            <w:r>
              <w:rPr>
                <w:rFonts w:ascii="Arial" w:cs="Arial" w:eastAsia="Arial" w:hAnsi="Arial"/>
                <w:sz w:val="22"/>
                <w:szCs w:val="22"/>
                <w:b w:val="1"/>
                <w:bCs w:val="1"/>
                <w:color w:val="auto"/>
              </w:rPr>
              <w:t>Dated:</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22 Feb 2013</w:t>
            </w:r>
          </w:p>
        </w:tc>
      </w:tr>
    </w:tbl>
    <w:p>
      <w:pPr>
        <w:sectPr>
          <w:pgSz w:w="11900" w:h="16838" w:orient="portrait"/>
          <w:cols w:equalWidth="0" w:num="1">
            <w:col w:w="11420"/>
          </w:cols>
          <w:pgMar w:left="240" w:top="348"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color w:val="auto"/>
        </w:rPr>
        <w:t>Exhibit 10.28A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Arial" w:cs="Arial" w:eastAsia="Arial" w:hAnsi="Arial"/>
          <w:sz w:val="25"/>
          <w:szCs w:val="25"/>
          <w:b w:val="1"/>
          <w:bCs w:val="1"/>
          <w:color w:val="auto"/>
        </w:rPr>
        <w:t>Dated: 13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auto"/>
        </w:rPr>
        <w:t>EMPLOYMENT CONTRACT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357"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JAZZ PHARMACEUTICALS UK LIMITED</w:t>
      </w:r>
    </w:p>
    <w:p>
      <w:pPr>
        <w:spacing w:after="0" w:line="200" w:lineRule="exact"/>
        <w:rPr>
          <w:sz w:val="20"/>
          <w:szCs w:val="20"/>
          <w:color w:val="auto"/>
        </w:rPr>
      </w:pPr>
    </w:p>
    <w:p>
      <w:pPr>
        <w:spacing w:after="0" w:line="35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Samantha Pearce</w:t>
      </w:r>
    </w:p>
    <w:p>
      <w:pPr>
        <w:sectPr>
          <w:pgSz w:w="11900" w:h="16838" w:orient="portrait"/>
          <w:cols w:equalWidth="0" w:num="1">
            <w:col w:w="10220"/>
          </w:cols>
          <w:pgMar w:left="1440" w:top="742"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32"/>
          <w:szCs w:val="3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6783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5">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ectPr>
          <w:pgSz w:w="11900" w:h="16838" w:orient="portrait"/>
          <w:cols w:equalWidth="0" w:num="1">
            <w:col w:w="10620"/>
          </w:cols>
          <w:pgMar w:left="280" w:top="88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4"/>
              </w:rPr>
              <w:t>Clause</w:t>
            </w:r>
          </w:p>
        </w:tc>
        <w:tc>
          <w:tcPr>
            <w:tcW w:w="940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Page</w:t>
            </w:r>
          </w:p>
        </w:tc>
      </w:tr>
      <w:tr>
        <w:trPr>
          <w:trHeight w:val="652"/>
        </w:trPr>
        <w:tc>
          <w:tcPr>
            <w:tcW w:w="700" w:type="dxa"/>
            <w:vAlign w:val="bottom"/>
          </w:tcPr>
          <w:p>
            <w:pPr>
              <w:spacing w:after="0"/>
              <w:rPr>
                <w:sz w:val="20"/>
                <w:szCs w:val="20"/>
                <w:color w:val="auto"/>
              </w:rPr>
            </w:pPr>
            <w:r>
              <w:rPr>
                <w:rFonts w:ascii="Arial" w:cs="Arial" w:eastAsia="Arial" w:hAnsi="Arial"/>
                <w:sz w:val="22"/>
                <w:szCs w:val="22"/>
                <w:color w:val="auto"/>
              </w:rPr>
              <w:t>1.</w:t>
            </w:r>
          </w:p>
        </w:tc>
        <w:tc>
          <w:tcPr>
            <w:tcW w:w="9400" w:type="dxa"/>
            <w:vAlign w:val="bottom"/>
          </w:tcPr>
          <w:p>
            <w:pPr>
              <w:ind w:left="260"/>
              <w:spacing w:after="0"/>
              <w:rPr>
                <w:sz w:val="20"/>
                <w:szCs w:val="20"/>
                <w:color w:val="auto"/>
              </w:rPr>
            </w:pPr>
            <w:r>
              <w:rPr>
                <w:rFonts w:ascii="Arial" w:cs="Arial" w:eastAsia="Arial" w:hAnsi="Arial"/>
                <w:sz w:val="22"/>
                <w:szCs w:val="22"/>
                <w:color w:val="auto"/>
              </w:rPr>
              <w:t>Interpretation</w:t>
            </w:r>
          </w:p>
        </w:tc>
        <w:tc>
          <w:tcPr>
            <w:tcW w:w="5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w:t>
            </w:r>
          </w:p>
        </w:tc>
        <w:tc>
          <w:tcPr>
            <w:tcW w:w="9400" w:type="dxa"/>
            <w:vAlign w:val="bottom"/>
          </w:tcPr>
          <w:p>
            <w:pPr>
              <w:ind w:left="260"/>
              <w:spacing w:after="0"/>
              <w:rPr>
                <w:sz w:val="20"/>
                <w:szCs w:val="20"/>
                <w:color w:val="auto"/>
              </w:rPr>
            </w:pPr>
            <w:r>
              <w:rPr>
                <w:rFonts w:ascii="Arial" w:cs="Arial" w:eastAsia="Arial" w:hAnsi="Arial"/>
                <w:sz w:val="22"/>
                <w:szCs w:val="22"/>
                <w:color w:val="auto"/>
              </w:rPr>
              <w:t>Term of appointment</w:t>
            </w:r>
          </w:p>
        </w:tc>
        <w:tc>
          <w:tcPr>
            <w:tcW w:w="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3.</w:t>
            </w:r>
          </w:p>
        </w:tc>
        <w:tc>
          <w:tcPr>
            <w:tcW w:w="9400" w:type="dxa"/>
            <w:vAlign w:val="bottom"/>
          </w:tcPr>
          <w:p>
            <w:pPr>
              <w:ind w:left="260"/>
              <w:spacing w:after="0"/>
              <w:rPr>
                <w:sz w:val="20"/>
                <w:szCs w:val="20"/>
                <w:color w:val="auto"/>
              </w:rPr>
            </w:pPr>
            <w:r>
              <w:rPr>
                <w:rFonts w:ascii="Arial" w:cs="Arial" w:eastAsia="Arial" w:hAnsi="Arial"/>
                <w:sz w:val="22"/>
                <w:szCs w:val="22"/>
                <w:color w:val="auto"/>
              </w:rPr>
              <w:t>Duties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4.</w:t>
            </w:r>
          </w:p>
        </w:tc>
        <w:tc>
          <w:tcPr>
            <w:tcW w:w="9400" w:type="dxa"/>
            <w:vAlign w:val="bottom"/>
          </w:tcPr>
          <w:p>
            <w:pPr>
              <w:ind w:left="260"/>
              <w:spacing w:after="0"/>
              <w:rPr>
                <w:sz w:val="20"/>
                <w:szCs w:val="20"/>
                <w:color w:val="auto"/>
              </w:rPr>
            </w:pPr>
            <w:r>
              <w:rPr>
                <w:rFonts w:ascii="Arial" w:cs="Arial" w:eastAsia="Arial" w:hAnsi="Arial"/>
                <w:sz w:val="22"/>
                <w:szCs w:val="22"/>
                <w:color w:val="auto"/>
              </w:rPr>
              <w:t>Place of work</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5.</w:t>
            </w:r>
          </w:p>
        </w:tc>
        <w:tc>
          <w:tcPr>
            <w:tcW w:w="9400" w:type="dxa"/>
            <w:vAlign w:val="bottom"/>
          </w:tcPr>
          <w:p>
            <w:pPr>
              <w:ind w:left="260"/>
              <w:spacing w:after="0"/>
              <w:rPr>
                <w:sz w:val="20"/>
                <w:szCs w:val="20"/>
                <w:color w:val="auto"/>
              </w:rPr>
            </w:pPr>
            <w:r>
              <w:rPr>
                <w:rFonts w:ascii="Arial" w:cs="Arial" w:eastAsia="Arial" w:hAnsi="Arial"/>
                <w:sz w:val="22"/>
                <w:szCs w:val="22"/>
                <w:color w:val="auto"/>
              </w:rPr>
              <w:t>Hours of work</w:t>
            </w:r>
          </w:p>
        </w:tc>
        <w:tc>
          <w:tcPr>
            <w:tcW w:w="5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6.</w:t>
            </w:r>
          </w:p>
        </w:tc>
        <w:tc>
          <w:tcPr>
            <w:tcW w:w="9400" w:type="dxa"/>
            <w:vAlign w:val="bottom"/>
          </w:tcPr>
          <w:p>
            <w:pPr>
              <w:ind w:left="260"/>
              <w:spacing w:after="0"/>
              <w:rPr>
                <w:sz w:val="20"/>
                <w:szCs w:val="20"/>
                <w:color w:val="auto"/>
              </w:rPr>
            </w:pPr>
            <w:r>
              <w:rPr>
                <w:rFonts w:ascii="Arial" w:cs="Arial" w:eastAsia="Arial" w:hAnsi="Arial"/>
                <w:sz w:val="22"/>
                <w:szCs w:val="22"/>
                <w:color w:val="auto"/>
              </w:rPr>
              <w:t>Salary</w:t>
            </w:r>
          </w:p>
        </w:tc>
        <w:tc>
          <w:tcPr>
            <w:tcW w:w="5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7.</w:t>
            </w:r>
          </w:p>
        </w:tc>
        <w:tc>
          <w:tcPr>
            <w:tcW w:w="9400" w:type="dxa"/>
            <w:vAlign w:val="bottom"/>
          </w:tcPr>
          <w:p>
            <w:pPr>
              <w:ind w:left="260"/>
              <w:spacing w:after="0"/>
              <w:rPr>
                <w:sz w:val="20"/>
                <w:szCs w:val="20"/>
                <w:color w:val="auto"/>
              </w:rPr>
            </w:pPr>
            <w:r>
              <w:rPr>
                <w:rFonts w:ascii="Arial" w:cs="Arial" w:eastAsia="Arial" w:hAnsi="Arial"/>
                <w:sz w:val="22"/>
                <w:szCs w:val="22"/>
                <w:color w:val="auto"/>
              </w:rPr>
              <w:t>Expenses</w:t>
            </w:r>
          </w:p>
        </w:tc>
        <w:tc>
          <w:tcPr>
            <w:tcW w:w="5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8.</w:t>
            </w:r>
          </w:p>
        </w:tc>
        <w:tc>
          <w:tcPr>
            <w:tcW w:w="9400" w:type="dxa"/>
            <w:vAlign w:val="bottom"/>
          </w:tcPr>
          <w:p>
            <w:pPr>
              <w:ind w:left="260"/>
              <w:spacing w:after="0"/>
              <w:rPr>
                <w:sz w:val="20"/>
                <w:szCs w:val="20"/>
                <w:color w:val="auto"/>
              </w:rPr>
            </w:pPr>
            <w:r>
              <w:rPr>
                <w:rFonts w:ascii="Arial" w:cs="Arial" w:eastAsia="Arial" w:hAnsi="Arial"/>
                <w:sz w:val="22"/>
                <w:szCs w:val="22"/>
                <w:color w:val="auto"/>
              </w:rPr>
              <w:t>Bonus</w:t>
            </w:r>
          </w:p>
        </w:tc>
        <w:tc>
          <w:tcPr>
            <w:tcW w:w="5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9.</w:t>
            </w:r>
          </w:p>
        </w:tc>
        <w:tc>
          <w:tcPr>
            <w:tcW w:w="9400" w:type="dxa"/>
            <w:vAlign w:val="bottom"/>
          </w:tcPr>
          <w:p>
            <w:pPr>
              <w:ind w:left="260"/>
              <w:spacing w:after="0"/>
              <w:rPr>
                <w:sz w:val="20"/>
                <w:szCs w:val="20"/>
                <w:color w:val="auto"/>
              </w:rPr>
            </w:pPr>
            <w:r>
              <w:rPr>
                <w:rFonts w:ascii="Arial" w:cs="Arial" w:eastAsia="Arial" w:hAnsi="Arial"/>
                <w:sz w:val="22"/>
                <w:szCs w:val="22"/>
                <w:color w:val="auto"/>
              </w:rPr>
              <w:t>Permanent health insurance</w:t>
            </w:r>
          </w:p>
        </w:tc>
        <w:tc>
          <w:tcPr>
            <w:tcW w:w="5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10.</w:t>
            </w:r>
          </w:p>
        </w:tc>
        <w:tc>
          <w:tcPr>
            <w:tcW w:w="9400" w:type="dxa"/>
            <w:vAlign w:val="bottom"/>
          </w:tcPr>
          <w:p>
            <w:pPr>
              <w:ind w:left="260"/>
              <w:spacing w:after="0"/>
              <w:rPr>
                <w:sz w:val="20"/>
                <w:szCs w:val="20"/>
                <w:color w:val="auto"/>
              </w:rPr>
            </w:pPr>
            <w:r>
              <w:rPr>
                <w:rFonts w:ascii="Arial" w:cs="Arial" w:eastAsia="Arial" w:hAnsi="Arial"/>
                <w:sz w:val="22"/>
                <w:szCs w:val="22"/>
                <w:color w:val="auto"/>
              </w:rPr>
              <w:t>Life assurance</w:t>
            </w:r>
          </w:p>
        </w:tc>
        <w:tc>
          <w:tcPr>
            <w:tcW w:w="5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11.</w:t>
            </w:r>
          </w:p>
        </w:tc>
        <w:tc>
          <w:tcPr>
            <w:tcW w:w="9400" w:type="dxa"/>
            <w:vAlign w:val="bottom"/>
          </w:tcPr>
          <w:p>
            <w:pPr>
              <w:ind w:left="260"/>
              <w:spacing w:after="0"/>
              <w:rPr>
                <w:sz w:val="20"/>
                <w:szCs w:val="20"/>
                <w:color w:val="auto"/>
              </w:rPr>
            </w:pPr>
            <w:r>
              <w:rPr>
                <w:rFonts w:ascii="Arial" w:cs="Arial" w:eastAsia="Arial" w:hAnsi="Arial"/>
                <w:sz w:val="22"/>
                <w:szCs w:val="22"/>
                <w:color w:val="auto"/>
              </w:rPr>
              <w:t>Private medical insurance</w:t>
            </w:r>
          </w:p>
        </w:tc>
        <w:tc>
          <w:tcPr>
            <w:tcW w:w="5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12.</w:t>
            </w:r>
          </w:p>
        </w:tc>
        <w:tc>
          <w:tcPr>
            <w:tcW w:w="9400" w:type="dxa"/>
            <w:vAlign w:val="bottom"/>
          </w:tcPr>
          <w:p>
            <w:pPr>
              <w:ind w:left="260"/>
              <w:spacing w:after="0"/>
              <w:rPr>
                <w:sz w:val="20"/>
                <w:szCs w:val="20"/>
                <w:color w:val="auto"/>
              </w:rPr>
            </w:pPr>
            <w:r>
              <w:rPr>
                <w:rFonts w:ascii="Arial" w:cs="Arial" w:eastAsia="Arial" w:hAnsi="Arial"/>
                <w:sz w:val="22"/>
                <w:szCs w:val="22"/>
                <w:color w:val="auto"/>
              </w:rPr>
              <w:t>Car Allowance</w:t>
            </w:r>
          </w:p>
        </w:tc>
        <w:tc>
          <w:tcPr>
            <w:tcW w:w="5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13.</w:t>
            </w:r>
          </w:p>
        </w:tc>
        <w:tc>
          <w:tcPr>
            <w:tcW w:w="9400" w:type="dxa"/>
            <w:vAlign w:val="bottom"/>
          </w:tcPr>
          <w:p>
            <w:pPr>
              <w:ind w:left="260"/>
              <w:spacing w:after="0"/>
              <w:rPr>
                <w:sz w:val="20"/>
                <w:szCs w:val="20"/>
                <w:color w:val="auto"/>
              </w:rPr>
            </w:pPr>
            <w:r>
              <w:rPr>
                <w:rFonts w:ascii="Arial" w:cs="Arial" w:eastAsia="Arial" w:hAnsi="Arial"/>
                <w:sz w:val="22"/>
                <w:szCs w:val="22"/>
                <w:color w:val="auto"/>
              </w:rPr>
              <w:t>Holidays</w:t>
            </w:r>
          </w:p>
        </w:tc>
        <w:tc>
          <w:tcPr>
            <w:tcW w:w="5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14.</w:t>
            </w:r>
          </w:p>
        </w:tc>
        <w:tc>
          <w:tcPr>
            <w:tcW w:w="9400" w:type="dxa"/>
            <w:vAlign w:val="bottom"/>
          </w:tcPr>
          <w:p>
            <w:pPr>
              <w:ind w:left="260"/>
              <w:spacing w:after="0"/>
              <w:rPr>
                <w:sz w:val="20"/>
                <w:szCs w:val="20"/>
                <w:color w:val="auto"/>
              </w:rPr>
            </w:pPr>
            <w:r>
              <w:rPr>
                <w:rFonts w:ascii="Arial" w:cs="Arial" w:eastAsia="Arial" w:hAnsi="Arial"/>
                <w:sz w:val="22"/>
                <w:szCs w:val="22"/>
                <w:color w:val="auto"/>
              </w:rPr>
              <w:t>Incapacity</w:t>
            </w:r>
          </w:p>
        </w:tc>
        <w:tc>
          <w:tcPr>
            <w:tcW w:w="5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15.</w:t>
            </w:r>
          </w:p>
        </w:tc>
        <w:tc>
          <w:tcPr>
            <w:tcW w:w="9400" w:type="dxa"/>
            <w:vAlign w:val="bottom"/>
          </w:tcPr>
          <w:p>
            <w:pPr>
              <w:ind w:left="260"/>
              <w:spacing w:after="0"/>
              <w:rPr>
                <w:sz w:val="20"/>
                <w:szCs w:val="20"/>
                <w:color w:val="auto"/>
              </w:rPr>
            </w:pPr>
            <w:r>
              <w:rPr>
                <w:rFonts w:ascii="Arial" w:cs="Arial" w:eastAsia="Arial" w:hAnsi="Arial"/>
                <w:sz w:val="22"/>
                <w:szCs w:val="22"/>
                <w:color w:val="auto"/>
              </w:rPr>
              <w:t>Outside interests</w:t>
            </w:r>
          </w:p>
        </w:tc>
        <w:tc>
          <w:tcPr>
            <w:tcW w:w="5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16.</w:t>
            </w:r>
          </w:p>
        </w:tc>
        <w:tc>
          <w:tcPr>
            <w:tcW w:w="9400" w:type="dxa"/>
            <w:vAlign w:val="bottom"/>
          </w:tcPr>
          <w:p>
            <w:pPr>
              <w:ind w:left="260"/>
              <w:spacing w:after="0"/>
              <w:rPr>
                <w:sz w:val="20"/>
                <w:szCs w:val="20"/>
                <w:color w:val="auto"/>
              </w:rPr>
            </w:pPr>
            <w:r>
              <w:rPr>
                <w:rFonts w:ascii="Arial" w:cs="Arial" w:eastAsia="Arial" w:hAnsi="Arial"/>
                <w:sz w:val="22"/>
                <w:szCs w:val="22"/>
                <w:color w:val="auto"/>
              </w:rPr>
              <w:t>Confidential information</w:t>
            </w:r>
          </w:p>
        </w:tc>
        <w:tc>
          <w:tcPr>
            <w:tcW w:w="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17.</w:t>
            </w:r>
          </w:p>
        </w:tc>
        <w:tc>
          <w:tcPr>
            <w:tcW w:w="9400" w:type="dxa"/>
            <w:vAlign w:val="bottom"/>
          </w:tcPr>
          <w:p>
            <w:pPr>
              <w:ind w:left="260"/>
              <w:spacing w:after="0"/>
              <w:rPr>
                <w:sz w:val="20"/>
                <w:szCs w:val="20"/>
                <w:color w:val="auto"/>
              </w:rPr>
            </w:pPr>
            <w:r>
              <w:rPr>
                <w:rFonts w:ascii="Arial" w:cs="Arial" w:eastAsia="Arial" w:hAnsi="Arial"/>
                <w:sz w:val="22"/>
                <w:szCs w:val="22"/>
                <w:color w:val="auto"/>
              </w:rPr>
              <w:t>Intellectual property</w:t>
            </w:r>
          </w:p>
        </w:tc>
        <w:tc>
          <w:tcPr>
            <w:tcW w:w="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18.</w:t>
            </w:r>
          </w:p>
        </w:tc>
        <w:tc>
          <w:tcPr>
            <w:tcW w:w="9400" w:type="dxa"/>
            <w:vAlign w:val="bottom"/>
          </w:tcPr>
          <w:p>
            <w:pPr>
              <w:ind w:left="260"/>
              <w:spacing w:after="0"/>
              <w:rPr>
                <w:sz w:val="20"/>
                <w:szCs w:val="20"/>
                <w:color w:val="auto"/>
              </w:rPr>
            </w:pPr>
            <w:r>
              <w:rPr>
                <w:rFonts w:ascii="Arial" w:cs="Arial" w:eastAsia="Arial" w:hAnsi="Arial"/>
                <w:sz w:val="22"/>
                <w:szCs w:val="22"/>
                <w:color w:val="auto"/>
              </w:rPr>
              <w:t>Termination</w:t>
            </w:r>
          </w:p>
        </w:tc>
        <w:tc>
          <w:tcPr>
            <w:tcW w:w="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19.</w:t>
            </w:r>
          </w:p>
        </w:tc>
        <w:tc>
          <w:tcPr>
            <w:tcW w:w="9400" w:type="dxa"/>
            <w:vAlign w:val="bottom"/>
          </w:tcPr>
          <w:p>
            <w:pPr>
              <w:ind w:left="260"/>
              <w:spacing w:after="0"/>
              <w:rPr>
                <w:sz w:val="20"/>
                <w:szCs w:val="20"/>
                <w:color w:val="auto"/>
              </w:rPr>
            </w:pPr>
            <w:r>
              <w:rPr>
                <w:rFonts w:ascii="Arial" w:cs="Arial" w:eastAsia="Arial" w:hAnsi="Arial"/>
                <w:sz w:val="22"/>
                <w:szCs w:val="22"/>
                <w:color w:val="auto"/>
              </w:rPr>
              <w:t>Garden leave</w:t>
            </w:r>
          </w:p>
        </w:tc>
        <w:tc>
          <w:tcPr>
            <w:tcW w:w="5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w:t>
            </w:r>
          </w:p>
        </w:tc>
        <w:tc>
          <w:tcPr>
            <w:tcW w:w="9400" w:type="dxa"/>
            <w:vAlign w:val="bottom"/>
          </w:tcPr>
          <w:p>
            <w:pPr>
              <w:ind w:left="260"/>
              <w:spacing w:after="0"/>
              <w:rPr>
                <w:sz w:val="20"/>
                <w:szCs w:val="20"/>
                <w:color w:val="auto"/>
              </w:rPr>
            </w:pPr>
            <w:r>
              <w:rPr>
                <w:rFonts w:ascii="Arial" w:cs="Arial" w:eastAsia="Arial" w:hAnsi="Arial"/>
                <w:sz w:val="22"/>
                <w:szCs w:val="22"/>
                <w:color w:val="auto"/>
              </w:rPr>
              <w:t>Obligations upon termination</w:t>
            </w:r>
          </w:p>
        </w:tc>
        <w:tc>
          <w:tcPr>
            <w:tcW w:w="5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21.</w:t>
            </w:r>
          </w:p>
        </w:tc>
        <w:tc>
          <w:tcPr>
            <w:tcW w:w="9400" w:type="dxa"/>
            <w:vAlign w:val="bottom"/>
          </w:tcPr>
          <w:p>
            <w:pPr>
              <w:ind w:left="260"/>
              <w:spacing w:after="0"/>
              <w:rPr>
                <w:sz w:val="20"/>
                <w:szCs w:val="20"/>
                <w:color w:val="auto"/>
              </w:rPr>
            </w:pPr>
            <w:r>
              <w:rPr>
                <w:rFonts w:ascii="Arial" w:cs="Arial" w:eastAsia="Arial" w:hAnsi="Arial"/>
                <w:sz w:val="22"/>
                <w:szCs w:val="22"/>
                <w:color w:val="auto"/>
              </w:rPr>
              <w:t>Post-termination restrictions</w:t>
            </w:r>
          </w:p>
        </w:tc>
        <w:tc>
          <w:tcPr>
            <w:tcW w:w="5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22.</w:t>
            </w:r>
          </w:p>
        </w:tc>
        <w:tc>
          <w:tcPr>
            <w:tcW w:w="9400" w:type="dxa"/>
            <w:vAlign w:val="bottom"/>
          </w:tcPr>
          <w:p>
            <w:pPr>
              <w:ind w:left="260"/>
              <w:spacing w:after="0"/>
              <w:rPr>
                <w:sz w:val="20"/>
                <w:szCs w:val="20"/>
                <w:color w:val="auto"/>
              </w:rPr>
            </w:pPr>
            <w:r>
              <w:rPr>
                <w:rFonts w:ascii="Arial" w:cs="Arial" w:eastAsia="Arial" w:hAnsi="Arial"/>
                <w:sz w:val="22"/>
                <w:szCs w:val="22"/>
                <w:color w:val="auto"/>
              </w:rPr>
              <w:t>Disciplinary and grievance procedures</w:t>
            </w:r>
          </w:p>
        </w:tc>
        <w:tc>
          <w:tcPr>
            <w:tcW w:w="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23.</w:t>
            </w:r>
          </w:p>
        </w:tc>
        <w:tc>
          <w:tcPr>
            <w:tcW w:w="9400" w:type="dxa"/>
            <w:vAlign w:val="bottom"/>
          </w:tcPr>
          <w:p>
            <w:pPr>
              <w:ind w:left="260"/>
              <w:spacing w:after="0"/>
              <w:rPr>
                <w:sz w:val="20"/>
                <w:szCs w:val="20"/>
                <w:color w:val="auto"/>
              </w:rPr>
            </w:pPr>
            <w:r>
              <w:rPr>
                <w:rFonts w:ascii="Arial" w:cs="Arial" w:eastAsia="Arial" w:hAnsi="Arial"/>
                <w:sz w:val="22"/>
                <w:szCs w:val="22"/>
                <w:color w:val="auto"/>
              </w:rPr>
              <w:t>Pensions</w:t>
            </w:r>
          </w:p>
        </w:tc>
        <w:tc>
          <w:tcPr>
            <w:tcW w:w="5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24.</w:t>
            </w:r>
          </w:p>
        </w:tc>
        <w:tc>
          <w:tcPr>
            <w:tcW w:w="9400" w:type="dxa"/>
            <w:vAlign w:val="bottom"/>
          </w:tcPr>
          <w:p>
            <w:pPr>
              <w:ind w:left="260"/>
              <w:spacing w:after="0"/>
              <w:rPr>
                <w:sz w:val="20"/>
                <w:szCs w:val="20"/>
                <w:color w:val="auto"/>
              </w:rPr>
            </w:pPr>
            <w:r>
              <w:rPr>
                <w:rFonts w:ascii="Arial" w:cs="Arial" w:eastAsia="Arial" w:hAnsi="Arial"/>
                <w:sz w:val="22"/>
                <w:szCs w:val="22"/>
                <w:color w:val="auto"/>
              </w:rPr>
              <w:t>Reconstruction and amalgamation</w:t>
            </w:r>
          </w:p>
        </w:tc>
        <w:tc>
          <w:tcPr>
            <w:tcW w:w="5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25.</w:t>
            </w:r>
          </w:p>
        </w:tc>
        <w:tc>
          <w:tcPr>
            <w:tcW w:w="9400" w:type="dxa"/>
            <w:vAlign w:val="bottom"/>
          </w:tcPr>
          <w:p>
            <w:pPr>
              <w:ind w:left="260"/>
              <w:spacing w:after="0"/>
              <w:rPr>
                <w:sz w:val="20"/>
                <w:szCs w:val="20"/>
                <w:color w:val="auto"/>
              </w:rPr>
            </w:pPr>
            <w:r>
              <w:rPr>
                <w:rFonts w:ascii="Arial" w:cs="Arial" w:eastAsia="Arial" w:hAnsi="Arial"/>
                <w:sz w:val="22"/>
                <w:szCs w:val="22"/>
                <w:color w:val="auto"/>
              </w:rPr>
              <w:t>Notices</w:t>
            </w:r>
          </w:p>
        </w:tc>
        <w:tc>
          <w:tcPr>
            <w:tcW w:w="5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26.</w:t>
            </w:r>
          </w:p>
        </w:tc>
        <w:tc>
          <w:tcPr>
            <w:tcW w:w="9400" w:type="dxa"/>
            <w:vAlign w:val="bottom"/>
          </w:tcPr>
          <w:p>
            <w:pPr>
              <w:ind w:left="260"/>
              <w:spacing w:after="0"/>
              <w:rPr>
                <w:sz w:val="20"/>
                <w:szCs w:val="20"/>
                <w:color w:val="auto"/>
              </w:rPr>
            </w:pPr>
            <w:r>
              <w:rPr>
                <w:rFonts w:ascii="Arial" w:cs="Arial" w:eastAsia="Arial" w:hAnsi="Arial"/>
                <w:sz w:val="22"/>
                <w:szCs w:val="22"/>
                <w:color w:val="auto"/>
              </w:rPr>
              <w:t>Entire agreement</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27.</w:t>
            </w:r>
          </w:p>
        </w:tc>
        <w:tc>
          <w:tcPr>
            <w:tcW w:w="9400" w:type="dxa"/>
            <w:vAlign w:val="bottom"/>
          </w:tcPr>
          <w:p>
            <w:pPr>
              <w:ind w:left="260"/>
              <w:spacing w:after="0"/>
              <w:rPr>
                <w:sz w:val="20"/>
                <w:szCs w:val="20"/>
                <w:color w:val="auto"/>
              </w:rPr>
            </w:pPr>
            <w:r>
              <w:rPr>
                <w:rFonts w:ascii="Arial" w:cs="Arial" w:eastAsia="Arial" w:hAnsi="Arial"/>
                <w:sz w:val="22"/>
                <w:szCs w:val="22"/>
                <w:color w:val="auto"/>
              </w:rPr>
              <w:t>Variation</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28.</w:t>
            </w:r>
          </w:p>
        </w:tc>
        <w:tc>
          <w:tcPr>
            <w:tcW w:w="9400" w:type="dxa"/>
            <w:vAlign w:val="bottom"/>
          </w:tcPr>
          <w:p>
            <w:pPr>
              <w:ind w:left="260"/>
              <w:spacing w:after="0"/>
              <w:rPr>
                <w:sz w:val="20"/>
                <w:szCs w:val="20"/>
                <w:color w:val="auto"/>
              </w:rPr>
            </w:pPr>
            <w:r>
              <w:rPr>
                <w:rFonts w:ascii="Arial" w:cs="Arial" w:eastAsia="Arial" w:hAnsi="Arial"/>
                <w:sz w:val="22"/>
                <w:szCs w:val="22"/>
                <w:color w:val="auto"/>
              </w:rPr>
              <w:t>Counterparts</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29.</w:t>
            </w:r>
          </w:p>
        </w:tc>
        <w:tc>
          <w:tcPr>
            <w:tcW w:w="9400" w:type="dxa"/>
            <w:vAlign w:val="bottom"/>
          </w:tcPr>
          <w:p>
            <w:pPr>
              <w:ind w:left="260"/>
              <w:spacing w:after="0"/>
              <w:rPr>
                <w:sz w:val="20"/>
                <w:szCs w:val="20"/>
                <w:color w:val="auto"/>
              </w:rPr>
            </w:pPr>
            <w:r>
              <w:rPr>
                <w:rFonts w:ascii="Arial" w:cs="Arial" w:eastAsia="Arial" w:hAnsi="Arial"/>
                <w:sz w:val="22"/>
                <w:szCs w:val="22"/>
                <w:color w:val="auto"/>
              </w:rPr>
              <w:t>Third party rights</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30.</w:t>
            </w:r>
          </w:p>
        </w:tc>
        <w:tc>
          <w:tcPr>
            <w:tcW w:w="9400" w:type="dxa"/>
            <w:vAlign w:val="bottom"/>
          </w:tcPr>
          <w:p>
            <w:pPr>
              <w:ind w:left="260"/>
              <w:spacing w:after="0"/>
              <w:rPr>
                <w:sz w:val="20"/>
                <w:szCs w:val="20"/>
                <w:color w:val="auto"/>
              </w:rPr>
            </w:pPr>
            <w:r>
              <w:rPr>
                <w:rFonts w:ascii="Arial" w:cs="Arial" w:eastAsia="Arial" w:hAnsi="Arial"/>
                <w:sz w:val="22"/>
                <w:szCs w:val="22"/>
                <w:color w:val="auto"/>
              </w:rPr>
              <w:t>Governing law and jurisdiction</w:t>
            </w:r>
          </w:p>
        </w:tc>
        <w:tc>
          <w:tcPr>
            <w:tcW w:w="520" w:type="dxa"/>
            <w:vAlign w:val="bottom"/>
          </w:tcPr>
          <w:p>
            <w:pPr>
              <w:jc w:val="right"/>
              <w:spacing w:after="0"/>
              <w:rPr>
                <w:sz w:val="20"/>
                <w:szCs w:val="20"/>
                <w:color w:val="auto"/>
              </w:rPr>
            </w:pPr>
            <w:r>
              <w:rPr>
                <w:rFonts w:ascii="Arial" w:cs="Arial" w:eastAsia="Arial" w:hAnsi="Arial"/>
                <w:sz w:val="22"/>
                <w:szCs w:val="22"/>
                <w:color w:val="auto"/>
              </w:rPr>
              <w:t>22</w:t>
            </w:r>
          </w:p>
        </w:tc>
      </w:tr>
    </w:tbl>
    <w:p>
      <w:pPr>
        <w:sectPr>
          <w:pgSz w:w="11900" w:h="16838" w:orient="portrait"/>
          <w:cols w:equalWidth="0" w:num="1">
            <w:col w:w="10620"/>
          </w:cols>
          <w:pgMar w:left="280" w:top="887" w:right="999"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22"/>
          <w:szCs w:val="22"/>
          <w:color w:val="auto"/>
        </w:rPr>
        <w:t>THIS AGREEMENT (“Agreement”) is dated 13 December 2019.</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Parties:</w:t>
      </w:r>
    </w:p>
    <w:p>
      <w:pPr>
        <w:spacing w:after="0" w:line="166" w:lineRule="exact"/>
        <w:rPr>
          <w:sz w:val="20"/>
          <w:szCs w:val="20"/>
          <w:color w:val="auto"/>
        </w:rPr>
      </w:pPr>
    </w:p>
    <w:p>
      <w:pPr>
        <w:ind w:left="660" w:hanging="652"/>
        <w:spacing w:after="0" w:line="249"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JAZZ PHARMACEUTICALS UK LIMITED whose registered office is at Spires House, Wing B, Building 5700, John Smith Drive, Oxford Business Park South, Oxford OX4 2RW (the “Company”); and</w:t>
      </w:r>
    </w:p>
    <w:p>
      <w:pPr>
        <w:spacing w:after="0" w:line="150" w:lineRule="exact"/>
        <w:rPr>
          <w:rFonts w:ascii="Arial" w:cs="Arial" w:eastAsia="Arial" w:hAnsi="Arial"/>
          <w:sz w:val="22"/>
          <w:szCs w:val="22"/>
          <w:color w:val="auto"/>
        </w:rPr>
      </w:pPr>
    </w:p>
    <w:p>
      <w:pPr>
        <w:ind w:left="660" w:hanging="652"/>
        <w:spacing w:after="0"/>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Samantha Pearce of [Address] (“Employee”).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Agreed terms</w:t>
      </w:r>
    </w:p>
    <w:p>
      <w:pPr>
        <w:spacing w:after="0" w:line="140"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The definitions and rules of interpretation in this clause 1.1 apply in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“Appointment” means the employment of the Employee by the Company on the terms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“Associated Employer” has the meaning given to it in the Employment Rights Act 1996.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“Capacity” means as agent, consultant, director, employee, owner, partner, shareholder or in any other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“Commencement Date” is 2 March 2020.</w:t>
      </w:r>
    </w:p>
    <w:p>
      <w:pPr>
        <w:spacing w:after="0" w:line="166"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“Confidential Information” means information (whether or not recorded in documentary form, or stored on any magnetic or optical disk or memory) relating to the business, products, affairs and finances of the Company or any Group Company for the time being confidential to the Company or any Group Company and trade secrets including, without limitation, technical data and know-how relating to the business of the Company or any Group Company or any of their business contacts.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“Employee’s family” means the Employee’s spouse or civil partner and children under the age of 18.</w:t>
      </w:r>
    </w:p>
    <w:p>
      <w:pPr>
        <w:spacing w:after="0" w:line="166" w:lineRule="exact"/>
        <w:rPr>
          <w:sz w:val="20"/>
          <w:szCs w:val="20"/>
          <w:color w:val="auto"/>
        </w:rPr>
      </w:pPr>
    </w:p>
    <w:p>
      <w:pPr>
        <w:jc w:val="both"/>
        <w:ind w:left="660" w:right="20"/>
        <w:spacing w:after="0" w:line="249" w:lineRule="auto"/>
        <w:rPr>
          <w:sz w:val="20"/>
          <w:szCs w:val="20"/>
          <w:color w:val="auto"/>
        </w:rPr>
      </w:pPr>
      <w:r>
        <w:rPr>
          <w:rFonts w:ascii="Arial" w:cs="Arial" w:eastAsia="Arial" w:hAnsi="Arial"/>
          <w:sz w:val="22"/>
          <w:szCs w:val="22"/>
          <w:color w:val="auto"/>
        </w:rPr>
        <w:t>“Employee Handbook” means the Company’s employee handbook as amended from time to time (and the other policies referenced therein), which generally is posted on the Jazz intranet (JazzNet).</w:t>
      </w:r>
    </w:p>
    <w:p>
      <w:pPr>
        <w:spacing w:after="0" w:line="150"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“Employment Inventions” means any invention which is made wholly or partially by the Employee at any time during the course of her employment with the Company (whether or not during working hours or using Company premises or resources, and whether or not recorded in material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tabs>
          <w:tab w:leader="none" w:pos="4800" w:val="left"/>
          <w:tab w:leader="none" w:pos="1026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w:t>
      </w:r>
    </w:p>
    <w:p>
      <w:pPr>
        <w:sectPr>
          <w:pgSz w:w="11900" w:h="16838" w:orient="portrait"/>
          <w:cols w:equalWidth="0" w:num="1">
            <w:col w:w="11420"/>
          </w:cols>
          <w:pgMar w:left="240" w:top="768" w:right="239" w:bottom="1440" w:gutter="0" w:footer="0" w:header="0"/>
        </w:sectPr>
      </w:pPr>
    </w:p>
    <w:bookmarkStart w:id="205" w:name="page206"/>
    <w:bookmarkEnd w:id="205"/>
    <w:p>
      <w:pPr>
        <w:jc w:val="both"/>
        <w:ind w:left="620"/>
        <w:spacing w:after="0" w:line="272" w:lineRule="auto"/>
        <w:rPr>
          <w:sz w:val="20"/>
          <w:szCs w:val="20"/>
          <w:color w:val="auto"/>
        </w:rPr>
      </w:pPr>
      <w:r>
        <w:rPr>
          <w:rFonts w:ascii="Arial" w:cs="Arial" w:eastAsia="Arial" w:hAnsi="Arial"/>
          <w:sz w:val="21"/>
          <w:szCs w:val="21"/>
          <w:color w:val="auto"/>
        </w:rPr>
        <w:t>“Employment IPRs” means Intellectual Property Rights created by the Employee in the course of her employment with the Company (whether or not during working hours or using Company premises or resources).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22"/>
          <w:szCs w:val="22"/>
          <w:color w:val="auto"/>
        </w:rPr>
        <w:t>“Garden Leave” means any period during which the Company has exercised its rights under clause 19.</w:t>
      </w:r>
    </w:p>
    <w:p>
      <w:pPr>
        <w:spacing w:after="0" w:line="166" w:lineRule="exact"/>
        <w:rPr>
          <w:sz w:val="20"/>
          <w:szCs w:val="20"/>
          <w:color w:val="auto"/>
        </w:rPr>
      </w:pPr>
    </w:p>
    <w:p>
      <w:pPr>
        <w:jc w:val="both"/>
        <w:ind w:left="620"/>
        <w:spacing w:after="0" w:line="249" w:lineRule="auto"/>
        <w:rPr>
          <w:sz w:val="20"/>
          <w:szCs w:val="20"/>
          <w:color w:val="auto"/>
        </w:rPr>
      </w:pPr>
      <w:r>
        <w:rPr>
          <w:rFonts w:ascii="Arial" w:cs="Arial" w:eastAsia="Arial" w:hAnsi="Arial"/>
          <w:sz w:val="22"/>
          <w:szCs w:val="22"/>
          <w:color w:val="auto"/>
        </w:rPr>
        <w:t>“Group Company” means the Company, any company of which it is a Subsidiary (its holding company) and any Subsidiaries of the Company or of any such holding company.</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“Incapacity” means any sickness or injury which prevents the Employee from carrying out her duties.</w:t>
      </w:r>
    </w:p>
    <w:p>
      <w:pPr>
        <w:spacing w:after="0" w:line="166" w:lineRule="exact"/>
        <w:rPr>
          <w:sz w:val="20"/>
          <w:szCs w:val="20"/>
          <w:color w:val="auto"/>
        </w:rPr>
      </w:pPr>
    </w:p>
    <w:p>
      <w:pPr>
        <w:jc w:val="both"/>
        <w:ind w:left="620"/>
        <w:spacing w:after="0" w:line="244" w:lineRule="auto"/>
        <w:rPr>
          <w:sz w:val="20"/>
          <w:szCs w:val="20"/>
          <w:color w:val="auto"/>
        </w:rPr>
      </w:pPr>
      <w:r>
        <w:rPr>
          <w:rFonts w:ascii="Arial" w:cs="Arial" w:eastAsia="Arial" w:hAnsi="Arial"/>
          <w:sz w:val="22"/>
          <w:szCs w:val="22"/>
          <w:color w:val="auto"/>
        </w:rPr>
        <w:t>“Intellectual Property Rights” means patents, rights to inventions, copyright and related rights, trademarks, trade names and domain names, rights in get-up, rights in goodwill or to sue for passing off, unfair competition rights, rights in designs, rights in computer software, database rights, topography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subsist or will subsist now or in the future in any part of the world.</w:t>
      </w:r>
    </w:p>
    <w:p>
      <w:pPr>
        <w:spacing w:after="0" w:line="158" w:lineRule="exact"/>
        <w:rPr>
          <w:sz w:val="20"/>
          <w:szCs w:val="20"/>
          <w:color w:val="auto"/>
        </w:rPr>
      </w:pPr>
    </w:p>
    <w:p>
      <w:pPr>
        <w:jc w:val="both"/>
        <w:ind w:left="620"/>
        <w:spacing w:after="0" w:line="249" w:lineRule="auto"/>
        <w:rPr>
          <w:sz w:val="20"/>
          <w:szCs w:val="20"/>
          <w:color w:val="auto"/>
        </w:rPr>
      </w:pPr>
      <w:r>
        <w:rPr>
          <w:rFonts w:ascii="Arial" w:cs="Arial" w:eastAsia="Arial" w:hAnsi="Arial"/>
          <w:sz w:val="22"/>
          <w:szCs w:val="22"/>
          <w:color w:val="auto"/>
        </w:rPr>
        <w:t>“Invention” means any invention, idea, discovery, development, improvement or innovation, whether or not patentable or capable of registration, and whether or not recorded in any medium.</w:t>
      </w:r>
    </w:p>
    <w:p>
      <w:pPr>
        <w:spacing w:after="0" w:line="150" w:lineRule="exact"/>
        <w:rPr>
          <w:sz w:val="20"/>
          <w:szCs w:val="20"/>
          <w:color w:val="auto"/>
        </w:rPr>
      </w:pPr>
    </w:p>
    <w:p>
      <w:pPr>
        <w:jc w:val="both"/>
        <w:ind w:left="620"/>
        <w:spacing w:after="0" w:line="245" w:lineRule="auto"/>
        <w:rPr>
          <w:sz w:val="20"/>
          <w:szCs w:val="20"/>
          <w:color w:val="auto"/>
        </w:rPr>
      </w:pPr>
      <w:r>
        <w:rPr>
          <w:rFonts w:ascii="Arial" w:cs="Arial" w:eastAsia="Arial" w:hAnsi="Arial"/>
          <w:sz w:val="22"/>
          <w:szCs w:val="22"/>
          <w:color w:val="auto"/>
        </w:rPr>
        <w:t>“Pre-Contractual Statement” means any undertaking, promise, assurance, statement, representation, warranty or understanding (whether in writing or not) of any person (whether party to this Agreement or not) relating to the Employee’s employment under this Agreement which is not expressly set out in this Agreement or any documents referred to in it.</w:t>
      </w:r>
    </w:p>
    <w:p>
      <w:pPr>
        <w:spacing w:after="0" w:line="156" w:lineRule="exact"/>
        <w:rPr>
          <w:sz w:val="20"/>
          <w:szCs w:val="20"/>
          <w:color w:val="auto"/>
        </w:rPr>
      </w:pPr>
    </w:p>
    <w:p>
      <w:pPr>
        <w:jc w:val="both"/>
        <w:ind w:left="620" w:right="20"/>
        <w:spacing w:after="0" w:line="249" w:lineRule="auto"/>
        <w:rPr>
          <w:sz w:val="20"/>
          <w:szCs w:val="20"/>
          <w:color w:val="auto"/>
        </w:rPr>
      </w:pPr>
      <w:r>
        <w:rPr>
          <w:rFonts w:ascii="Arial" w:cs="Arial" w:eastAsia="Arial" w:hAnsi="Arial"/>
          <w:sz w:val="22"/>
          <w:szCs w:val="22"/>
          <w:color w:val="auto"/>
        </w:rPr>
        <w:t>“Restricted Business” means those parts of the business of the Company and any Group Company with which the Employee was involved to a material extent in the twelve months prior to Termination.</w:t>
      </w:r>
    </w:p>
    <w:p>
      <w:pPr>
        <w:spacing w:after="0" w:line="150" w:lineRule="exact"/>
        <w:rPr>
          <w:sz w:val="20"/>
          <w:szCs w:val="20"/>
          <w:color w:val="auto"/>
        </w:rPr>
      </w:pPr>
    </w:p>
    <w:p>
      <w:pPr>
        <w:jc w:val="both"/>
        <w:ind w:left="620"/>
        <w:spacing w:after="0" w:line="245" w:lineRule="auto"/>
        <w:rPr>
          <w:sz w:val="20"/>
          <w:szCs w:val="20"/>
          <w:color w:val="auto"/>
        </w:rPr>
      </w:pPr>
      <w:r>
        <w:rPr>
          <w:rFonts w:ascii="Arial" w:cs="Arial" w:eastAsia="Arial" w:hAnsi="Arial"/>
          <w:sz w:val="22"/>
          <w:szCs w:val="22"/>
          <w:color w:val="auto"/>
        </w:rPr>
        <w:t>“Restricted Customer” means any firm, company or person who, during the twelve (12) months prior to Termination, was a customer of or in the habit of dealing with the Company or any Group Company and with whom the Employee had material contact or for whom she was responsible or in respect of whom the Employee was in possession of confidential information.</w:t>
      </w:r>
    </w:p>
    <w:p>
      <w:pPr>
        <w:spacing w:after="0" w:line="156" w:lineRule="exact"/>
        <w:rPr>
          <w:sz w:val="20"/>
          <w:szCs w:val="20"/>
          <w:color w:val="auto"/>
        </w:rPr>
      </w:pPr>
    </w:p>
    <w:p>
      <w:pPr>
        <w:jc w:val="both"/>
        <w:ind w:left="620"/>
        <w:spacing w:after="0" w:line="246" w:lineRule="auto"/>
        <w:rPr>
          <w:sz w:val="20"/>
          <w:szCs w:val="20"/>
          <w:color w:val="auto"/>
        </w:rPr>
      </w:pPr>
      <w:r>
        <w:rPr>
          <w:rFonts w:ascii="Arial" w:cs="Arial" w:eastAsia="Arial" w:hAnsi="Arial"/>
          <w:sz w:val="22"/>
          <w:szCs w:val="22"/>
          <w:color w:val="auto"/>
        </w:rPr>
        <w:t>“Restricted Person” means anyone employed or engaged by the Company or any Group Company who could materially damage the interests of the Company or any Group Company if they were involved in any Capacity in any business concern which competes with any Restricted Business and with</w:t>
      </w:r>
    </w:p>
    <w:p>
      <w:pPr>
        <w:spacing w:after="0" w:line="200" w:lineRule="exact"/>
        <w:rPr>
          <w:sz w:val="20"/>
          <w:szCs w:val="20"/>
          <w:color w:val="auto"/>
        </w:rPr>
      </w:pPr>
    </w:p>
    <w:p>
      <w:pPr>
        <w:spacing w:after="0" w:line="327" w:lineRule="exact"/>
        <w:rPr>
          <w:sz w:val="20"/>
          <w:szCs w:val="20"/>
          <w:color w:val="auto"/>
        </w:rPr>
      </w:pPr>
    </w:p>
    <w:p>
      <w:pPr>
        <w:spacing w:after="0"/>
        <w:tabs>
          <w:tab w:leader="none" w:pos="4760" w:val="left"/>
          <w:tab w:leader="none" w:pos="1022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2</w:t>
      </w:r>
    </w:p>
    <w:p>
      <w:pPr>
        <w:sectPr>
          <w:pgSz w:w="11900" w:h="16838" w:orient="portrait"/>
          <w:cols w:equalWidth="0" w:num="1">
            <w:col w:w="11380"/>
          </w:cols>
          <w:pgMar w:left="280" w:top="768" w:right="239" w:bottom="1440" w:gutter="0" w:footer="0" w:header="0"/>
        </w:sectPr>
      </w:pPr>
    </w:p>
    <w:bookmarkStart w:id="206" w:name="page207"/>
    <w:bookmarkEnd w:id="206"/>
    <w:p>
      <w:pPr>
        <w:jc w:val="both"/>
        <w:ind w:left="660"/>
        <w:spacing w:after="0" w:line="249" w:lineRule="auto"/>
        <w:rPr>
          <w:sz w:val="20"/>
          <w:szCs w:val="20"/>
          <w:color w:val="auto"/>
        </w:rPr>
      </w:pPr>
      <w:r>
        <w:rPr>
          <w:rFonts w:ascii="Arial" w:cs="Arial" w:eastAsia="Arial" w:hAnsi="Arial"/>
          <w:sz w:val="22"/>
          <w:szCs w:val="22"/>
          <w:color w:val="auto"/>
        </w:rPr>
        <w:t>whom the Employee materially dealt or managed in the twelve months prior to Termination within the course of her employment.</w:t>
      </w:r>
    </w:p>
    <w:p>
      <w:pPr>
        <w:spacing w:after="0" w:line="150"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2"/>
          <w:szCs w:val="22"/>
          <w:color w:val="auto"/>
        </w:rPr>
        <w:t>“Subsidiary” means in relation to a company (a holding company), a subsidiary (as defined in section 736 of the Companies Act 1985) and any other company which is a subsidiary (as so defined) of a company which is itself a subsidiary of such holding company.</w:t>
      </w:r>
    </w:p>
    <w:p>
      <w:pPr>
        <w:spacing w:after="0" w:line="154"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“Termination” means the termination of the Employee’s employment with the Company however caused including, without limitation, termination by the Company in repudiatory breach of contract.</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The headings in this Agreement are inserted for convenience only and shall not affect its construction.</w:t>
      </w:r>
    </w:p>
    <w:p>
      <w:pPr>
        <w:spacing w:after="0" w:line="16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A reference to a particular law is a reference to it as it is in force for the time being, taking account of any amendment, extension, or re-enactment and includes any subordinate legislation for the time being in force made under it.</w:t>
      </w:r>
    </w:p>
    <w:p>
      <w:pPr>
        <w:spacing w:after="0" w:line="128"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9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Company shall employ the Employee and the Employee shall serve the Company on the terms of this Agreement.</w:t>
      </w:r>
    </w:p>
    <w:p>
      <w:pPr>
        <w:spacing w:after="0" w:line="150"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The first six months of the Appointment shall be a probationary period and the Appointment may be terminated during this period at any time on one week’s prior notice. The Company may, at its discretion, extend this period. During this probationary period the Employee’s performance and suitability for continued employment will be monitored. At the end of the probationary period the Employee will be informed in writing if she has successfully completed her probationary period.</w:t>
      </w:r>
    </w:p>
    <w:p>
      <w:pPr>
        <w:spacing w:after="0" w:line="15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Agreement, until terminated by either party giving the other not less than six months prior notice in writing.</w:t>
      </w:r>
    </w:p>
    <w:p>
      <w:pPr>
        <w:spacing w:after="0" w:line="154"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represents and warrants to the Company that, by entering into this Agreement or performing any of her obligations under it, she will not be in breach of any court order or any express or implied terms of any contract or other obligation binding on her and undertakes to indemnify the Company against any claims, costs, damages, liabilities or expenses which the Company may incur as a result if she is in breach of any such obligations.</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4800" w:val="left"/>
          <w:tab w:leader="none" w:pos="1026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420"/>
          </w:cols>
          <w:pgMar w:left="240" w:top="768" w:right="239" w:bottom="1440" w:gutter="0" w:footer="0" w:header="0"/>
        </w:sectPr>
      </w:pPr>
    </w:p>
    <w:bookmarkStart w:id="207" w:name="page208"/>
    <w:bookmarkEnd w:id="207"/>
    <w:p>
      <w:pPr>
        <w:ind w:left="660" w:hanging="647"/>
        <w:spacing w:after="0" w:line="249"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The Employee warrants that she is entitled to work in the United Kingdom without any additional approvals and will notify the Company immediately if she ceases to be so entitled during the Appointment.</w:t>
      </w:r>
    </w:p>
    <w:p>
      <w:pPr>
        <w:spacing w:after="0" w:line="150" w:lineRule="exact"/>
        <w:rPr>
          <w:sz w:val="20"/>
          <w:szCs w:val="20"/>
          <w:color w:val="auto"/>
        </w:rPr>
      </w:pPr>
    </w:p>
    <w:p>
      <w:pPr>
        <w:ind w:left="660" w:hanging="647"/>
        <w:spacing w:after="0" w:line="249" w:lineRule="auto"/>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The Employee consents to the transfer of her employment under this agreement to an Associated Employer at any time during the Appointment.</w:t>
      </w:r>
    </w:p>
    <w:p>
      <w:pPr>
        <w:spacing w:after="0" w:line="124"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Duties</w:t>
      </w:r>
    </w:p>
    <w:p>
      <w:pPr>
        <w:spacing w:after="0" w:line="192" w:lineRule="exact"/>
        <w:rPr>
          <w:sz w:val="20"/>
          <w:szCs w:val="20"/>
          <w:color w:val="auto"/>
        </w:rPr>
      </w:pPr>
    </w:p>
    <w:p>
      <w:pPr>
        <w:ind w:left="660" w:hanging="647"/>
        <w:spacing w:after="0" w:line="249"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The Employee shall serve the Company as Head of Europe and RoW or such other role as the Company considers appropriate.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This position is at the level of Senior Vice President.</w:t>
      </w:r>
    </w:p>
    <w:p>
      <w:pPr>
        <w:spacing w:after="0" w:line="166" w:lineRule="exact"/>
        <w:rPr>
          <w:sz w:val="20"/>
          <w:szCs w:val="20"/>
          <w:color w:val="auto"/>
        </w:rPr>
      </w:pPr>
    </w:p>
    <w:p>
      <w:pPr>
        <w:ind w:left="660" w:right="20" w:hanging="647"/>
        <w:spacing w:after="0" w:line="249"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The role is reporting to Dan Swisher, President and Chief Operating Officer. The reporting structure can be changed by the Company at its sole discretion at any time during the Employment.</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During the Appointment the Employee shall:</w:t>
      </w:r>
    </w:p>
    <w:p>
      <w:pPr>
        <w:spacing w:after="0" w:line="166" w:lineRule="exact"/>
        <w:rPr>
          <w:sz w:val="20"/>
          <w:szCs w:val="20"/>
          <w:color w:val="auto"/>
        </w:rPr>
      </w:pPr>
    </w:p>
    <w:p>
      <w:pPr>
        <w:ind w:left="1620" w:hanging="640"/>
        <w:spacing w:after="0" w:line="249"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unless prevented by Incapacity, devote the whole of her time, attention and abilities to the business of the Company or any other Group Company;</w:t>
      </w:r>
    </w:p>
    <w:p>
      <w:pPr>
        <w:spacing w:after="0" w:line="150"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diligently exercise such powers and perform such duties as may from time to time be assigned to her by the Company;</w:t>
      </w:r>
    </w:p>
    <w:p>
      <w:pPr>
        <w:spacing w:after="0" w:line="150" w:lineRule="exact"/>
        <w:rPr>
          <w:rFonts w:ascii="Arial" w:cs="Arial" w:eastAsia="Arial" w:hAnsi="Arial"/>
          <w:sz w:val="22"/>
          <w:szCs w:val="22"/>
          <w:color w:val="auto"/>
        </w:rPr>
      </w:pPr>
    </w:p>
    <w:p>
      <w:pPr>
        <w:ind w:left="1620" w:hanging="640"/>
        <w:spacing w:after="0"/>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comply with all reasonable and lawful directions given to her by the Company;</w:t>
      </w:r>
    </w:p>
    <w:p>
      <w:pPr>
        <w:spacing w:after="0" w:line="165"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promptly make such reports to her manager in connection with the affairs of any Group Company on such matters and at such times as are reasonably required;</w:t>
      </w:r>
    </w:p>
    <w:p>
      <w:pPr>
        <w:spacing w:after="0" w:line="150"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report her own wrongdoing and any wrongdoing or proposed wrongdoing of any other employee or director of any Group Company under the reporting procedures set forth in the Employee Handbook and/or the global Jazz Pharmaceuticals Code of Conduct (to the extent applicable);</w:t>
      </w:r>
    </w:p>
    <w:p>
      <w:pPr>
        <w:spacing w:after="0" w:line="153"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use her best endeavours to promote, protect, develop and extend the business of any Group Company;</w:t>
      </w:r>
    </w:p>
    <w:p>
      <w:pPr>
        <w:spacing w:after="0" w:line="150"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consent to the Company monitoring and recording any use that she makes of the Company’s electronic communications systems for the purpose of ensuring that the Company’s rules are being complied with and for legitimate business purposes; and</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4800" w:val="left"/>
          <w:tab w:leader="none" w:pos="1026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4</w:t>
      </w:r>
    </w:p>
    <w:p>
      <w:pPr>
        <w:sectPr>
          <w:pgSz w:w="11900" w:h="16838" w:orient="portrait"/>
          <w:cols w:equalWidth="0" w:num="1">
            <w:col w:w="11420"/>
          </w:cols>
          <w:pgMar w:left="240" w:top="768" w:right="239" w:bottom="1440" w:gutter="0" w:footer="0" w:header="0"/>
        </w:sectPr>
      </w:pPr>
    </w:p>
    <w:bookmarkStart w:id="208" w:name="page209"/>
    <w:bookmarkEnd w:id="208"/>
    <w:p>
      <w:pPr>
        <w:ind w:left="1612" w:hanging="640"/>
        <w:spacing w:after="0" w:line="249" w:lineRule="auto"/>
        <w:tabs>
          <w:tab w:leader="none" w:pos="161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comply with any applicable electronic communication systems policy that the Company and/or any Group Company may issue from time to time.</w:t>
      </w:r>
    </w:p>
    <w:p>
      <w:pPr>
        <w:spacing w:after="0" w:line="150"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The Employee’s attention is drawn to the UK Employee Handbook (containing various rules and procedures), and the global Jazz Pharmaceuticals Code of Conduct, both of which are available on the Jazz Intranet (JazzNet). The UK Employee Handbook does not form part of the Employee’s contract of employment with the Company. For the avoidance of doubt, to the extent that there is any conflict between the terms of this Agreement and the UK Staff Handbook, this Agreement shall prevail.</w:t>
      </w:r>
    </w:p>
    <w:p>
      <w:pPr>
        <w:spacing w:after="0" w:line="128"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Code of Conduct</w:t>
      </w:r>
    </w:p>
    <w:p>
      <w:pPr>
        <w:spacing w:after="0" w:line="192"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color w:val="auto"/>
        </w:rPr>
        <w:t>JAZZ PHARMACEUTICALS UK LIMITED and Jazz Pharmaceuticals are committed to integrity and the pursuit of excellence in all we do. We fulfill 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w:t>
      </w:r>
    </w:p>
    <w:p>
      <w:pPr>
        <w:spacing w:after="0" w:line="128" w:lineRule="exact"/>
        <w:rPr>
          <w:sz w:val="20"/>
          <w:szCs w:val="20"/>
          <w:color w:val="auto"/>
        </w:rPr>
      </w:pPr>
    </w:p>
    <w:p>
      <w:pPr>
        <w:ind w:left="652" w:hanging="652"/>
        <w:spacing w:after="0"/>
        <w:tabs>
          <w:tab w:leader="none" w:pos="652"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Place of work</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Employee’s normal place of work is the Jazz Pharmaceuticals Oxford office or such other place within a reasonable distance which the Company may reasonably require for the proper performance and exercise of her duties.</w:t>
      </w:r>
    </w:p>
    <w:p>
      <w:pPr>
        <w:spacing w:after="0" w:line="154"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The Employee agrees to travel on any Group Company’s business (both within the United Kingdom or abroad) as may be required for the proper performance of her duties under the Appointment. There are no additional terms which apply where the Employee is required to work outside the UK for a period of more than one month. The Company reserves the right to issue terms relating to the Employee’s work outside the UK and any such terms will be notified to her separately.</w:t>
      </w:r>
    </w:p>
    <w:p>
      <w:pPr>
        <w:spacing w:after="0" w:line="128" w:lineRule="exact"/>
        <w:rPr>
          <w:sz w:val="20"/>
          <w:szCs w:val="20"/>
          <w:color w:val="auto"/>
        </w:rPr>
      </w:pPr>
    </w:p>
    <w:p>
      <w:pPr>
        <w:ind w:left="652" w:hanging="652"/>
        <w:spacing w:after="0"/>
        <w:tabs>
          <w:tab w:leader="none" w:pos="652"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The Employee’s normal working hours shall be 9.00am to 5.30pm on Mondays to Fridays and such additional hours as are necessary for the proper performance of her duties. The Employee acknowledges that she shall not receive further remuneration in respect of such additional hours.</w:t>
      </w:r>
    </w:p>
    <w:p>
      <w:pPr>
        <w:spacing w:after="0" w:line="200" w:lineRule="exact"/>
        <w:rPr>
          <w:sz w:val="20"/>
          <w:szCs w:val="20"/>
          <w:color w:val="auto"/>
        </w:rPr>
      </w:pPr>
    </w:p>
    <w:p>
      <w:pPr>
        <w:spacing w:after="0" w:line="327" w:lineRule="exact"/>
        <w:rPr>
          <w:sz w:val="20"/>
          <w:szCs w:val="20"/>
          <w:color w:val="auto"/>
        </w:rPr>
      </w:pPr>
    </w:p>
    <w:p>
      <w:pPr>
        <w:ind w:left="32"/>
        <w:spacing w:after="0"/>
        <w:tabs>
          <w:tab w:leader="none" w:pos="4792" w:val="left"/>
          <w:tab w:leader="none" w:pos="1025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5</w:t>
      </w:r>
    </w:p>
    <w:p>
      <w:pPr>
        <w:sectPr>
          <w:pgSz w:w="11900" w:h="16838" w:orient="portrait"/>
          <w:cols w:equalWidth="0" w:num="1">
            <w:col w:w="11412"/>
          </w:cols>
          <w:pgMar w:left="248" w:top="768" w:right="239" w:bottom="1440" w:gutter="0" w:footer="0" w:header="0"/>
        </w:sectPr>
      </w:pPr>
    </w:p>
    <w:bookmarkStart w:id="209" w:name="page210"/>
    <w:bookmarkEnd w:id="209"/>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Due to the autonomous nature of the Employees’ role, the duration of the Employee’s working time is not measured or monitored, or determined by the Company and the limitations on weekly working time set out in Regulation 4 of the Working Time Regulations 1998 (the “Regulations”) (or such other regulations amending or substituting those from time to time) does not apply to the Employee’s Appointment. In the event that any additional hours worked by the Employee outside normal working hours are not covered by regulation 20(2) of the Regulations, the Employee agrees that the 48 hour limit on the working week stipulated in the Regulations will not apply to her and she must give three months’ written notice to the Company if she wishes to change this.</w:t>
      </w:r>
    </w:p>
    <w:p>
      <w:pPr>
        <w:spacing w:after="0" w:line="115"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Salary</w:t>
      </w:r>
    </w:p>
    <w:p>
      <w:pPr>
        <w:spacing w:after="0" w:line="170"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The Employee shall be paid an initial basic salary of £325,000 [</w:t>
      </w:r>
      <w:r>
        <w:rPr>
          <w:rFonts w:ascii="Arial" w:cs="Arial" w:eastAsia="Arial" w:hAnsi="Arial"/>
          <w:sz w:val="22"/>
          <w:szCs w:val="22"/>
          <w:i w:val="1"/>
          <w:iCs w:val="1"/>
          <w:color w:val="auto"/>
        </w:rPr>
        <w:t>three hundred and twenty five thousand pounds</w:t>
      </w:r>
      <w:r>
        <w:rPr>
          <w:rFonts w:ascii="Arial" w:cs="Arial" w:eastAsia="Arial" w:hAnsi="Arial"/>
          <w:sz w:val="22"/>
          <w:szCs w:val="22"/>
          <w:color w:val="auto"/>
        </w:rPr>
        <w:t>] per annum.</w:t>
      </w:r>
    </w:p>
    <w:p>
      <w:pPr>
        <w:spacing w:after="0" w:line="128"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The Employee’s basic salary shall accrue from day to day and be payable monthly in arrears on the Company’s scheduled pay dates directly into the Employee’s bank or building society.</w:t>
      </w:r>
    </w:p>
    <w:p>
      <w:pPr>
        <w:spacing w:after="0" w:line="150"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Salaries are normally reviewed on or about 1 March of each year. Employees whose Appointment begins on or after 1 November are not eligible for salary review the following March. The Company is under no obligation to award an increase following a salary review. There will be no review of the basic salary after notice has been given by either party to terminate the Appointment.</w:t>
      </w:r>
    </w:p>
    <w:p>
      <w:pPr>
        <w:spacing w:after="0" w:line="156"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The Company may deduct from the basic salary, or any other sums owed to the Employee, any money owed to any Group Company by the Employee, and the Employee hereby consents to such deductions.</w:t>
      </w:r>
    </w:p>
    <w:p>
      <w:pPr>
        <w:spacing w:after="0" w:line="124"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9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Company shall reimburse (or procure the reimbursement of) all reasonable expenses wholly, properly and necessarily incurred by the Employee in the course of the Appointment, subject to production of receipts or other appropriate evidence of payment.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The Employee shall abide by the Company’s policies on expenses as communicated to her from time to time.</w:t>
      </w:r>
    </w:p>
    <w:p>
      <w:pPr>
        <w:spacing w:after="0" w:line="166" w:lineRule="exact"/>
        <w:rPr>
          <w:sz w:val="20"/>
          <w:szCs w:val="20"/>
          <w:color w:val="auto"/>
        </w:rPr>
      </w:pPr>
    </w:p>
    <w:p>
      <w:pPr>
        <w:jc w:val="both"/>
        <w:ind w:left="660" w:right="20" w:hanging="647"/>
        <w:spacing w:after="0" w:line="249"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Any credit card supplied to the Employee by the Company shall be used only for expenses incurred by her in the course of the Appointment.</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4800" w:val="left"/>
          <w:tab w:leader="none" w:pos="1026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6</w:t>
      </w:r>
    </w:p>
    <w:p>
      <w:pPr>
        <w:sectPr>
          <w:pgSz w:w="11900" w:h="16838" w:orient="portrait"/>
          <w:cols w:equalWidth="0" w:num="1">
            <w:col w:w="11420"/>
          </w:cols>
          <w:pgMar w:left="240" w:top="768" w:right="239" w:bottom="1440" w:gutter="0" w:footer="0" w:header="0"/>
        </w:sectPr>
      </w:pPr>
    </w:p>
    <w:bookmarkStart w:id="210" w:name="page211"/>
    <w:bookmarkEnd w:id="210"/>
    <w:p>
      <w:pPr>
        <w:ind w:left="660" w:hanging="652"/>
        <w:spacing w:after="0"/>
        <w:tabs>
          <w:tab w:leader="none" w:pos="6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Bonus</w:t>
      </w:r>
    </w:p>
    <w:p>
      <w:pPr>
        <w:spacing w:after="0" w:line="19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Company may in its absolute discretion pay the Employee a bonus of such amount, at such intervals and subject to such conditions as the Company may in its absolute discretion determine. With respect to an annual bonus for the calendar year in which the Employee is hired, the Employee will be eligible for consideration of a prorated bonus for the year of hire only if the Employee is hired no later than 31 October of such year; and if the Employee is hired on 1 November or later, the Employee is not eligible for consideration of any annual bonus for the year of hire.</w:t>
      </w:r>
    </w:p>
    <w:p>
      <w:pPr>
        <w:spacing w:after="0" w:line="15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Any bonus payment to the Employee shall be purely discretionary and shall not form part of the Employee’s contractual remuneration under this Agreement. If the Company makes a bonus payment to the Employee in respect of a particular financial year of the Company (being the period from 1 January to 31 December), it shall not be obliged to make subsequent bonus payments in respect of subsequent financial years of the Company.</w:t>
      </w:r>
    </w:p>
    <w:p>
      <w:pPr>
        <w:spacing w:after="0" w:line="138"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The Company may alter the terms of any bonus targets or withdraw them altogether at any time without prior notice.</w:t>
      </w:r>
    </w:p>
    <w:p>
      <w:pPr>
        <w:spacing w:after="0" w:line="15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Notwithstanding clause 8.1, the Employee shall in any event have no right to a bonus or a time-apportioned bonus if her employment terminates for any reason or she is under notice of termination (whether given by the Employee or the Company) at or prior to the date when a bonus might otherwise have been payable.</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Any bonus payable in accordance with clause 8 shall not be pensionable.</w:t>
      </w:r>
    </w:p>
    <w:p>
      <w:pPr>
        <w:spacing w:after="0" w:line="140"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Permanent health insurance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The Employee shall be entitled to participate in the Company’s permanent health insurance scheme at the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Company’s expense, subject to:</w:t>
      </w:r>
    </w:p>
    <w:p>
      <w:pPr>
        <w:spacing w:after="0" w:line="166" w:lineRule="exact"/>
        <w:rPr>
          <w:sz w:val="20"/>
          <w:szCs w:val="20"/>
          <w:color w:val="auto"/>
        </w:rPr>
      </w:pPr>
    </w:p>
    <w:p>
      <w:pPr>
        <w:ind w:left="1620" w:hanging="640"/>
        <w:spacing w:after="0"/>
        <w:tabs>
          <w:tab w:leader="none" w:pos="16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terms of the Company’s scheme, as amended from time to time;</w:t>
      </w:r>
    </w:p>
    <w:p>
      <w:pPr>
        <w:spacing w:after="0" w:line="165" w:lineRule="exact"/>
        <w:rPr>
          <w:rFonts w:ascii="Arial" w:cs="Arial" w:eastAsia="Arial" w:hAnsi="Arial"/>
          <w:sz w:val="22"/>
          <w:szCs w:val="22"/>
          <w:color w:val="auto"/>
        </w:rPr>
      </w:pPr>
    </w:p>
    <w:p>
      <w:pPr>
        <w:ind w:left="1620" w:hanging="640"/>
        <w:spacing w:after="0"/>
        <w:tabs>
          <w:tab w:leader="none" w:pos="16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rules or insurance policy of the relevant insurance provider, as amended from time to time; and</w:t>
      </w:r>
    </w:p>
    <w:p>
      <w:pPr>
        <w:spacing w:after="0" w:line="165"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Employee satisfying the normal underwriting requirements of the relevant insurance provider of the Company’s scheme and the premium being at a rate which the Company considers reasonable.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Full details of the scheme are available from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4800" w:val="left"/>
          <w:tab w:leader="none" w:pos="1026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7</w:t>
      </w:r>
    </w:p>
    <w:p>
      <w:pPr>
        <w:sectPr>
          <w:pgSz w:w="11900" w:h="16838" w:orient="portrait"/>
          <w:cols w:equalWidth="0" w:num="1">
            <w:col w:w="11420"/>
          </w:cols>
          <w:pgMar w:left="240" w:top="742" w:right="239" w:bottom="1440" w:gutter="0" w:footer="0" w:header="0"/>
        </w:sectPr>
      </w:pPr>
    </w:p>
    <w:bookmarkStart w:id="211" w:name="page212"/>
    <w:bookmarkEnd w:id="211"/>
    <w:p>
      <w:pPr>
        <w:jc w:val="both"/>
        <w:ind w:left="652" w:hanging="647"/>
        <w:spacing w:after="0" w:line="249" w:lineRule="auto"/>
        <w:tabs>
          <w:tab w:leader="none" w:pos="63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only be obliged to make payments to the Employee under the scheme if it has received payment from the insurance provider for that purpose.</w:t>
      </w:r>
    </w:p>
    <w:p>
      <w:pPr>
        <w:spacing w:after="0" w:line="150"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Company in its sole and absolute discretion reserves the right to discontinue, vary or amend the scheme (including the level of the Employee’s cover) at any time on reasonable notice to the Employee.</w:t>
      </w:r>
    </w:p>
    <w:p>
      <w:pPr>
        <w:spacing w:after="0" w:line="15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If the insurance provider refuses for any reason to provide permanent health insurance benefit to the Employee, the Company shall not be liable to provide to the Employee any replacement benefit of the same or similar kind or to pay any compensation in lieu of such benefit.</w:t>
      </w:r>
    </w:p>
    <w:p>
      <w:pPr>
        <w:spacing w:after="0" w:line="154"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If the Employee is receiving benefits under the Company’s permanent health insurance scheme the Company shall be entitled to appoint a successor to the Employee to perform all or any of the duties required of the Employee under the terms of the Appointment and the Employee’s duties shall be amended accordingly.</w:t>
      </w:r>
    </w:p>
    <w:p>
      <w:pPr>
        <w:spacing w:after="0" w:line="154"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The receipt by the Employee of any benefits under a permanent health insurance scheme operated by the Company shall not prejudice the Company’s rights to terminate this Appointment in accordance with the terms of this Agreement. In the event that the Company terminates the Appointment in accordance with its rights, the Employee acknowledges that she will not be entitled to any compensation for breach of contract or unfair dismissal in respect of the loss of any rights to permanent health insurance benefits.</w:t>
      </w:r>
    </w:p>
    <w:p>
      <w:pPr>
        <w:spacing w:after="0" w:line="128" w:lineRule="exact"/>
        <w:rPr>
          <w:sz w:val="20"/>
          <w:szCs w:val="20"/>
          <w:color w:val="auto"/>
        </w:rPr>
      </w:pPr>
    </w:p>
    <w:p>
      <w:pPr>
        <w:ind w:left="652" w:hanging="652"/>
        <w:spacing w:after="0"/>
        <w:tabs>
          <w:tab w:leader="none" w:pos="652"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Life assurance</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10.1</w:t>
        <w:tab/>
        <w:t>The Employee shall be entitled to participate in the Company’s life assurance scheme which shall pay to the Employee’s nominated beneficiary or beneficiaries a sum equal to four (4) times the Employee’s basic salary if the Employee dies during the Appointment. Participation is subject to:</w:t>
      </w:r>
    </w:p>
    <w:p>
      <w:pPr>
        <w:spacing w:after="0" w:line="154" w:lineRule="exact"/>
        <w:rPr>
          <w:sz w:val="20"/>
          <w:szCs w:val="20"/>
          <w:color w:val="auto"/>
        </w:rPr>
      </w:pPr>
    </w:p>
    <w:p>
      <w:pPr>
        <w:ind w:left="1612" w:hanging="640"/>
        <w:spacing w:after="0"/>
        <w:tabs>
          <w:tab w:leader="none" w:pos="161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terms of the Company’s life assurance scheme, as amended from time to time;</w:t>
      </w:r>
    </w:p>
    <w:p>
      <w:pPr>
        <w:spacing w:after="0" w:line="165" w:lineRule="exact"/>
        <w:rPr>
          <w:rFonts w:ascii="Arial" w:cs="Arial" w:eastAsia="Arial" w:hAnsi="Arial"/>
          <w:sz w:val="22"/>
          <w:szCs w:val="22"/>
          <w:color w:val="auto"/>
        </w:rPr>
      </w:pPr>
    </w:p>
    <w:p>
      <w:pPr>
        <w:ind w:left="1612" w:hanging="640"/>
        <w:spacing w:after="0"/>
        <w:tabs>
          <w:tab w:leader="none" w:pos="161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rules or insurance policy of the relevant insurance provider, as amended from time to time; and</w:t>
      </w:r>
    </w:p>
    <w:p>
      <w:pPr>
        <w:spacing w:after="0" w:line="165" w:lineRule="exact"/>
        <w:rPr>
          <w:rFonts w:ascii="Arial" w:cs="Arial" w:eastAsia="Arial" w:hAnsi="Arial"/>
          <w:sz w:val="22"/>
          <w:szCs w:val="22"/>
          <w:color w:val="auto"/>
        </w:rPr>
      </w:pPr>
    </w:p>
    <w:p>
      <w:pPr>
        <w:jc w:val="both"/>
        <w:ind w:left="1612" w:hanging="640"/>
        <w:spacing w:after="0" w:line="246" w:lineRule="auto"/>
        <w:tabs>
          <w:tab w:leader="none" w:pos="161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Employee satisfying the normal underwriting requirements of the relevant insurance provider of the Company’s life assurance scheme and the premium being at a rate which the Company considers reasonable.</w:t>
      </w:r>
    </w:p>
    <w:p>
      <w:pPr>
        <w:spacing w:after="0" w:line="15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Full details of the scheme are available from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
        <w:spacing w:after="0"/>
        <w:tabs>
          <w:tab w:leader="none" w:pos="4792" w:val="left"/>
          <w:tab w:leader="none" w:pos="1025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8</w:t>
      </w:r>
    </w:p>
    <w:p>
      <w:pPr>
        <w:sectPr>
          <w:pgSz w:w="11900" w:h="16838" w:orient="portrait"/>
          <w:cols w:equalWidth="0" w:num="1">
            <w:col w:w="11412"/>
          </w:cols>
          <w:pgMar w:left="248" w:top="768" w:right="239" w:bottom="1440" w:gutter="0" w:footer="0" w:header="0"/>
        </w:sectPr>
      </w:pPr>
    </w:p>
    <w:bookmarkStart w:id="212" w:name="page213"/>
    <w:bookmarkEnd w:id="212"/>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10.2</w:t>
        <w:tab/>
        <w:t>If the insurance provider refuses for any reason to provide life assurance benefit to the Employee the Company shall not be liable to provide to the Employee any replacement benefit of the same or similar kind or to pay any compensation in lieu of such benefit.</w:t>
      </w:r>
    </w:p>
    <w:p>
      <w:pPr>
        <w:spacing w:after="0" w:line="154"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10.3</w:t>
        <w:tab/>
        <w:t>The Company in its sole and absolute discretion reserves the right to discontinue, vary or amend its life assurance scheme (including the level of the Employee’s cover) at any time on reasonable notice to the Employee.</w:t>
      </w:r>
    </w:p>
    <w:p>
      <w:pPr>
        <w:spacing w:after="0" w:line="128" w:lineRule="exact"/>
        <w:rPr>
          <w:sz w:val="20"/>
          <w:szCs w:val="20"/>
          <w:color w:val="auto"/>
        </w:rPr>
      </w:pPr>
    </w:p>
    <w:p>
      <w:pPr>
        <w:ind w:left="652" w:hanging="652"/>
        <w:spacing w:after="0"/>
        <w:tabs>
          <w:tab w:leader="none" w:pos="652"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Private medical insurance</w:t>
      </w:r>
    </w:p>
    <w:p>
      <w:pPr>
        <w:spacing w:after="0" w:line="192" w:lineRule="exact"/>
        <w:rPr>
          <w:sz w:val="20"/>
          <w:szCs w:val="20"/>
          <w:color w:val="auto"/>
        </w:rPr>
      </w:pPr>
    </w:p>
    <w:p>
      <w:pPr>
        <w:ind w:left="652" w:hanging="647"/>
        <w:spacing w:after="0" w:line="249" w:lineRule="auto"/>
        <w:tabs>
          <w:tab w:leader="none" w:pos="632" w:val="left"/>
        </w:tabs>
        <w:rPr>
          <w:sz w:val="20"/>
          <w:szCs w:val="20"/>
          <w:color w:val="auto"/>
        </w:rPr>
      </w:pPr>
      <w:r>
        <w:rPr>
          <w:rFonts w:ascii="Arial" w:cs="Arial" w:eastAsia="Arial" w:hAnsi="Arial"/>
          <w:sz w:val="22"/>
          <w:szCs w:val="22"/>
          <w:color w:val="auto"/>
        </w:rPr>
        <w:t>11.1</w:t>
        <w:tab/>
        <w:t>The Employee and qualifying members of the Employee’s family shall be entitled to participate in the Company’s private medical insurance scheme subject to:</w:t>
      </w:r>
    </w:p>
    <w:p>
      <w:pPr>
        <w:spacing w:after="0" w:line="150" w:lineRule="exact"/>
        <w:rPr>
          <w:sz w:val="20"/>
          <w:szCs w:val="20"/>
          <w:color w:val="auto"/>
        </w:rPr>
      </w:pPr>
    </w:p>
    <w:p>
      <w:pPr>
        <w:ind w:left="1612" w:hanging="640"/>
        <w:spacing w:after="0"/>
        <w:tabs>
          <w:tab w:leader="none" w:pos="16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terms of that scheme, as amended from time to time;</w:t>
      </w:r>
    </w:p>
    <w:p>
      <w:pPr>
        <w:spacing w:after="0" w:line="165" w:lineRule="exact"/>
        <w:rPr>
          <w:rFonts w:ascii="Arial" w:cs="Arial" w:eastAsia="Arial" w:hAnsi="Arial"/>
          <w:sz w:val="22"/>
          <w:szCs w:val="22"/>
          <w:color w:val="auto"/>
        </w:rPr>
      </w:pPr>
    </w:p>
    <w:p>
      <w:pPr>
        <w:ind w:left="1612" w:hanging="640"/>
        <w:spacing w:after="0"/>
        <w:tabs>
          <w:tab w:leader="none" w:pos="16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rules or insurance policy of the relevant insurance provider, as amended from time to time; and</w:t>
      </w:r>
    </w:p>
    <w:p>
      <w:pPr>
        <w:spacing w:after="0" w:line="165" w:lineRule="exact"/>
        <w:rPr>
          <w:rFonts w:ascii="Arial" w:cs="Arial" w:eastAsia="Arial" w:hAnsi="Arial"/>
          <w:sz w:val="22"/>
          <w:szCs w:val="22"/>
          <w:color w:val="auto"/>
        </w:rPr>
      </w:pPr>
    </w:p>
    <w:p>
      <w:pPr>
        <w:jc w:val="both"/>
        <w:ind w:left="1612" w:hanging="640"/>
        <w:spacing w:after="0" w:line="246" w:lineRule="auto"/>
        <w:tabs>
          <w:tab w:leader="none" w:pos="161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Employee and qualifying members of the Employee’s family satisfying the normal underwriting requirements of the relevant insurance provider of the Company’s private medical insurance scheme and the premium being at a rate which the Company considers reasonable.</w:t>
      </w:r>
    </w:p>
    <w:p>
      <w:pPr>
        <w:spacing w:after="0" w:line="154" w:lineRule="exact"/>
        <w:rPr>
          <w:sz w:val="20"/>
          <w:szCs w:val="20"/>
          <w:color w:val="auto"/>
        </w:rPr>
      </w:pPr>
    </w:p>
    <w:p>
      <w:pPr>
        <w:ind w:left="652"/>
        <w:spacing w:after="0" w:line="249" w:lineRule="auto"/>
        <w:rPr>
          <w:sz w:val="20"/>
          <w:szCs w:val="20"/>
          <w:color w:val="auto"/>
        </w:rPr>
      </w:pPr>
      <w:r>
        <w:rPr>
          <w:rFonts w:ascii="Arial" w:cs="Arial" w:eastAsia="Arial" w:hAnsi="Arial"/>
          <w:sz w:val="22"/>
          <w:szCs w:val="22"/>
          <w:color w:val="auto"/>
        </w:rPr>
        <w:t>Full details of the Company’s private medical insurance scheme are available from the Human Resources Department.</w:t>
      </w:r>
    </w:p>
    <w:p>
      <w:pPr>
        <w:spacing w:after="0" w:line="150" w:lineRule="exact"/>
        <w:rPr>
          <w:sz w:val="20"/>
          <w:szCs w:val="20"/>
          <w:color w:val="auto"/>
        </w:rPr>
      </w:pPr>
    </w:p>
    <w:p>
      <w:pPr>
        <w:jc w:val="both"/>
        <w:ind w:left="652" w:right="20" w:hanging="647"/>
        <w:spacing w:after="0" w:line="246" w:lineRule="auto"/>
        <w:tabs>
          <w:tab w:leader="none" w:pos="632" w:val="left"/>
        </w:tabs>
        <w:rPr>
          <w:sz w:val="20"/>
          <w:szCs w:val="20"/>
          <w:color w:val="auto"/>
        </w:rPr>
      </w:pPr>
      <w:r>
        <w:rPr>
          <w:rFonts w:ascii="Arial" w:cs="Arial" w:eastAsia="Arial" w:hAnsi="Arial"/>
          <w:sz w:val="22"/>
          <w:szCs w:val="22"/>
          <w:color w:val="auto"/>
        </w:rPr>
        <w:t>11.2</w:t>
        <w:tab/>
        <w:t>If the insurance provider refuses for any reason to provide private medical insurance benefit to the Employee the Company shall not be liable to provide to the Employee any replacement benefit of the same or similar kind or to pay any compensation in lieu of such benefit.</w:t>
      </w:r>
    </w:p>
    <w:p>
      <w:pPr>
        <w:spacing w:after="0" w:line="154"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11.3</w:t>
        <w:tab/>
        <w:t>The Company in its sole and absolute discretion reserves the right to discontinue, vary or amend the scheme (including the level of the Employee’s cover) at any time on reasonable notice to the Employee.</w:t>
      </w:r>
    </w:p>
    <w:p>
      <w:pPr>
        <w:spacing w:after="0" w:line="124" w:lineRule="exact"/>
        <w:rPr>
          <w:sz w:val="20"/>
          <w:szCs w:val="20"/>
          <w:color w:val="auto"/>
        </w:rPr>
      </w:pPr>
    </w:p>
    <w:p>
      <w:pPr>
        <w:ind w:left="652" w:hanging="652"/>
        <w:spacing w:after="0"/>
        <w:tabs>
          <w:tab w:leader="none" w:pos="652"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Car Allowance</w:t>
      </w:r>
    </w:p>
    <w:p>
      <w:pPr>
        <w:spacing w:after="0" w:line="192"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12.1</w:t>
        <w:tab/>
        <w:t>Provided that the Employee holds a current valid driving licence, the Employee shall receive a car allowance for use of the Employee’s own car of £ 12,000 per annum, which shall be payable together with and in the same manner as the salary in accordance with clause 6. The car allowance shall not be treated as part of the basic salary for any purpose and shall not be pensionable.</w:t>
      </w:r>
    </w:p>
    <w:p>
      <w:pPr>
        <w:spacing w:after="0" w:line="200" w:lineRule="exact"/>
        <w:rPr>
          <w:sz w:val="20"/>
          <w:szCs w:val="20"/>
          <w:color w:val="auto"/>
        </w:rPr>
      </w:pPr>
    </w:p>
    <w:p>
      <w:pPr>
        <w:spacing w:after="0" w:line="329" w:lineRule="exact"/>
        <w:rPr>
          <w:sz w:val="20"/>
          <w:szCs w:val="20"/>
          <w:color w:val="auto"/>
        </w:rPr>
      </w:pPr>
    </w:p>
    <w:p>
      <w:pPr>
        <w:ind w:left="32"/>
        <w:spacing w:after="0"/>
        <w:tabs>
          <w:tab w:leader="none" w:pos="4792" w:val="left"/>
          <w:tab w:leader="none" w:pos="1025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9</w:t>
      </w:r>
    </w:p>
    <w:p>
      <w:pPr>
        <w:sectPr>
          <w:pgSz w:w="11900" w:h="16838" w:orient="portrait"/>
          <w:cols w:equalWidth="0" w:num="1">
            <w:col w:w="11412"/>
          </w:cols>
          <w:pgMar w:left="248" w:top="768" w:right="239" w:bottom="1440" w:gutter="0" w:footer="0" w:header="0"/>
        </w:sectPr>
      </w:pPr>
    </w:p>
    <w:bookmarkStart w:id="213" w:name="page214"/>
    <w:bookmarkEnd w:id="213"/>
    <w:p>
      <w:pPr>
        <w:ind w:left="660" w:hanging="647"/>
        <w:spacing w:after="0" w:line="249" w:lineRule="auto"/>
        <w:tabs>
          <w:tab w:leader="none" w:pos="640" w:val="left"/>
        </w:tabs>
        <w:rPr>
          <w:sz w:val="20"/>
          <w:szCs w:val="20"/>
          <w:color w:val="auto"/>
        </w:rPr>
      </w:pPr>
      <w:r>
        <w:rPr>
          <w:rFonts w:ascii="Arial" w:cs="Arial" w:eastAsia="Arial" w:hAnsi="Arial"/>
          <w:sz w:val="22"/>
          <w:szCs w:val="22"/>
          <w:color w:val="auto"/>
        </w:rPr>
        <w:t>12.2</w:t>
        <w:tab/>
        <w:t>The Company shall reimburse the Employee in respect of fuel costs for business miles at the Company’s business mileage rate.</w:t>
      </w:r>
    </w:p>
    <w:p>
      <w:pPr>
        <w:spacing w:after="0" w:line="150" w:lineRule="exact"/>
        <w:rPr>
          <w:sz w:val="20"/>
          <w:szCs w:val="20"/>
          <w:color w:val="auto"/>
        </w:rPr>
      </w:pPr>
    </w:p>
    <w:p>
      <w:pPr>
        <w:jc w:val="center"/>
        <w:spacing w:after="0" w:line="249" w:lineRule="auto"/>
        <w:rPr>
          <w:sz w:val="20"/>
          <w:szCs w:val="20"/>
          <w:color w:val="auto"/>
        </w:rPr>
      </w:pPr>
      <w:r>
        <w:rPr>
          <w:rFonts w:ascii="Arial" w:cs="Arial" w:eastAsia="Arial" w:hAnsi="Arial"/>
          <w:sz w:val="22"/>
          <w:szCs w:val="22"/>
          <w:color w:val="auto"/>
        </w:rPr>
        <w:t>12.3  The Employee shall immediately inform the Company if she is disqualified from driving and shall cease to be entitled to receive the allowance under clause 12.1 or reimbursement of fuel expenses under clause 12.2.</w:t>
      </w:r>
    </w:p>
    <w:p>
      <w:pPr>
        <w:spacing w:after="0" w:line="124"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Holidays</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color w:val="auto"/>
        </w:rPr>
        <w:t>The Employee shall be entitled to 25 days’ paid holiday in each holiday year, and 3 of these days must be taken between Christmas and New Year. In addition, the Employee is eligible for the usual public holidays in England and Wales to a maximum of 8 per year. The Company’s holiday year runs between 1 January and 31 December. If the Appointment commences part way through the holiday year, the Employee’s holiday entitlement during the first year of the Appointment shall be calculated on a pro-rata basis, rounded to the nearest whole day.</w:t>
      </w:r>
    </w:p>
    <w:p>
      <w:pPr>
        <w:spacing w:after="0" w:line="142"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13.2</w:t>
        <w:tab/>
        <w:t>Holiday shall be taken at such time or times as shall be approved in advance by the Employee’s manager. The Employee shall not, without the consent of her manager, carry forward any accrued and unused holiday entitlement to a subsequent holiday year, nor receive any payment in lieu in respect of such entitlement, save as provided in clause 13.3.</w:t>
      </w:r>
    </w:p>
    <w:p>
      <w:pPr>
        <w:spacing w:after="0" w:line="15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On termination of the Appointment, the Employee shall be entitled to be paid in lieu of accrued but untaken holiday save that, where such termination is pursuant to clause 18.4 or follows the Employee’s resignation in breach of clause 2.3, such accrued but untaken holiday shall be based on the Employee’s minimum holiday entitlement under the Working Time Regulations 1998 only and not on her entitlement under clause 13.1. For these purposes any paid holiday that has been taken by the Employee (including any paid holiday on public holidays) shall be deemed first to be statutory paid holiday. The amount of the payment in lieu shall be calculated on the basis that each day of paid holiday is equal to 1/260 of the salary. The Company reserves the right to exercise its discretion as to whether the Employee will be paid in lieu of accrued but untaken holidays or if the Employee will be asked to work those accrued but untaken holidays, if they fall within the notice period.</w:t>
      </w:r>
    </w:p>
    <w:p>
      <w:pPr>
        <w:spacing w:after="0" w:line="14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13.4</w:t>
        <w:tab/>
        <w:t>If the Employee has taken more holiday than her accrued entitlement at the date of termination of the Appointment, the Company shall deduct the appropriate amount from any payments due to the Employee (on the basis that each day of paid holiday is equal to 1/260 of the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4800" w:val="left"/>
          <w:tab w:leader="none" w:pos="1018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10</w:t>
      </w:r>
    </w:p>
    <w:p>
      <w:pPr>
        <w:sectPr>
          <w:pgSz w:w="11900" w:h="16838" w:orient="portrait"/>
          <w:cols w:equalWidth="0" w:num="1">
            <w:col w:w="11420"/>
          </w:cols>
          <w:pgMar w:left="240" w:top="768" w:right="239" w:bottom="1440" w:gutter="0" w:footer="0" w:header="0"/>
        </w:sectPr>
      </w:pPr>
    </w:p>
    <w:bookmarkStart w:id="214" w:name="page215"/>
    <w:bookmarkEnd w:id="214"/>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13.5</w:t>
        <w:tab/>
        <w:t>If either party has served notice to terminate the Appointment, the Company may require the Employee to take any accrued but unused holiday entitlement during the notice period or, if applicable, any such holiday shall be deemed to be taken during any period of Garden Leave.</w:t>
      </w:r>
    </w:p>
    <w:p>
      <w:pPr>
        <w:spacing w:after="0" w:line="128" w:lineRule="exact"/>
        <w:rPr>
          <w:sz w:val="20"/>
          <w:szCs w:val="20"/>
          <w:color w:val="auto"/>
        </w:rPr>
      </w:pPr>
    </w:p>
    <w:p>
      <w:pPr>
        <w:ind w:left="652" w:hanging="652"/>
        <w:spacing w:after="0"/>
        <w:tabs>
          <w:tab w:leader="none" w:pos="652"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Incapacity</w:t>
      </w:r>
    </w:p>
    <w:p>
      <w:pPr>
        <w:spacing w:after="0" w:line="192"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14.1</w:t>
        <w:tab/>
        <w:t>If the Employee is absent due to sickness or injury she must inform her manager no later than 10.00am on the first day absent or as soon as possible given the time difference between the USA and the UK.</w:t>
      </w:r>
    </w:p>
    <w:p>
      <w:pPr>
        <w:spacing w:after="0" w:line="15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14.2</w:t>
        <w:tab/>
        <w:t>The Employee will be required to produce a self-certification form in respect of absences up to and including 5 working days. The Company reserves the right to require the Employee to obtain a Statement of fitness for work (Fit Note) from a Doctor in respect of any such period of absence.</w:t>
      </w:r>
    </w:p>
    <w:p>
      <w:pPr>
        <w:spacing w:after="0" w:line="154"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14.3</w:t>
        <w:tab/>
        <w:t>The Employee must, if absent for a period of 7 consecutive days, provide the Company with a Statement of fitness for work (Fit Note), stating the reason for the absence and thereafter provide a like certificate each week to cover any subsequent periods of absence. The Company reserves the right at any time during the Employees absence to ask the Employee to produce a medical certificate (or Fit Note).</w:t>
      </w:r>
    </w:p>
    <w:p>
      <w:pPr>
        <w:spacing w:after="0" w:line="156"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14.4</w:t>
        <w:tab/>
        <w:t>The Company reserves the right to ask the Employee to undergo a medical examination with a medical practitioner of the Company’s choosing at any time during a period of absence due to illness or Incapacity subject to the provisions of the Access to Medical Reports Act 1988.</w:t>
      </w:r>
    </w:p>
    <w:p>
      <w:pPr>
        <w:spacing w:after="0" w:line="128" w:lineRule="exact"/>
        <w:rPr>
          <w:sz w:val="20"/>
          <w:szCs w:val="20"/>
          <w:color w:val="auto"/>
        </w:rPr>
      </w:pPr>
    </w:p>
    <w:p>
      <w:pPr>
        <w:ind w:left="652" w:hanging="652"/>
        <w:spacing w:after="0"/>
        <w:tabs>
          <w:tab w:leader="none" w:pos="652"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Outside interests</w:t>
      </w:r>
    </w:p>
    <w:p>
      <w:pPr>
        <w:spacing w:after="0" w:line="192"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15.1</w:t>
        <w:tab/>
        <w:t>Subject to clause 15.2, during the Appointment the Employee shall not, except as a representative of the Company or with the prior written approval of the Company, whether paid or unpaid, be directly or indirectly engaged, concerned or have any financial interest in any Capacity in any other business, trade, profession or occupation (or the setting up of any business, trade, profession or occupation).</w:t>
      </w:r>
    </w:p>
    <w:p>
      <w:pPr>
        <w:spacing w:after="0" w:line="156"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15.2</w:t>
        <w:tab/>
        <w:t>Notwithstanding clause 15.1, the Employee may hold an investment by way of shares or other securities of not more than 5% of the total issued share capital of any company (whether or not it is listed or dealt in on a recognised stock exchange) where such company does not carry on a business similar to or competitive with any business for the time being carried on by the Company or any Group Company.</w:t>
      </w:r>
    </w:p>
    <w:p>
      <w:pPr>
        <w:spacing w:after="0" w:line="200" w:lineRule="exact"/>
        <w:rPr>
          <w:sz w:val="20"/>
          <w:szCs w:val="20"/>
          <w:color w:val="auto"/>
        </w:rPr>
      </w:pPr>
    </w:p>
    <w:p>
      <w:pPr>
        <w:spacing w:after="0" w:line="329"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11</w:t>
      </w:r>
    </w:p>
    <w:p>
      <w:pPr>
        <w:sectPr>
          <w:pgSz w:w="11900" w:h="16838" w:orient="portrait"/>
          <w:cols w:equalWidth="0" w:num="1">
            <w:col w:w="11412"/>
          </w:cols>
          <w:pgMar w:left="248" w:top="768" w:right="239" w:bottom="1440" w:gutter="0" w:footer="0" w:header="0"/>
        </w:sectPr>
      </w:pPr>
    </w:p>
    <w:bookmarkStart w:id="215" w:name="page216"/>
    <w:bookmarkEnd w:id="215"/>
    <w:p>
      <w:pPr>
        <w:jc w:val="both"/>
        <w:ind w:left="652" w:hanging="647"/>
        <w:spacing w:after="0" w:line="264" w:lineRule="auto"/>
        <w:tabs>
          <w:tab w:leader="none" w:pos="632"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1"/>
          <w:szCs w:val="21"/>
          <w:color w:val="auto"/>
        </w:rPr>
        <w:t>The Employee agrees to disclose to the Company any matters relating to her spouse or civil partner (or anyone living as such), children or parents which may, in the reasonable opinion of the Company, be considered to interfere, conflict or compete with the proper performance of the Employee’s obligations under this Agreement.</w:t>
      </w:r>
    </w:p>
    <w:p>
      <w:pPr>
        <w:spacing w:after="0" w:line="109" w:lineRule="exact"/>
        <w:rPr>
          <w:sz w:val="20"/>
          <w:szCs w:val="20"/>
          <w:color w:val="auto"/>
        </w:rPr>
      </w:pPr>
    </w:p>
    <w:p>
      <w:pPr>
        <w:ind w:left="652" w:hanging="652"/>
        <w:spacing w:after="0"/>
        <w:tabs>
          <w:tab w:leader="none" w:pos="652"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w:t>
      </w:r>
    </w:p>
    <w:p>
      <w:pPr>
        <w:spacing w:after="0" w:line="192" w:lineRule="exact"/>
        <w:rPr>
          <w:sz w:val="20"/>
          <w:szCs w:val="20"/>
          <w:color w:val="auto"/>
        </w:rPr>
      </w:pPr>
    </w:p>
    <w:p>
      <w:pPr>
        <w:jc w:val="both"/>
        <w:ind w:left="652" w:hanging="647"/>
        <w:spacing w:after="0" w:line="249" w:lineRule="auto"/>
        <w:tabs>
          <w:tab w:leader="none" w:pos="632" w:val="left"/>
        </w:tabs>
        <w:rPr>
          <w:sz w:val="20"/>
          <w:szCs w:val="20"/>
          <w:color w:val="auto"/>
        </w:rPr>
      </w:pPr>
      <w:r>
        <w:rPr>
          <w:rFonts w:ascii="Arial" w:cs="Arial" w:eastAsia="Arial" w:hAnsi="Arial"/>
          <w:sz w:val="22"/>
          <w:szCs w:val="22"/>
          <w:color w:val="auto"/>
        </w:rPr>
        <w:t>16.1</w:t>
        <w:tab/>
        <w:t>The Employee acknowledges that in the course of the Appointment she will have access to Confidential Information. The Employee has therefore agreed to accept the restrictions in this clause 16.</w:t>
      </w:r>
    </w:p>
    <w:p>
      <w:pPr>
        <w:spacing w:after="0" w:line="150"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16.2</w:t>
        <w:tab/>
        <w:t>The Employee shall not (except in the proper course of her duties), either during the Appointment or at any time after its termination (howsoever arising), use, copy, transfer or disclose to any person, company or other organisation whatsoever (and shall use her best endeavours to prevent the use, copying, transfer, publication or disclosure of) any Confidential Information. This restriction does not apply to:</w:t>
      </w:r>
    </w:p>
    <w:p>
      <w:pPr>
        <w:spacing w:after="0" w:line="156" w:lineRule="exact"/>
        <w:rPr>
          <w:sz w:val="20"/>
          <w:szCs w:val="20"/>
          <w:color w:val="auto"/>
        </w:rPr>
      </w:pPr>
    </w:p>
    <w:p>
      <w:pPr>
        <w:ind w:left="1612" w:hanging="640"/>
        <w:spacing w:after="0"/>
        <w:tabs>
          <w:tab w:leader="none" w:pos="1612"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use or disclosure authorised by the Directors of the Company or required by law; or</w:t>
      </w:r>
    </w:p>
    <w:p>
      <w:pPr>
        <w:spacing w:after="0" w:line="165" w:lineRule="exact"/>
        <w:rPr>
          <w:rFonts w:ascii="Arial" w:cs="Arial" w:eastAsia="Arial" w:hAnsi="Arial"/>
          <w:sz w:val="22"/>
          <w:szCs w:val="22"/>
          <w:color w:val="auto"/>
        </w:rPr>
      </w:pPr>
    </w:p>
    <w:p>
      <w:pPr>
        <w:ind w:left="1612" w:hanging="640"/>
        <w:spacing w:after="0" w:line="249" w:lineRule="auto"/>
        <w:tabs>
          <w:tab w:leader="none" w:pos="1612"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information which is already in, or comes into, the public domain other than through the Employee’s unauthorised disclosure; or</w:t>
      </w:r>
    </w:p>
    <w:p>
      <w:pPr>
        <w:spacing w:after="0" w:line="150" w:lineRule="exact"/>
        <w:rPr>
          <w:rFonts w:ascii="Arial" w:cs="Arial" w:eastAsia="Arial" w:hAnsi="Arial"/>
          <w:sz w:val="22"/>
          <w:szCs w:val="22"/>
          <w:color w:val="auto"/>
        </w:rPr>
      </w:pPr>
    </w:p>
    <w:p>
      <w:pPr>
        <w:ind w:left="1612" w:hanging="640"/>
        <w:spacing w:after="0" w:line="249" w:lineRule="auto"/>
        <w:tabs>
          <w:tab w:leader="none" w:pos="1612" w:val="left"/>
        </w:tabs>
        <w:numPr>
          <w:ilvl w:val="1"/>
          <w:numId w:val="148"/>
        </w:numPr>
        <w:rPr>
          <w:rFonts w:ascii="Arial" w:cs="Arial" w:eastAsia="Arial" w:hAnsi="Arial"/>
          <w:sz w:val="22"/>
          <w:szCs w:val="22"/>
          <w:color w:val="auto"/>
        </w:rPr>
      </w:pPr>
      <w:r>
        <w:rPr>
          <w:rFonts w:ascii="Arial" w:cs="Arial" w:eastAsia="Arial" w:hAnsi="Arial"/>
          <w:sz w:val="22"/>
          <w:szCs w:val="22"/>
          <w:color w:val="auto"/>
        </w:rPr>
        <w:t>prevent the Employee from making a protected disclosure within the meaning of section 43A of the Employment Rights Act 1996.</w:t>
      </w:r>
    </w:p>
    <w:p>
      <w:pPr>
        <w:spacing w:after="0" w:line="124" w:lineRule="exact"/>
        <w:rPr>
          <w:rFonts w:ascii="Arial" w:cs="Arial" w:eastAsia="Arial" w:hAnsi="Arial"/>
          <w:sz w:val="22"/>
          <w:szCs w:val="22"/>
          <w:color w:val="auto"/>
        </w:rPr>
      </w:pPr>
    </w:p>
    <w:p>
      <w:pPr>
        <w:ind w:left="652" w:hanging="652"/>
        <w:spacing w:after="0"/>
        <w:tabs>
          <w:tab w:leader="none" w:pos="652"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17.1</w:t>
        <w:tab/>
        <w:t>The Employee acknowledges that all Employment IPRs, Employment Inventions and all materials embodying them shall automatically belong to the Company to the fullest extent permitted by law. To the extent that they do not vest in the Company automatically, the Employee holds them on trust for the Company.</w:t>
      </w:r>
    </w:p>
    <w:p>
      <w:pPr>
        <w:spacing w:after="0" w:line="154"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17.2</w:t>
        <w:tab/>
        <w:t>The Employee acknowledges that, because of the nature of her duties and the particular responsibilities arising from the nature of her duties, she has, and shall have at all times while she is employed by the Company, a special obligation to further the interests of the Company.</w:t>
      </w:r>
    </w:p>
    <w:p>
      <w:pPr>
        <w:spacing w:after="0" w:line="154"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17.3</w:t>
        <w:tab/>
        <w:t>To the extent that legal title in any Employment IPRs or Employment Inventions does not vest in the Company by virtue of clause 17.1, the Employee agrees, immediately upon creation of such rights and inventions, to offer to the Company in writing a right of first refusal to acquire them on arm´s length terms to be agreed between the parties. If the parties cannot agree on</w:t>
      </w:r>
    </w:p>
    <w:p>
      <w:pPr>
        <w:spacing w:after="0" w:line="200" w:lineRule="exact"/>
        <w:rPr>
          <w:sz w:val="20"/>
          <w:szCs w:val="20"/>
          <w:color w:val="auto"/>
        </w:rPr>
      </w:pPr>
    </w:p>
    <w:p>
      <w:pPr>
        <w:spacing w:after="0" w:line="329"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12</w:t>
      </w:r>
    </w:p>
    <w:p>
      <w:pPr>
        <w:sectPr>
          <w:pgSz w:w="11900" w:h="16838" w:orient="portrait"/>
          <w:cols w:equalWidth="0" w:num="1">
            <w:col w:w="11412"/>
          </w:cols>
          <w:pgMar w:left="248" w:top="768" w:right="239" w:bottom="1440" w:gutter="0" w:footer="0" w:header="0"/>
        </w:sectPr>
      </w:pPr>
    </w:p>
    <w:bookmarkStart w:id="216" w:name="page217"/>
    <w:bookmarkEnd w:id="216"/>
    <w:p>
      <w:pPr>
        <w:jc w:val="both"/>
        <w:ind w:left="660"/>
        <w:spacing w:after="0" w:line="259" w:lineRule="auto"/>
        <w:rPr>
          <w:sz w:val="20"/>
          <w:szCs w:val="20"/>
          <w:color w:val="auto"/>
        </w:rPr>
      </w:pPr>
      <w:r>
        <w:rPr>
          <w:rFonts w:ascii="Arial" w:cs="Arial" w:eastAsia="Arial" w:hAnsi="Arial"/>
          <w:sz w:val="21"/>
          <w:szCs w:val="21"/>
          <w:color w:val="auto"/>
        </w:rPr>
        <w:t>such terms within 30 days of the Company receiving the offer, the Company shall refer the dispute to an independent arbitrator. The arbitrator’s decisions shall be final and binding on the parties, and the costs of arbitration shall be borne equally by the parties. The Employee agrees that the provisions of this clause 17 shall apply to all Employment IPRs and Employment Inventions offered to the Company under this clause 17 until such time as the Company has agreed in writing that the Employee may offer them for sale to a third party.</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21"/>
          <w:szCs w:val="21"/>
          <w:color w:val="auto"/>
        </w:rPr>
        <w:t>The Employee agrees:</w:t>
      </w:r>
    </w:p>
    <w:p>
      <w:pPr>
        <w:spacing w:after="0" w:line="166" w:lineRule="exact"/>
        <w:rPr>
          <w:sz w:val="20"/>
          <w:szCs w:val="20"/>
          <w:color w:val="auto"/>
        </w:rPr>
      </w:pPr>
    </w:p>
    <w:p>
      <w:pPr>
        <w:ind w:left="1620" w:hanging="640"/>
        <w:spacing w:after="0"/>
        <w:tabs>
          <w:tab w:leader="none" w:pos="1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give the Company full written details of all Employment Inventions promptly on their creation;</w:t>
      </w:r>
    </w:p>
    <w:p>
      <w:pPr>
        <w:spacing w:after="0" w:line="165"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at the Company’s request and in any event on the termination of her employment to give to the Company all originals and copies of correspondence, documents, papers and records on all media which record or relate to any of the Employment IPRs;</w:t>
      </w:r>
    </w:p>
    <w:p>
      <w:pPr>
        <w:spacing w:after="0" w:line="153"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not to attempt to register any Employment IPR nor patent any Employment Invention unless requested to do so by the Company; and</w:t>
      </w:r>
    </w:p>
    <w:p>
      <w:pPr>
        <w:spacing w:after="0" w:line="150"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to keep confidential each Employment Invention unless the Company has consented in writing to its disclosure by the Employee.</w:t>
      </w:r>
    </w:p>
    <w:p>
      <w:pPr>
        <w:spacing w:after="0" w:line="150"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17.5</w:t>
        <w:tab/>
        <w:t>The Employee waives all her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15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17.6</w:t>
        <w:tab/>
        <w:t>The Employee acknowledges that, except as provided by law, no further remuneration or compensation other than that provided for in this Agreement is or may become due to the Employee in respect of her compliance with this clause. This clause is without prejudice to the Employee’s rights under the Patents Act 1977.</w:t>
      </w:r>
    </w:p>
    <w:p>
      <w:pPr>
        <w:spacing w:after="0" w:line="154"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2"/>
          <w:szCs w:val="22"/>
          <w:color w:val="auto"/>
        </w:rPr>
        <w:t>17.7</w:t>
        <w:tab/>
        <w:t>The Employee undertakes to use her best endeavours to execute all documents and do all acts both during and after her employment by the Company as may, in the opinion of the Company, be necessary or desirable to vest the Employment IPRs in the Company, to register them in the name of the Company and to protect and maintain the Employment IPRs and the Employment Inventions. Such documents may, at the Company’s request, include waivers of all and any statutory moral rights relating to any copyright works which form part of the Employment IPRs. The Company agrees to</w:t>
      </w: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4800" w:val="left"/>
          <w:tab w:leader="none" w:pos="1018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13</w:t>
      </w:r>
    </w:p>
    <w:p>
      <w:pPr>
        <w:sectPr>
          <w:pgSz w:w="11900" w:h="16838" w:orient="portrait"/>
          <w:cols w:equalWidth="0" w:num="1">
            <w:col w:w="11420"/>
          </w:cols>
          <w:pgMar w:left="240" w:top="768" w:right="239" w:bottom="1440" w:gutter="0" w:footer="0" w:header="0"/>
        </w:sectPr>
      </w:pPr>
    </w:p>
    <w:bookmarkStart w:id="217" w:name="page218"/>
    <w:bookmarkEnd w:id="217"/>
    <w:p>
      <w:pPr>
        <w:ind w:left="652"/>
        <w:spacing w:after="0"/>
        <w:rPr>
          <w:sz w:val="20"/>
          <w:szCs w:val="20"/>
          <w:color w:val="auto"/>
        </w:rPr>
      </w:pPr>
      <w:r>
        <w:rPr>
          <w:rFonts w:ascii="Arial" w:cs="Arial" w:eastAsia="Arial" w:hAnsi="Arial"/>
          <w:sz w:val="22"/>
          <w:szCs w:val="22"/>
          <w:color w:val="auto"/>
        </w:rPr>
        <w:t>reimburse the Employee’s reasonable expenses of complying with this clause 17.7.</w:t>
      </w:r>
    </w:p>
    <w:p>
      <w:pPr>
        <w:spacing w:after="0" w:line="166"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17.8</w:t>
        <w:tab/>
        <w:t>The Employee agrees to give all necessary assistance to the Company to enable it to enforce its Intellectual Property Rights against third parties, to defend claims for infringement of third party Intellectual Property Rights and to apply for registration of Intellectual Property Rights, where appropriate throughout the world, and for the full term of those rights.</w:t>
      </w:r>
    </w:p>
    <w:p>
      <w:pPr>
        <w:spacing w:after="0" w:line="156"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17.9</w:t>
        <w:tab/>
        <w:t>The Employee hereby irrevocably appoints the Company to be her attorney to execute and do any such instrument or thing and generally to use her name for the purpose of giving the Company or its nominee the benefit of this clause 17. The Employee acknowledges in favour of a third party that a certificate in writing signed by any Director of the Company that any instrument or act falls within the authority conferred by this clause 17 shall be conclusive evidence that such is the case.</w:t>
      </w:r>
    </w:p>
    <w:p>
      <w:pPr>
        <w:spacing w:after="0" w:line="128" w:lineRule="exact"/>
        <w:rPr>
          <w:sz w:val="20"/>
          <w:szCs w:val="20"/>
          <w:color w:val="auto"/>
        </w:rPr>
      </w:pPr>
    </w:p>
    <w:p>
      <w:pPr>
        <w:ind w:left="652" w:hanging="652"/>
        <w:spacing w:after="0"/>
        <w:tabs>
          <w:tab w:leader="none" w:pos="652"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92"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2"/>
          <w:szCs w:val="22"/>
          <w:color w:val="auto"/>
        </w:rPr>
        <w:t>18.1</w:t>
        <w:tab/>
        <w:t>Notwithstanding clause 2.3, the Company may, in its sole and absolute discretion, terminate the Appointment at any time and with immediate effect by paying a sum in lieu of notice (Payment in Lieu) equal to the basic salary (as at the date of termination) which the Employee would have been entitled to receive under this Agreement during the notice period referred to in clause 2.3 (or, if notice has already been given, during the remainder of the notice period) less income tax and National Insurance contributions. For the avoidance of doubt, the Payment in Lieu shall not include any element in relation to:</w:t>
      </w:r>
    </w:p>
    <w:p>
      <w:pPr>
        <w:spacing w:after="0" w:line="159" w:lineRule="exact"/>
        <w:rPr>
          <w:sz w:val="20"/>
          <w:szCs w:val="20"/>
          <w:color w:val="auto"/>
        </w:rPr>
      </w:pPr>
    </w:p>
    <w:p>
      <w:pPr>
        <w:ind w:left="1612" w:hanging="640"/>
        <w:spacing w:after="0" w:line="249" w:lineRule="auto"/>
        <w:tabs>
          <w:tab w:leader="none" w:pos="161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bonus or incentive compensation payments that might otherwise have been due during the period for which the Payment in Lieu is made;</w:t>
      </w:r>
    </w:p>
    <w:p>
      <w:pPr>
        <w:spacing w:after="0" w:line="150" w:lineRule="exact"/>
        <w:rPr>
          <w:rFonts w:ascii="Arial" w:cs="Arial" w:eastAsia="Arial" w:hAnsi="Arial"/>
          <w:sz w:val="22"/>
          <w:szCs w:val="22"/>
          <w:color w:val="auto"/>
        </w:rPr>
      </w:pPr>
    </w:p>
    <w:p>
      <w:pPr>
        <w:ind w:left="1612" w:right="20" w:hanging="640"/>
        <w:spacing w:after="0" w:line="249" w:lineRule="auto"/>
        <w:tabs>
          <w:tab w:leader="none" w:pos="161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payment in respect of benefits which the Employee would have been entitled to receive during the period for which the Payment in Lieu is made, including but not limited to car allowance; and</w:t>
      </w:r>
    </w:p>
    <w:p>
      <w:pPr>
        <w:spacing w:after="0" w:line="150" w:lineRule="exact"/>
        <w:rPr>
          <w:rFonts w:ascii="Arial" w:cs="Arial" w:eastAsia="Arial" w:hAnsi="Arial"/>
          <w:sz w:val="22"/>
          <w:szCs w:val="22"/>
          <w:color w:val="auto"/>
        </w:rPr>
      </w:pPr>
    </w:p>
    <w:p>
      <w:pPr>
        <w:ind w:left="1612" w:right="20" w:hanging="640"/>
        <w:spacing w:after="0" w:line="249" w:lineRule="auto"/>
        <w:tabs>
          <w:tab w:leader="none" w:pos="161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payment in respect of any holiday entitlement that would have accrued during the period for which the Payment in Lieu is made.</w:t>
      </w:r>
    </w:p>
    <w:p>
      <w:pPr>
        <w:spacing w:after="0" w:line="150"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18.2</w:t>
        <w:tab/>
        <w:t>The Company may pay any sums due under clause 18.1 in equal monthly instalments until the date on which the notice period referred to in clause 2.3 would have expired if notice had been given.</w:t>
      </w:r>
    </w:p>
    <w:p>
      <w:pPr>
        <w:spacing w:after="0" w:line="15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18.3</w:t>
        <w:tab/>
        <w:t>The Employee shall have no right to receive a Payment in Lieu unless the Company has exercised its discretion in clause 18.1. Nothing in this clause 18.3 shall prevent the Company from terminating the Appointment in breach.</w:t>
      </w:r>
    </w:p>
    <w:p>
      <w:pPr>
        <w:spacing w:after="0" w:line="200" w:lineRule="exact"/>
        <w:rPr>
          <w:sz w:val="20"/>
          <w:szCs w:val="20"/>
          <w:color w:val="auto"/>
        </w:rPr>
      </w:pPr>
    </w:p>
    <w:p>
      <w:pPr>
        <w:spacing w:after="0" w:line="327"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14</w:t>
      </w:r>
    </w:p>
    <w:p>
      <w:pPr>
        <w:sectPr>
          <w:pgSz w:w="11900" w:h="16838" w:orient="portrait"/>
          <w:cols w:equalWidth="0" w:num="1">
            <w:col w:w="11412"/>
          </w:cols>
          <w:pgMar w:left="248" w:top="768" w:right="239" w:bottom="1440" w:gutter="0" w:footer="0" w:header="0"/>
        </w:sectPr>
      </w:pPr>
    </w:p>
    <w:bookmarkStart w:id="218" w:name="page219"/>
    <w:bookmarkEnd w:id="218"/>
    <w:p>
      <w:pPr>
        <w:jc w:val="both"/>
        <w:ind w:left="620" w:hanging="647"/>
        <w:spacing w:after="0" w:line="246" w:lineRule="auto"/>
        <w:tabs>
          <w:tab w:leader="none" w:pos="600" w:val="left"/>
        </w:tabs>
        <w:rPr>
          <w:sz w:val="20"/>
          <w:szCs w:val="20"/>
          <w:color w:val="auto"/>
        </w:rPr>
      </w:pPr>
      <w:r>
        <w:rPr>
          <w:rFonts w:ascii="Arial" w:cs="Arial" w:eastAsia="Arial" w:hAnsi="Arial"/>
          <w:sz w:val="22"/>
          <w:szCs w:val="22"/>
          <w:color w:val="auto"/>
        </w:rPr>
        <w:t>18.4</w:t>
        <w:tab/>
        <w:t>The Company may also terminate the Appointment with immediate effect without notice, with no liability to make any further payment to the Employee (other than in respect of amounts accrued due at the date of termination) and without compensation, damages or otherwise if the Employee (without limitation):</w:t>
      </w:r>
    </w:p>
    <w:p>
      <w:pPr>
        <w:spacing w:after="0" w:line="154" w:lineRule="exact"/>
        <w:rPr>
          <w:sz w:val="20"/>
          <w:szCs w:val="20"/>
          <w:color w:val="auto"/>
        </w:rPr>
      </w:pPr>
    </w:p>
    <w:p>
      <w:pPr>
        <w:jc w:val="both"/>
        <w:ind w:left="1580" w:hanging="640"/>
        <w:spacing w:after="0" w:line="264" w:lineRule="auto"/>
        <w:tabs>
          <w:tab w:leader="none" w:pos="15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fails or ceases to meet the requirements of any regulatory body whose consent is required to enable her to undertake all or any of her duties under the Appointment or is guilty of a serious breach of the rules and regulations of such regulatory body or of any compliance manual of any Group Company; or</w:t>
      </w:r>
    </w:p>
    <w:p>
      <w:pPr>
        <w:spacing w:after="0" w:line="134" w:lineRule="exact"/>
        <w:rPr>
          <w:rFonts w:ascii="Arial" w:cs="Arial" w:eastAsia="Arial" w:hAnsi="Arial"/>
          <w:sz w:val="21"/>
          <w:szCs w:val="21"/>
          <w:color w:val="auto"/>
        </w:rPr>
      </w:pPr>
    </w:p>
    <w:p>
      <w:pPr>
        <w:ind w:left="1580" w:hanging="640"/>
        <w:spacing w:after="0"/>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is guilty of any gross misconduct; or</w:t>
      </w:r>
    </w:p>
    <w:p>
      <w:pPr>
        <w:spacing w:after="0" w:line="165" w:lineRule="exact"/>
        <w:rPr>
          <w:rFonts w:ascii="Arial" w:cs="Arial" w:eastAsia="Arial" w:hAnsi="Arial"/>
          <w:sz w:val="22"/>
          <w:szCs w:val="22"/>
          <w:color w:val="auto"/>
        </w:rPr>
      </w:pPr>
    </w:p>
    <w:p>
      <w:pPr>
        <w:ind w:left="1580" w:right="20" w:hanging="640"/>
        <w:spacing w:after="0" w:line="272" w:lineRule="auto"/>
        <w:tabs>
          <w:tab w:leader="none" w:pos="15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commits any serious or repeated breach or non-observance of any of the provisions of this Agreement or refuses or neglects to comply with any reasonable and lawful directions of the Company; or</w:t>
      </w:r>
    </w:p>
    <w:p>
      <w:pPr>
        <w:spacing w:after="0" w:line="127" w:lineRule="exact"/>
        <w:rPr>
          <w:rFonts w:ascii="Arial" w:cs="Arial" w:eastAsia="Arial" w:hAnsi="Arial"/>
          <w:sz w:val="21"/>
          <w:szCs w:val="21"/>
          <w:color w:val="auto"/>
        </w:rPr>
      </w:pPr>
    </w:p>
    <w:p>
      <w:pPr>
        <w:ind w:left="1580" w:right="20" w:hanging="640"/>
        <w:spacing w:after="0" w:line="272" w:lineRule="auto"/>
        <w:tabs>
          <w:tab w:leader="none" w:pos="15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is, in the reasonable opinion of the SVP Human Resources, President International, General Counsel or Directors of the Company, negligent and incompetent in the performance of her duties; or</w:t>
      </w:r>
    </w:p>
    <w:p>
      <w:pPr>
        <w:spacing w:after="0" w:line="127" w:lineRule="exact"/>
        <w:rPr>
          <w:rFonts w:ascii="Arial" w:cs="Arial" w:eastAsia="Arial" w:hAnsi="Arial"/>
          <w:sz w:val="21"/>
          <w:szCs w:val="21"/>
          <w:color w:val="auto"/>
        </w:rPr>
      </w:pPr>
    </w:p>
    <w:p>
      <w:pPr>
        <w:ind w:left="1580" w:hanging="640"/>
        <w:spacing w:after="0" w:line="249"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is declared bankrupt or makes any arrangement with or for the benefit of her creditors or has a county court administration order made against her under the County Court Act 1984; or</w:t>
      </w:r>
    </w:p>
    <w:p>
      <w:pPr>
        <w:spacing w:after="0" w:line="150" w:lineRule="exact"/>
        <w:rPr>
          <w:rFonts w:ascii="Arial" w:cs="Arial" w:eastAsia="Arial" w:hAnsi="Arial"/>
          <w:sz w:val="22"/>
          <w:szCs w:val="22"/>
          <w:color w:val="auto"/>
        </w:rPr>
      </w:pPr>
    </w:p>
    <w:p>
      <w:pPr>
        <w:jc w:val="both"/>
        <w:ind w:left="1580" w:right="20" w:hanging="640"/>
        <w:spacing w:after="0" w:line="246"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is convicted of any criminal offence (other than an offence under any road traffic legislation in the United Kingdom or elsewhere for which a fine or non-custodial penalty is imposed) or any offence under any regulation or legislation relating to insider dealing; or</w:t>
      </w:r>
    </w:p>
    <w:p>
      <w:pPr>
        <w:spacing w:after="0" w:line="153" w:lineRule="exact"/>
        <w:rPr>
          <w:rFonts w:ascii="Arial" w:cs="Arial" w:eastAsia="Arial" w:hAnsi="Arial"/>
          <w:sz w:val="22"/>
          <w:szCs w:val="22"/>
          <w:color w:val="auto"/>
        </w:rPr>
      </w:pPr>
    </w:p>
    <w:p>
      <w:pPr>
        <w:ind w:left="1580" w:right="20" w:hanging="640"/>
        <w:spacing w:after="0" w:line="249"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becomes medically certified as non-compos mentis (of unsound mind) and/or deemed legally incompetent; or</w:t>
      </w:r>
    </w:p>
    <w:p>
      <w:pPr>
        <w:spacing w:after="0" w:line="150" w:lineRule="exact"/>
        <w:rPr>
          <w:rFonts w:ascii="Arial" w:cs="Arial" w:eastAsia="Arial" w:hAnsi="Arial"/>
          <w:sz w:val="22"/>
          <w:szCs w:val="22"/>
          <w:color w:val="auto"/>
        </w:rPr>
      </w:pPr>
    </w:p>
    <w:p>
      <w:pPr>
        <w:ind w:left="1580" w:hanging="640"/>
        <w:spacing w:after="0" w:line="249"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ceases to be eligible to work in the United Kingdom in accordance with section 8 of the Asylum and Immigration Act 1996; or</w:t>
      </w:r>
    </w:p>
    <w:p>
      <w:pPr>
        <w:spacing w:after="0" w:line="150" w:lineRule="exact"/>
        <w:rPr>
          <w:rFonts w:ascii="Arial" w:cs="Arial" w:eastAsia="Arial" w:hAnsi="Arial"/>
          <w:sz w:val="22"/>
          <w:szCs w:val="22"/>
          <w:color w:val="auto"/>
        </w:rPr>
      </w:pPr>
    </w:p>
    <w:p>
      <w:pPr>
        <w:jc w:val="both"/>
        <w:ind w:left="1580" w:hanging="640"/>
        <w:spacing w:after="0" w:line="246"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is guilty of any fraud or dishonesty or acts in any manner which in the opinion of the Company brings or is likely to bring the Employee or any Group Company into disrepute or is materially adverse to the interests of any Group Company; or</w:t>
      </w:r>
    </w:p>
    <w:p>
      <w:pPr>
        <w:spacing w:after="0" w:line="153" w:lineRule="exact"/>
        <w:rPr>
          <w:rFonts w:ascii="Arial" w:cs="Arial" w:eastAsia="Arial" w:hAnsi="Arial"/>
          <w:sz w:val="22"/>
          <w:szCs w:val="22"/>
          <w:color w:val="auto"/>
        </w:rPr>
      </w:pPr>
    </w:p>
    <w:p>
      <w:pPr>
        <w:ind w:left="1580" w:hanging="640"/>
        <w:spacing w:after="0" w:line="249" w:lineRule="auto"/>
        <w:tabs>
          <w:tab w:leader="none" w:pos="15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is guilty of a serious breach of any applicable rules issued by the Company or any Group Company from time to time regarding electronic communications systems.</w:t>
      </w:r>
    </w:p>
    <w:p>
      <w:pPr>
        <w:spacing w:after="0" w:line="150" w:lineRule="exact"/>
        <w:rPr>
          <w:sz w:val="20"/>
          <w:szCs w:val="20"/>
          <w:color w:val="auto"/>
        </w:rPr>
      </w:pPr>
    </w:p>
    <w:p>
      <w:pPr>
        <w:jc w:val="both"/>
        <w:ind w:left="620" w:hanging="647"/>
        <w:spacing w:after="0" w:line="245" w:lineRule="auto"/>
        <w:tabs>
          <w:tab w:leader="none" w:pos="600" w:val="left"/>
        </w:tabs>
        <w:rPr>
          <w:sz w:val="20"/>
          <w:szCs w:val="20"/>
          <w:color w:val="auto"/>
        </w:rPr>
      </w:pPr>
      <w:r>
        <w:rPr>
          <w:rFonts w:ascii="Arial" w:cs="Arial" w:eastAsia="Arial" w:hAnsi="Arial"/>
          <w:sz w:val="22"/>
          <w:szCs w:val="22"/>
          <w:color w:val="auto"/>
        </w:rPr>
        <w:t>18.5</w:t>
        <w:tab/>
        <w:t>The rights of the Company under clause 18.4 are without prejudice to any other rights that it might have at law to terminate the Appointment or to accept any breach of this Agreement by the Employee as having brought the Agreement to an end. Any delay by the Company in exercising its rights to terminate shall not constitute a waiver thereof.</w:t>
      </w:r>
    </w:p>
    <w:p>
      <w:pPr>
        <w:spacing w:after="0" w:line="200" w:lineRule="exact"/>
        <w:rPr>
          <w:sz w:val="20"/>
          <w:szCs w:val="20"/>
          <w:color w:val="auto"/>
        </w:rPr>
      </w:pPr>
    </w:p>
    <w:p>
      <w:pPr>
        <w:spacing w:after="0" w:line="329" w:lineRule="exact"/>
        <w:rPr>
          <w:sz w:val="20"/>
          <w:szCs w:val="20"/>
          <w:color w:val="auto"/>
        </w:rPr>
      </w:pPr>
    </w:p>
    <w:p>
      <w:pPr>
        <w:spacing w:after="0"/>
        <w:tabs>
          <w:tab w:leader="none" w:pos="4760" w:val="left"/>
          <w:tab w:leader="none" w:pos="1014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15</w:t>
      </w:r>
    </w:p>
    <w:p>
      <w:pPr>
        <w:sectPr>
          <w:pgSz w:w="11900" w:h="16838" w:orient="portrait"/>
          <w:cols w:equalWidth="0" w:num="1">
            <w:col w:w="11380"/>
          </w:cols>
          <w:pgMar w:left="280" w:top="768" w:right="239" w:bottom="1440" w:gutter="0" w:footer="0" w:header="0"/>
        </w:sectPr>
      </w:pPr>
    </w:p>
    <w:bookmarkStart w:id="219" w:name="page220"/>
    <w:bookmarkEnd w:id="219"/>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18.6</w:t>
        <w:tab/>
        <w:t>Should the employee become incapacitated during the notice period, as a result of voluntary resignation, the company sick pay will be discretionary. However the employee will be entitled to statutory sick pay under government legislation.</w:t>
      </w:r>
    </w:p>
    <w:p>
      <w:pPr>
        <w:spacing w:after="0" w:line="128"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Garden leave</w:t>
      </w:r>
    </w:p>
    <w:p>
      <w:pPr>
        <w:spacing w:after="0" w:line="19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2"/>
          <w:szCs w:val="22"/>
          <w:color w:val="auto"/>
        </w:rPr>
        <w:t>19.1</w:t>
        <w:tab/>
        <w:t>Following service of notice to terminate the Appointment by either party, or if the Employee purports to terminate the Appointment in breach of contract, and, if the Company so decides, at any time during the Appointment or in order to investigate a reasonable belief that the Employee is guilty of gross misconduct, the Company may by written notice require the Employee not to perform any services (or to perform only specified services) for the Company or any Group Company until the termination of the Appointment (such period to be referred to as “Garden Leave”).</w:t>
      </w:r>
    </w:p>
    <w:p>
      <w:pPr>
        <w:spacing w:after="0" w:line="15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19.2</w:t>
        <w:tab/>
        <w:t>During any period of Garden Leave the Company shall be under no obligation to provide any work to, or vest any powers in, the Employee, who shall have no right to perform any services for the Company or any Group Company.</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1"/>
          <w:szCs w:val="21"/>
          <w:color w:val="auto"/>
        </w:rPr>
        <w:t>During any period of Garden Leave the Employee shall:</w:t>
      </w:r>
    </w:p>
    <w:p>
      <w:pPr>
        <w:spacing w:after="0" w:line="166" w:lineRule="exact"/>
        <w:rPr>
          <w:sz w:val="20"/>
          <w:szCs w:val="20"/>
          <w:color w:val="auto"/>
        </w:rPr>
      </w:pPr>
    </w:p>
    <w:p>
      <w:pPr>
        <w:ind w:left="1620" w:hanging="640"/>
        <w:spacing w:after="0" w:line="249" w:lineRule="auto"/>
        <w:tabs>
          <w:tab w:leader="none" w:pos="16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continue to receive her salary and all contractual benefits in the usual way and subject to the terms of any benefit arrangement;</w:t>
      </w:r>
    </w:p>
    <w:p>
      <w:pPr>
        <w:spacing w:after="0" w:line="150"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remain an employee of the Company and bound by the terms of this Agreement and her implied duties;</w:t>
      </w:r>
    </w:p>
    <w:p>
      <w:pPr>
        <w:spacing w:after="0" w:line="150" w:lineRule="exact"/>
        <w:rPr>
          <w:rFonts w:ascii="Arial" w:cs="Arial" w:eastAsia="Arial" w:hAnsi="Arial"/>
          <w:sz w:val="22"/>
          <w:szCs w:val="22"/>
          <w:color w:val="auto"/>
        </w:rPr>
      </w:pPr>
    </w:p>
    <w:p>
      <w:pPr>
        <w:ind w:left="1620" w:hanging="640"/>
        <w:spacing w:after="0" w:line="249" w:lineRule="auto"/>
        <w:tabs>
          <w:tab w:leader="none" w:pos="16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 without the prior written consent of the Employee’s manager, attend her place of work or any other premises of the Company or any Group Company;</w:t>
      </w:r>
    </w:p>
    <w:p>
      <w:pPr>
        <w:spacing w:after="0" w:line="150"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 without the prior written consent of her manager, contact or deal with (or attempt to contact or deal with) any officer, employee, consultant, client, customer, supplier, agent, distributor, shareholder, adviser or other business contact of the Company or any Group Company; and</w:t>
      </w:r>
    </w:p>
    <w:p>
      <w:pPr>
        <w:spacing w:after="0" w:line="153"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during any periods taken as holiday in the usual way) ensure that her manager knows where she will be and how she can be contacted during each working day and shall comply with any written requests to contact a specified employee of the Company at specified intervals.</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4800" w:val="left"/>
          <w:tab w:leader="none" w:pos="1018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16</w:t>
      </w:r>
    </w:p>
    <w:p>
      <w:pPr>
        <w:sectPr>
          <w:pgSz w:w="11900" w:h="16838" w:orient="portrait"/>
          <w:cols w:equalWidth="0" w:num="1">
            <w:col w:w="11420"/>
          </w:cols>
          <w:pgMar w:left="240" w:top="768" w:right="239" w:bottom="1440" w:gutter="0" w:footer="0" w:header="0"/>
        </w:sectPr>
      </w:pPr>
    </w:p>
    <w:bookmarkStart w:id="220" w:name="page221"/>
    <w:bookmarkEnd w:id="220"/>
    <w:p>
      <w:pPr>
        <w:ind w:left="652" w:hanging="652"/>
        <w:spacing w:after="0"/>
        <w:tabs>
          <w:tab w:leader="none" w:pos="652"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Obligations upon termination</w:t>
      </w:r>
    </w:p>
    <w:p>
      <w:pPr>
        <w:spacing w:after="0" w:line="192" w:lineRule="exact"/>
        <w:rPr>
          <w:sz w:val="20"/>
          <w:szCs w:val="20"/>
          <w:color w:val="auto"/>
        </w:rPr>
      </w:pPr>
    </w:p>
    <w:p>
      <w:pPr>
        <w:ind w:left="652" w:hanging="647"/>
        <w:spacing w:after="0" w:line="249" w:lineRule="auto"/>
        <w:tabs>
          <w:tab w:leader="none" w:pos="632" w:val="left"/>
        </w:tabs>
        <w:rPr>
          <w:sz w:val="20"/>
          <w:szCs w:val="20"/>
          <w:color w:val="auto"/>
        </w:rPr>
      </w:pPr>
      <w:r>
        <w:rPr>
          <w:rFonts w:ascii="Arial" w:cs="Arial" w:eastAsia="Arial" w:hAnsi="Arial"/>
          <w:sz w:val="22"/>
          <w:szCs w:val="22"/>
          <w:color w:val="auto"/>
        </w:rPr>
        <w:t>20.1</w:t>
        <w:tab/>
        <w:t>On termination of the Appointment (howsoever arising) or, if earlier, at the start of a period of Garden Leave, or at any other time at the request of the Company, the Employee shall:</w:t>
      </w:r>
    </w:p>
    <w:p>
      <w:pPr>
        <w:spacing w:after="0" w:line="150" w:lineRule="exact"/>
        <w:rPr>
          <w:sz w:val="20"/>
          <w:szCs w:val="20"/>
          <w:color w:val="auto"/>
        </w:rPr>
      </w:pPr>
    </w:p>
    <w:p>
      <w:pPr>
        <w:jc w:val="both"/>
        <w:ind w:left="1612" w:hanging="640"/>
        <w:spacing w:after="0" w:line="244" w:lineRule="auto"/>
        <w:tabs>
          <w:tab w:leader="none" w:pos="16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subject to clause 20.1(b) if applicable, immediately deliver to the Company all documents, books, materials, records, correspondence, papers and information (on whatever media and wherever located) relating to the business or affairs of the Company or any Group Company or their business contacts, any keys, credit card and any other property of the Company or any Group Company (including but not limited to laptop, computer equipment, and mobile phone), which is in her possession or under her control;</w:t>
      </w:r>
    </w:p>
    <w:p>
      <w:pPr>
        <w:spacing w:after="0" w:line="158" w:lineRule="exact"/>
        <w:rPr>
          <w:rFonts w:ascii="Arial" w:cs="Arial" w:eastAsia="Arial" w:hAnsi="Arial"/>
          <w:sz w:val="22"/>
          <w:szCs w:val="22"/>
          <w:color w:val="auto"/>
        </w:rPr>
      </w:pPr>
    </w:p>
    <w:p>
      <w:pPr>
        <w:ind w:left="1612" w:hanging="640"/>
        <w:spacing w:after="0" w:line="249" w:lineRule="auto"/>
        <w:tabs>
          <w:tab w:leader="none" w:pos="16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where the Employee is on Garden Leave she shall not be required to return to the Company any property provided to her as a contractual benefit;</w:t>
      </w:r>
    </w:p>
    <w:p>
      <w:pPr>
        <w:spacing w:after="0" w:line="150" w:lineRule="exact"/>
        <w:rPr>
          <w:rFonts w:ascii="Arial" w:cs="Arial" w:eastAsia="Arial" w:hAnsi="Arial"/>
          <w:sz w:val="22"/>
          <w:szCs w:val="22"/>
          <w:color w:val="auto"/>
        </w:rPr>
      </w:pPr>
    </w:p>
    <w:p>
      <w:pPr>
        <w:jc w:val="both"/>
        <w:ind w:left="1612" w:hanging="640"/>
        <w:spacing w:after="0" w:line="245" w:lineRule="auto"/>
        <w:tabs>
          <w:tab w:leader="none" w:pos="16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irretrievably delete any information relating to the business of the Company or any Group Company stored on any magnetic or optical disk or memory and all matter derived from such sources which is in her possession or under her control outside the Company’s premises, including but not limited to any personally-owned computer, laptop, mobile phone, or other electronic system or device;</w:t>
      </w:r>
    </w:p>
    <w:p>
      <w:pPr>
        <w:spacing w:after="0" w:line="155" w:lineRule="exact"/>
        <w:rPr>
          <w:rFonts w:ascii="Arial" w:cs="Arial" w:eastAsia="Arial" w:hAnsi="Arial"/>
          <w:sz w:val="22"/>
          <w:szCs w:val="22"/>
          <w:color w:val="auto"/>
        </w:rPr>
      </w:pPr>
    </w:p>
    <w:p>
      <w:pPr>
        <w:jc w:val="both"/>
        <w:ind w:left="1612" w:hanging="640"/>
        <w:spacing w:after="0" w:line="246" w:lineRule="auto"/>
        <w:tabs>
          <w:tab w:leader="none" w:pos="16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irretrievably delete all of the Employee’s electronic personal information and personal files (which contain no information of the Company or any Group Company) from the Company’s electronic devices (such as Company-provided laptop); and</w:t>
      </w:r>
    </w:p>
    <w:p>
      <w:pPr>
        <w:spacing w:after="0" w:line="153" w:lineRule="exact"/>
        <w:rPr>
          <w:rFonts w:ascii="Arial" w:cs="Arial" w:eastAsia="Arial" w:hAnsi="Arial"/>
          <w:sz w:val="22"/>
          <w:szCs w:val="22"/>
          <w:color w:val="auto"/>
        </w:rPr>
      </w:pPr>
    </w:p>
    <w:p>
      <w:pPr>
        <w:ind w:left="1612" w:hanging="640"/>
        <w:spacing w:after="0"/>
        <w:tabs>
          <w:tab w:leader="none" w:pos="16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provide a signed statement that she has complied fully with her obligations under this clause 20.1.</w:t>
      </w:r>
    </w:p>
    <w:p>
      <w:pPr>
        <w:spacing w:after="0" w:line="166"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20.2</w:t>
        <w:tab/>
        <w:t>On termination of the Appointment howsoever arising the Employee agrees that she shall not be entitled to any compensation of any kind for the loss of any rights or benefits under any share option, bonus, long-term incentive plan or other profit sharing scheme operated by the Company or any Group Company in which she may participate or have received awards in connection with the Appointment.</w:t>
      </w:r>
    </w:p>
    <w:p>
      <w:pPr>
        <w:spacing w:after="0" w:line="130" w:lineRule="exact"/>
        <w:rPr>
          <w:sz w:val="20"/>
          <w:szCs w:val="20"/>
          <w:color w:val="auto"/>
        </w:rPr>
      </w:pPr>
    </w:p>
    <w:p>
      <w:pPr>
        <w:ind w:left="652" w:hanging="652"/>
        <w:spacing w:after="0"/>
        <w:tabs>
          <w:tab w:leader="none" w:pos="652"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Post-termination restrictions</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21.1</w:t>
        <w:tab/>
        <w:t>In order to protect the Confidential Information, trade secrets, goodwill and business connections of the Company and each Group Company to which she has access as a result of the Appointment and the stable workforce of the Company and each Group Company, the Employee covenants with the</w:t>
      </w:r>
    </w:p>
    <w:p>
      <w:pPr>
        <w:spacing w:after="0" w:line="200" w:lineRule="exact"/>
        <w:rPr>
          <w:sz w:val="20"/>
          <w:szCs w:val="20"/>
          <w:color w:val="auto"/>
        </w:rPr>
      </w:pPr>
    </w:p>
    <w:p>
      <w:pPr>
        <w:spacing w:after="0" w:line="327"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17</w:t>
      </w:r>
    </w:p>
    <w:p>
      <w:pPr>
        <w:sectPr>
          <w:pgSz w:w="11900" w:h="16838" w:orient="portrait"/>
          <w:cols w:equalWidth="0" w:num="1">
            <w:col w:w="11412"/>
          </w:cols>
          <w:pgMar w:left="248" w:top="742"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22"/>
          <w:szCs w:val="22"/>
          <w:color w:val="auto"/>
        </w:rPr>
        <w:t>Company (for itself and as trustee and agent for each Group Company) that she shall not:</w:t>
      </w:r>
    </w:p>
    <w:p>
      <w:pPr>
        <w:spacing w:after="0" w:line="166" w:lineRule="exact"/>
        <w:rPr>
          <w:sz w:val="20"/>
          <w:szCs w:val="20"/>
          <w:color w:val="auto"/>
        </w:rPr>
      </w:pPr>
    </w:p>
    <w:p>
      <w:pPr>
        <w:jc w:val="both"/>
        <w:ind w:left="1620" w:hanging="640"/>
        <w:spacing w:after="0" w:line="246" w:lineRule="auto"/>
        <w:tabs>
          <w:tab w:leader="none" w:pos="16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for six months after Termination solicit or endeavour to entice away from the Company or any Group Company the business or custom of a Restricted Customer with a view to providing goods or services to that Restricted Customer in competition with any Restricted Business; or</w:t>
      </w:r>
    </w:p>
    <w:p>
      <w:pPr>
        <w:spacing w:after="0" w:line="153"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for six months after Termination in the course of any business concern which is in competition with any Restricted Business, offer to employ or engage or otherwise endeavour to entice away from the Company or any Group Company any Restricted Person; or</w:t>
      </w:r>
    </w:p>
    <w:p>
      <w:pPr>
        <w:spacing w:after="0" w:line="153" w:lineRule="exact"/>
        <w:rPr>
          <w:rFonts w:ascii="Arial" w:cs="Arial" w:eastAsia="Arial" w:hAnsi="Arial"/>
          <w:sz w:val="22"/>
          <w:szCs w:val="22"/>
          <w:color w:val="auto"/>
        </w:rPr>
      </w:pPr>
    </w:p>
    <w:p>
      <w:pPr>
        <w:ind w:left="1620" w:right="20" w:hanging="640"/>
        <w:spacing w:after="0" w:line="249" w:lineRule="auto"/>
        <w:tabs>
          <w:tab w:leader="none" w:pos="16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for three months after Termination, be involved in any Capacity with any business concern which is (or intends to be) in competition with any Restricted Business; or</w:t>
      </w:r>
    </w:p>
    <w:p>
      <w:pPr>
        <w:spacing w:after="0" w:line="150"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for three months after Termination be involved with the provision of goods or services to (or otherwise have any business dealings with) any Restricted Customer in the course of any business concern which is in competition with any Restricted Business; or</w:t>
      </w:r>
    </w:p>
    <w:p>
      <w:pPr>
        <w:spacing w:after="0" w:line="153"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at any time after Termination, represent herself as connected with the Company or any Group Company in any Capacity (with the exception of the Employee’s connection as a shareholder of Jazz Pharmaceuticals plc, to the extent applicable).</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None of the restrictions in clause 21.1 shall prevent the Employee from:</w:t>
      </w:r>
    </w:p>
    <w:p>
      <w:pPr>
        <w:spacing w:after="0" w:line="166" w:lineRule="exact"/>
        <w:rPr>
          <w:sz w:val="20"/>
          <w:szCs w:val="20"/>
          <w:color w:val="auto"/>
        </w:rPr>
      </w:pPr>
    </w:p>
    <w:p>
      <w:pPr>
        <w:jc w:val="both"/>
        <w:ind w:left="1620" w:right="20" w:hanging="640"/>
        <w:spacing w:after="0" w:line="272" w:lineRule="auto"/>
        <w:tabs>
          <w:tab w:leader="none" w:pos="16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holding an investment by way of shares or other securities of not more than 5% of the total issued share capital of any company, whether or not it is listed or dealt in on a recognised stock exchange; or</w:t>
      </w:r>
    </w:p>
    <w:p>
      <w:pPr>
        <w:spacing w:after="0" w:line="127" w:lineRule="exact"/>
        <w:rPr>
          <w:rFonts w:ascii="Arial" w:cs="Arial" w:eastAsia="Arial" w:hAnsi="Arial"/>
          <w:sz w:val="21"/>
          <w:szCs w:val="21"/>
          <w:color w:val="auto"/>
        </w:rPr>
      </w:pPr>
    </w:p>
    <w:p>
      <w:pPr>
        <w:jc w:val="both"/>
        <w:ind w:left="1620" w:hanging="640"/>
        <w:spacing w:after="0" w:line="246" w:lineRule="auto"/>
        <w:tabs>
          <w:tab w:leader="none" w:pos="16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being engaged or concerned in any business concern insofar as the Employee’s duties or work shall relate solely to geographical areas where the business concern is not in competition with any Restricted Business; or</w:t>
      </w:r>
    </w:p>
    <w:p>
      <w:pPr>
        <w:spacing w:after="0" w:line="153" w:lineRule="exact"/>
        <w:rPr>
          <w:rFonts w:ascii="Arial" w:cs="Arial" w:eastAsia="Arial" w:hAnsi="Arial"/>
          <w:sz w:val="22"/>
          <w:szCs w:val="22"/>
          <w:color w:val="auto"/>
        </w:rPr>
      </w:pPr>
    </w:p>
    <w:p>
      <w:pPr>
        <w:jc w:val="both"/>
        <w:ind w:left="1620" w:hanging="640"/>
        <w:spacing w:after="0" w:line="246" w:lineRule="auto"/>
        <w:tabs>
          <w:tab w:leader="none" w:pos="16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being engaged or concerned in any business concern, provided that the Employee’s duties or work shall relate solely to services or activities of a kind with which the Employee was not concerned to a material extent in the six months prior to Termination.</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color w:val="auto"/>
        </w:rPr>
        <w:t>The restrictions imposed on the Employee by this clause 21 apply to her acting:</w:t>
      </w:r>
    </w:p>
    <w:p>
      <w:pPr>
        <w:spacing w:after="0" w:line="166" w:lineRule="exact"/>
        <w:rPr>
          <w:sz w:val="20"/>
          <w:szCs w:val="20"/>
          <w:color w:val="auto"/>
        </w:rPr>
      </w:pPr>
    </w:p>
    <w:p>
      <w:pPr>
        <w:ind w:left="1620" w:hanging="640"/>
        <w:spacing w:after="0"/>
        <w:tabs>
          <w:tab w:leader="none" w:pos="16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directly or indirectly; and</w:t>
      </w:r>
    </w:p>
    <w:p>
      <w:pPr>
        <w:spacing w:after="0" w:line="200" w:lineRule="exact"/>
        <w:rPr>
          <w:sz w:val="20"/>
          <w:szCs w:val="20"/>
          <w:color w:val="auto"/>
        </w:rPr>
      </w:pPr>
    </w:p>
    <w:p>
      <w:pPr>
        <w:spacing w:after="0" w:line="339" w:lineRule="exact"/>
        <w:rPr>
          <w:sz w:val="20"/>
          <w:szCs w:val="20"/>
          <w:color w:val="auto"/>
        </w:rPr>
      </w:pPr>
    </w:p>
    <w:p>
      <w:pPr>
        <w:ind w:left="40"/>
        <w:spacing w:after="0"/>
        <w:tabs>
          <w:tab w:leader="none" w:pos="4800" w:val="left"/>
          <w:tab w:leader="none" w:pos="1018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18</w:t>
      </w:r>
    </w:p>
    <w:p>
      <w:pPr>
        <w:sectPr>
          <w:pgSz w:w="11900" w:h="16838" w:orient="portrait"/>
          <w:cols w:equalWidth="0" w:num="1">
            <w:col w:w="11420"/>
          </w:cols>
          <w:pgMar w:left="240" w:top="768" w:right="239" w:bottom="1440" w:gutter="0" w:footer="0" w:header="0"/>
        </w:sectPr>
      </w:pPr>
    </w:p>
    <w:bookmarkStart w:id="222" w:name="page223"/>
    <w:bookmarkEnd w:id="222"/>
    <w:p>
      <w:pPr>
        <w:ind w:left="1612" w:hanging="640"/>
        <w:spacing w:after="0"/>
        <w:tabs>
          <w:tab w:leader="none" w:pos="161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on her own behalf or on behalf of, or in conjunction with, any firm, company or person.</w:t>
      </w:r>
    </w:p>
    <w:p>
      <w:pPr>
        <w:spacing w:after="0" w:line="166"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21.4</w:t>
        <w:tab/>
        <w:t>The periods for which the restrictions in clause 21.1 apply shall be reduced by any period that the Employee spends on Garden Leave immediately prior to Termination.</w:t>
      </w:r>
    </w:p>
    <w:p>
      <w:pPr>
        <w:spacing w:after="0" w:line="150"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21.5</w:t>
        <w:tab/>
        <w:t>If the Employee receives an offer to be involved in a business concern in any Capacity during the Appointment, or prior to the expiry of the last of the covenants in this clause 21, the Employee shall give the person making the offer a copy of this clause 21 and shall tell the Company the identity of that person as soon as possible after accepting the offer.</w:t>
      </w:r>
    </w:p>
    <w:p>
      <w:pPr>
        <w:spacing w:after="0" w:line="156"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21.6</w:t>
        <w:tab/>
        <w:t>The Company and the Employee entered into the restrictions in this clause 21 having been separately legally advised and the Employee agrees they are fair, reasonable and necessary to protect the goodwill and interests of the Company and the Group Companies.</w:t>
      </w:r>
    </w:p>
    <w:p>
      <w:pPr>
        <w:spacing w:after="0" w:line="154"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21.7</w:t>
        <w:tab/>
        <w:t>Each of the restrictions in this clause 21 is intended to be separate and severable. If any of the restrictions shall be held to be void but would be valid if part of their wording were deleted, such restriction shall apply with such deletion as may be necessary to make it valid or effective.</w:t>
      </w:r>
    </w:p>
    <w:p>
      <w:pPr>
        <w:spacing w:after="0" w:line="154"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21.8</w:t>
        <w:tab/>
        <w:t>The Employee will, at the request and expense of the Company, enter into a separate agreement with any Group Company in which she agrees to be bound by restrictions corresponding to those restrictions in this clause 21 (or such of those restrictions as may be appropriate) in relation to that Group Company.</w:t>
      </w:r>
    </w:p>
    <w:p>
      <w:pPr>
        <w:spacing w:after="0" w:line="128" w:lineRule="exact"/>
        <w:rPr>
          <w:sz w:val="20"/>
          <w:szCs w:val="20"/>
          <w:color w:val="auto"/>
        </w:rPr>
      </w:pPr>
    </w:p>
    <w:p>
      <w:pPr>
        <w:ind w:left="652" w:hanging="652"/>
        <w:spacing w:after="0"/>
        <w:tabs>
          <w:tab w:leader="none" w:pos="652"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and grievance procedures</w:t>
      </w:r>
    </w:p>
    <w:p>
      <w:pPr>
        <w:spacing w:after="0" w:line="19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22.1</w:t>
        <w:tab/>
        <w:t>The Employee is subject to the Company’s disciplinary and grievance procedures as amended from time to time, copies of which are available from the Human Resources Department. These procedures do not form part of the Employee’s contract of employment.</w:t>
      </w:r>
    </w:p>
    <w:p>
      <w:pPr>
        <w:spacing w:after="0" w:line="154" w:lineRule="exact"/>
        <w:rPr>
          <w:sz w:val="20"/>
          <w:szCs w:val="20"/>
          <w:color w:val="auto"/>
        </w:rPr>
      </w:pPr>
    </w:p>
    <w:p>
      <w:pPr>
        <w:jc w:val="both"/>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22.2</w:t>
        <w:tab/>
        <w:t>If the Employee wishes to appeal against a disciplinary decision she may do so in accordance with the Company’s disciplinary procedure.</w:t>
      </w:r>
    </w:p>
    <w:p>
      <w:pPr>
        <w:spacing w:after="0" w:line="150"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1"/>
          <w:szCs w:val="21"/>
          <w:color w:val="auto"/>
        </w:rPr>
        <w:t>The Company may at any time suspend the Employee for a period of up to 20 working days during any period in which the Company is carrying out a disciplinary investigation into any alleged acts or defaults of the Employee. During any period of suspension the Employee shall continue to receive her salary and contractual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19</w:t>
      </w:r>
    </w:p>
    <w:p>
      <w:pPr>
        <w:sectPr>
          <w:pgSz w:w="11900" w:h="16838" w:orient="portrait"/>
          <w:cols w:equalWidth="0" w:num="1">
            <w:col w:w="11412"/>
          </w:cols>
          <w:pgMar w:left="248" w:top="768" w:right="239" w:bottom="1440" w:gutter="0" w:footer="0" w:header="0"/>
        </w:sectPr>
      </w:pPr>
    </w:p>
    <w:bookmarkStart w:id="223" w:name="page224"/>
    <w:bookmarkEnd w:id="223"/>
    <w:p>
      <w:pPr>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22.4</w:t>
        <w:tab/>
        <w:t>If the Employee wishes to raise a grievance, she may apply in writing in accordance with the Company’s grievance procedure.</w:t>
      </w:r>
    </w:p>
    <w:p>
      <w:pPr>
        <w:spacing w:after="0" w:line="124" w:lineRule="exact"/>
        <w:rPr>
          <w:sz w:val="20"/>
          <w:szCs w:val="20"/>
          <w:color w:val="auto"/>
        </w:rPr>
      </w:pPr>
    </w:p>
    <w:p>
      <w:pPr>
        <w:ind w:left="652" w:hanging="652"/>
        <w:spacing w:after="0"/>
        <w:tabs>
          <w:tab w:leader="none" w:pos="652"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Pensions</w:t>
      </w:r>
    </w:p>
    <w:p>
      <w:pPr>
        <w:spacing w:after="0" w:line="192"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color w:val="auto"/>
        </w:rPr>
        <w:t>During each year of the Appointment, the Company shall contribute an amount equal to 8% of the Employee’s salary in equal monthly instalments in arrears to its group personal pension scheme (or such other HM Revenue and Customs (HMRC) registered group personal pension scheme as may be set up by the Company to replace its group personal pension scheme). The Company’s contributions to such scheme shall be subject to the rules of the scheme and the tax relief and exemptions available from HMRC, as amended from time to time.</w:t>
      </w:r>
    </w:p>
    <w:p>
      <w:pPr>
        <w:spacing w:after="0" w:line="142"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2"/>
          <w:szCs w:val="22"/>
          <w:color w:val="auto"/>
        </w:rPr>
        <w:t>23.2</w:t>
        <w:tab/>
        <w:t>The Employee may contribute an agreed percentage, but at least 1%, of the Employee’s salary, in equal monthly instalments in arrears, to the scheme. Such contributions by the Employee shall be made by way of deduction from the Employee’s salary.</w:t>
      </w:r>
    </w:p>
    <w:p>
      <w:pPr>
        <w:spacing w:after="0" w:line="128" w:lineRule="exact"/>
        <w:rPr>
          <w:sz w:val="20"/>
          <w:szCs w:val="20"/>
          <w:color w:val="auto"/>
        </w:rPr>
      </w:pPr>
    </w:p>
    <w:p>
      <w:pPr>
        <w:ind w:left="652" w:hanging="652"/>
        <w:spacing w:after="0"/>
        <w:tabs>
          <w:tab w:leader="none" w:pos="652"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Reconstruction and amalgamation</w:t>
      </w:r>
    </w:p>
    <w:p>
      <w:pPr>
        <w:spacing w:after="0" w:line="191" w:lineRule="exact"/>
        <w:rPr>
          <w:rFonts w:ascii="Arial" w:cs="Arial" w:eastAsia="Arial" w:hAnsi="Arial"/>
          <w:sz w:val="22"/>
          <w:szCs w:val="22"/>
          <w:b w:val="1"/>
          <w:bCs w:val="1"/>
          <w:color w:val="auto"/>
        </w:rPr>
      </w:pPr>
    </w:p>
    <w:p>
      <w:pPr>
        <w:jc w:val="both"/>
        <w:ind w:left="652"/>
        <w:spacing w:after="0" w:line="244" w:lineRule="auto"/>
        <w:rPr>
          <w:rFonts w:ascii="Arial" w:cs="Arial" w:eastAsia="Arial" w:hAnsi="Arial"/>
          <w:sz w:val="22"/>
          <w:szCs w:val="22"/>
          <w:b w:val="1"/>
          <w:bCs w:val="1"/>
          <w:color w:val="auto"/>
        </w:rPr>
      </w:pPr>
      <w:r>
        <w:rPr>
          <w:rFonts w:ascii="Arial" w:cs="Arial" w:eastAsia="Arial" w:hAnsi="Arial"/>
          <w:sz w:val="22"/>
          <w:szCs w:val="22"/>
          <w:color w:val="auto"/>
        </w:rPr>
        <w:t>If the Appointment is terminated at any time by reason of any reconstruction or amalgamation of the Company or any Group Company, whether by winding up or otherwise, and the Employee is offered employment with any concern or undertaking involved in or resulting from such reconstruction or amalgamation on terms which (considered in their entirety) are no less favourable to any material extent than the terms of this Agreement, the Employee shall have no claim against the Company or any such undertaking arising out of or connected with such termination.</w:t>
      </w:r>
    </w:p>
    <w:p>
      <w:pPr>
        <w:spacing w:after="0" w:line="132" w:lineRule="exact"/>
        <w:rPr>
          <w:rFonts w:ascii="Arial" w:cs="Arial" w:eastAsia="Arial" w:hAnsi="Arial"/>
          <w:sz w:val="22"/>
          <w:szCs w:val="22"/>
          <w:b w:val="1"/>
          <w:bCs w:val="1"/>
          <w:color w:val="auto"/>
        </w:rPr>
      </w:pPr>
    </w:p>
    <w:p>
      <w:pPr>
        <w:ind w:left="652" w:hanging="652"/>
        <w:spacing w:after="0"/>
        <w:tabs>
          <w:tab w:leader="none" w:pos="652"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92" w:lineRule="exact"/>
        <w:rPr>
          <w:sz w:val="20"/>
          <w:szCs w:val="20"/>
          <w:color w:val="auto"/>
        </w:rPr>
      </w:pPr>
    </w:p>
    <w:p>
      <w:pPr>
        <w:jc w:val="both"/>
        <w:ind w:left="652" w:hanging="647"/>
        <w:spacing w:after="0" w:line="245" w:lineRule="auto"/>
        <w:tabs>
          <w:tab w:leader="none" w:pos="632" w:val="left"/>
        </w:tabs>
        <w:rPr>
          <w:sz w:val="20"/>
          <w:szCs w:val="20"/>
          <w:color w:val="auto"/>
        </w:rPr>
      </w:pPr>
      <w:r>
        <w:rPr>
          <w:rFonts w:ascii="Arial" w:cs="Arial" w:eastAsia="Arial" w:hAnsi="Arial"/>
          <w:sz w:val="22"/>
          <w:szCs w:val="22"/>
          <w:color w:val="auto"/>
        </w:rPr>
        <w:t>25.1</w:t>
        <w:tab/>
        <w:t>Any notice given under this Agreement shall be in writing and signed by or on behalf of the party giving it and shall be served by delivering it personally, or sending it by pre-paid recorded delivery or registered post to the relevant party at (in the case of the Company) its registered office for the time being and (in the case of the Employee) her last known address. Any such notice shall be deemed to have been received:</w:t>
      </w:r>
    </w:p>
    <w:p>
      <w:pPr>
        <w:spacing w:after="0" w:line="156" w:lineRule="exact"/>
        <w:rPr>
          <w:sz w:val="20"/>
          <w:szCs w:val="20"/>
          <w:color w:val="auto"/>
        </w:rPr>
      </w:pPr>
    </w:p>
    <w:p>
      <w:pPr>
        <w:ind w:left="1612" w:hanging="640"/>
        <w:spacing w:after="0"/>
        <w:tabs>
          <w:tab w:leader="none" w:pos="161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delivered personally, at the time of delivery; and</w:t>
      </w:r>
    </w:p>
    <w:p>
      <w:pPr>
        <w:spacing w:after="0" w:line="165" w:lineRule="exact"/>
        <w:rPr>
          <w:rFonts w:ascii="Arial" w:cs="Arial" w:eastAsia="Arial" w:hAnsi="Arial"/>
          <w:sz w:val="22"/>
          <w:szCs w:val="22"/>
          <w:color w:val="auto"/>
        </w:rPr>
      </w:pPr>
    </w:p>
    <w:p>
      <w:pPr>
        <w:ind w:left="1612" w:hanging="640"/>
        <w:spacing w:after="0"/>
        <w:tabs>
          <w:tab w:leader="none" w:pos="1612"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in the case of pre-paid recorded delivery or registered post, 48 hours from the date of posting.</w:t>
      </w:r>
    </w:p>
    <w:p>
      <w:pPr>
        <w:spacing w:after="0" w:line="166" w:lineRule="exact"/>
        <w:rPr>
          <w:sz w:val="20"/>
          <w:szCs w:val="20"/>
          <w:color w:val="auto"/>
        </w:rPr>
      </w:pPr>
    </w:p>
    <w:p>
      <w:pPr>
        <w:ind w:left="652" w:right="20" w:hanging="647"/>
        <w:spacing w:after="0" w:line="249" w:lineRule="auto"/>
        <w:tabs>
          <w:tab w:leader="none" w:pos="632" w:val="left"/>
        </w:tabs>
        <w:rPr>
          <w:sz w:val="20"/>
          <w:szCs w:val="20"/>
          <w:color w:val="auto"/>
        </w:rPr>
      </w:pPr>
      <w:r>
        <w:rPr>
          <w:rFonts w:ascii="Arial" w:cs="Arial" w:eastAsia="Arial" w:hAnsi="Arial"/>
          <w:sz w:val="22"/>
          <w:szCs w:val="22"/>
          <w:color w:val="auto"/>
        </w:rPr>
        <w:t>25.2</w:t>
        <w:tab/>
        <w:t>In proving such service it shall be sufficient to prove that the envelope containing such notice was addressed to the address of the relevant party</w:t>
      </w:r>
    </w:p>
    <w:p>
      <w:pPr>
        <w:spacing w:after="0" w:line="200" w:lineRule="exact"/>
        <w:rPr>
          <w:sz w:val="20"/>
          <w:szCs w:val="20"/>
          <w:color w:val="auto"/>
        </w:rPr>
      </w:pPr>
    </w:p>
    <w:p>
      <w:pPr>
        <w:spacing w:after="0" w:line="323"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20</w:t>
      </w:r>
    </w:p>
    <w:p>
      <w:pPr>
        <w:sectPr>
          <w:pgSz w:w="11900" w:h="16838" w:orient="portrait"/>
          <w:cols w:equalWidth="0" w:num="1">
            <w:col w:w="11412"/>
          </w:cols>
          <w:pgMar w:left="248" w:top="768" w:right="239" w:bottom="1440" w:gutter="0" w:footer="0" w:header="0"/>
        </w:sectPr>
      </w:pPr>
    </w:p>
    <w:bookmarkStart w:id="224" w:name="page225"/>
    <w:bookmarkEnd w:id="224"/>
    <w:p>
      <w:pPr>
        <w:ind w:left="652"/>
        <w:spacing w:after="0" w:line="249" w:lineRule="auto"/>
        <w:rPr>
          <w:sz w:val="20"/>
          <w:szCs w:val="20"/>
          <w:color w:val="auto"/>
        </w:rPr>
      </w:pPr>
      <w:r>
        <w:rPr>
          <w:rFonts w:ascii="Arial" w:cs="Arial" w:eastAsia="Arial" w:hAnsi="Arial"/>
          <w:sz w:val="22"/>
          <w:szCs w:val="22"/>
          <w:color w:val="auto"/>
        </w:rPr>
        <w:t>and delivered either to that address or into the custody of the postal authorities as a pre-paid recorded delivery or registered post.</w:t>
      </w:r>
    </w:p>
    <w:p>
      <w:pPr>
        <w:spacing w:after="0" w:line="124" w:lineRule="exact"/>
        <w:rPr>
          <w:sz w:val="20"/>
          <w:szCs w:val="20"/>
          <w:color w:val="auto"/>
        </w:rPr>
      </w:pPr>
    </w:p>
    <w:p>
      <w:pPr>
        <w:ind w:left="652" w:hanging="652"/>
        <w:spacing w:after="0"/>
        <w:tabs>
          <w:tab w:leader="none" w:pos="652"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91" w:lineRule="exact"/>
        <w:rPr>
          <w:rFonts w:ascii="Arial" w:cs="Arial" w:eastAsia="Arial" w:hAnsi="Arial"/>
          <w:sz w:val="22"/>
          <w:szCs w:val="22"/>
          <w:b w:val="1"/>
          <w:bCs w:val="1"/>
          <w:color w:val="auto"/>
        </w:rPr>
      </w:pPr>
    </w:p>
    <w:p>
      <w:pPr>
        <w:jc w:val="both"/>
        <w:ind w:left="652"/>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Each party on behalf of itself (and in the case of the Company, as agent for any Group Companies) acknowledges and agrees with the other party (the Company acting on behalf of itself and as agent for each Group Company) that:</w:t>
      </w:r>
    </w:p>
    <w:p>
      <w:pPr>
        <w:spacing w:after="0" w:line="153" w:lineRule="exact"/>
        <w:rPr>
          <w:rFonts w:ascii="Arial" w:cs="Arial" w:eastAsia="Arial" w:hAnsi="Arial"/>
          <w:sz w:val="22"/>
          <w:szCs w:val="22"/>
          <w:b w:val="1"/>
          <w:bCs w:val="1"/>
          <w:color w:val="auto"/>
        </w:rPr>
      </w:pPr>
    </w:p>
    <w:p>
      <w:pPr>
        <w:jc w:val="both"/>
        <w:ind w:left="1612" w:hanging="640"/>
        <w:spacing w:after="0" w:line="245" w:lineRule="auto"/>
        <w:tabs>
          <w:tab w:leader="none" w:pos="1612"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this Agreement together with any documents referred to in it constitute the entire agreement and understanding between the Employee and the Company and any Group Company and supersedes any previous agreement between them relating to the Appointment (which shall be deemed to have been terminated by mutual consent);</w:t>
      </w:r>
    </w:p>
    <w:p>
      <w:pPr>
        <w:spacing w:after="0" w:line="155" w:lineRule="exact"/>
        <w:rPr>
          <w:rFonts w:ascii="Arial" w:cs="Arial" w:eastAsia="Arial" w:hAnsi="Arial"/>
          <w:sz w:val="22"/>
          <w:szCs w:val="22"/>
          <w:color w:val="auto"/>
        </w:rPr>
      </w:pPr>
    </w:p>
    <w:p>
      <w:pPr>
        <w:ind w:left="1612" w:right="20" w:hanging="640"/>
        <w:spacing w:after="0" w:line="249" w:lineRule="auto"/>
        <w:tabs>
          <w:tab w:leader="none" w:pos="1612" w:val="left"/>
        </w:tabs>
        <w:numPr>
          <w:ilvl w:val="1"/>
          <w:numId w:val="167"/>
        </w:numPr>
        <w:rPr>
          <w:rFonts w:ascii="Arial" w:cs="Arial" w:eastAsia="Arial" w:hAnsi="Arial"/>
          <w:sz w:val="22"/>
          <w:szCs w:val="22"/>
          <w:color w:val="auto"/>
        </w:rPr>
      </w:pPr>
      <w:r>
        <w:rPr>
          <w:rFonts w:ascii="Arial" w:cs="Arial" w:eastAsia="Arial" w:hAnsi="Arial"/>
          <w:sz w:val="22"/>
          <w:szCs w:val="22"/>
          <w:color w:val="auto"/>
        </w:rPr>
        <w:t>in entering into this Agreement neither party nor any Group Company has relied on any Pre-Contractual Statement; and</w:t>
      </w:r>
    </w:p>
    <w:p>
      <w:pPr>
        <w:spacing w:after="0" w:line="150" w:lineRule="exact"/>
        <w:rPr>
          <w:rFonts w:ascii="Arial" w:cs="Arial" w:eastAsia="Arial" w:hAnsi="Arial"/>
          <w:sz w:val="22"/>
          <w:szCs w:val="22"/>
          <w:color w:val="auto"/>
        </w:rPr>
      </w:pPr>
    </w:p>
    <w:p>
      <w:pPr>
        <w:jc w:val="both"/>
        <w:ind w:left="1612" w:hanging="640"/>
        <w:spacing w:after="0" w:line="246" w:lineRule="auto"/>
        <w:tabs>
          <w:tab w:leader="none" w:pos="1612"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only remedy available to each party for breach of this Agreement shall be for breach of contract under the terms of this Agreement and no party shall have any right of action against any other party in respect of any Pre-Contractual Statement.</w:t>
      </w:r>
    </w:p>
    <w:p>
      <w:pPr>
        <w:spacing w:after="0" w:line="15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Nothing in this Agreement shall, however, operate to limit or exclude any liability for fraud.</w:t>
      </w:r>
    </w:p>
    <w:p>
      <w:pPr>
        <w:spacing w:after="0" w:line="140" w:lineRule="exact"/>
        <w:rPr>
          <w:sz w:val="20"/>
          <w:szCs w:val="20"/>
          <w:color w:val="auto"/>
        </w:rPr>
      </w:pPr>
    </w:p>
    <w:p>
      <w:pPr>
        <w:ind w:left="652" w:hanging="652"/>
        <w:spacing w:after="0"/>
        <w:tabs>
          <w:tab w:leader="none" w:pos="652"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Variation</w:t>
      </w:r>
    </w:p>
    <w:p>
      <w:pPr>
        <w:spacing w:after="0" w:line="191" w:lineRule="exact"/>
        <w:rPr>
          <w:rFonts w:ascii="Arial" w:cs="Arial" w:eastAsia="Arial" w:hAnsi="Arial"/>
          <w:sz w:val="22"/>
          <w:szCs w:val="22"/>
          <w:b w:val="1"/>
          <w:bCs w:val="1"/>
          <w:color w:val="auto"/>
        </w:rPr>
      </w:pPr>
    </w:p>
    <w:p>
      <w:pPr>
        <w:ind w:left="652"/>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No variation of this Agreement shall be valid unless it is in writing and signed by or on behalf of each of the parties.</w:t>
      </w:r>
    </w:p>
    <w:p>
      <w:pPr>
        <w:spacing w:after="0" w:line="124" w:lineRule="exact"/>
        <w:rPr>
          <w:rFonts w:ascii="Arial" w:cs="Arial" w:eastAsia="Arial" w:hAnsi="Arial"/>
          <w:sz w:val="22"/>
          <w:szCs w:val="22"/>
          <w:b w:val="1"/>
          <w:bCs w:val="1"/>
          <w:color w:val="auto"/>
        </w:rPr>
      </w:pPr>
    </w:p>
    <w:p>
      <w:pPr>
        <w:ind w:left="652" w:hanging="652"/>
        <w:spacing w:after="0"/>
        <w:tabs>
          <w:tab w:leader="none" w:pos="652"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91" w:lineRule="exact"/>
        <w:rPr>
          <w:rFonts w:ascii="Arial" w:cs="Arial" w:eastAsia="Arial" w:hAnsi="Arial"/>
          <w:sz w:val="22"/>
          <w:szCs w:val="22"/>
          <w:b w:val="1"/>
          <w:bCs w:val="1"/>
          <w:color w:val="auto"/>
        </w:rPr>
      </w:pPr>
    </w:p>
    <w:p>
      <w:pPr>
        <w:ind w:left="652"/>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This Agreement may be executed in any number of counterparts, each of which, when executed and delivered, shall be an original, and all the counterparts together shall constitute one and the same instrument.</w:t>
      </w:r>
    </w:p>
    <w:p>
      <w:pPr>
        <w:spacing w:after="0" w:line="124" w:lineRule="exact"/>
        <w:rPr>
          <w:rFonts w:ascii="Arial" w:cs="Arial" w:eastAsia="Arial" w:hAnsi="Arial"/>
          <w:sz w:val="22"/>
          <w:szCs w:val="22"/>
          <w:b w:val="1"/>
          <w:bCs w:val="1"/>
          <w:color w:val="auto"/>
        </w:rPr>
      </w:pPr>
    </w:p>
    <w:p>
      <w:pPr>
        <w:ind w:left="652" w:hanging="652"/>
        <w:spacing w:after="0"/>
        <w:tabs>
          <w:tab w:leader="none" w:pos="652"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rights</w:t>
      </w:r>
    </w:p>
    <w:p>
      <w:pPr>
        <w:spacing w:after="0" w:line="191" w:lineRule="exact"/>
        <w:rPr>
          <w:rFonts w:ascii="Arial" w:cs="Arial" w:eastAsia="Arial" w:hAnsi="Arial"/>
          <w:sz w:val="22"/>
          <w:szCs w:val="22"/>
          <w:b w:val="1"/>
          <w:bCs w:val="1"/>
          <w:color w:val="auto"/>
        </w:rPr>
      </w:pPr>
    </w:p>
    <w:p>
      <w:pPr>
        <w:jc w:val="both"/>
        <w:ind w:left="652"/>
        <w:spacing w:after="0" w:line="245" w:lineRule="auto"/>
        <w:rPr>
          <w:rFonts w:ascii="Arial" w:cs="Arial" w:eastAsia="Arial" w:hAnsi="Arial"/>
          <w:sz w:val="22"/>
          <w:szCs w:val="22"/>
          <w:b w:val="1"/>
          <w:bCs w:val="1"/>
          <w:color w:val="auto"/>
        </w:rPr>
      </w:pPr>
      <w:r>
        <w:rPr>
          <w:rFonts w:ascii="Arial" w:cs="Arial" w:eastAsia="Arial" w:hAnsi="Arial"/>
          <w:sz w:val="22"/>
          <w:szCs w:val="22"/>
          <w:color w:val="auto"/>
        </w:rPr>
        <w:t>The Contracts (Rights of Third Parties) Act 1999 shall not apply to this Agreement and no person other than the Employee and the Company shall have any rights under it. The terms of this Agreement or any of them may be varied, amended or modified, or this Agreement may be suspended, cancelled or terminated, by agreement in writing between the parties,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
        <w:spacing w:after="0"/>
        <w:tabs>
          <w:tab w:leader="none" w:pos="4792" w:val="left"/>
          <w:tab w:leader="none" w:pos="10172"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21</w:t>
      </w:r>
    </w:p>
    <w:p>
      <w:pPr>
        <w:sectPr>
          <w:pgSz w:w="11900" w:h="16838" w:orient="portrait"/>
          <w:cols w:equalWidth="0" w:num="1">
            <w:col w:w="11412"/>
          </w:cols>
          <w:pgMar w:left="248" w:top="768" w:right="239" w:bottom="1440" w:gutter="0" w:footer="0" w:header="0"/>
        </w:sectPr>
      </w:pPr>
    </w:p>
    <w:bookmarkStart w:id="225" w:name="page226"/>
    <w:bookmarkEnd w:id="225"/>
    <w:p>
      <w:pPr>
        <w:ind w:left="660"/>
        <w:spacing w:after="0"/>
        <w:rPr>
          <w:sz w:val="20"/>
          <w:szCs w:val="20"/>
          <w:color w:val="auto"/>
        </w:rPr>
      </w:pPr>
      <w:r>
        <w:rPr>
          <w:rFonts w:ascii="Arial" w:cs="Arial" w:eastAsia="Arial" w:hAnsi="Arial"/>
          <w:sz w:val="22"/>
          <w:szCs w:val="22"/>
          <w:color w:val="auto"/>
        </w:rPr>
        <w:t>Agreement may be rescinded (in each case), without the consent of any third party.</w:t>
      </w:r>
    </w:p>
    <w:p>
      <w:pPr>
        <w:spacing w:after="0" w:line="140"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21"/>
          <w:szCs w:val="21"/>
          <w:color w:val="auto"/>
        </w:rPr>
        <w:t>This Agreement shall be governed by and construed in accordance with the law of England and Wales.</w:t>
      </w:r>
    </w:p>
    <w:p>
      <w:pPr>
        <w:spacing w:after="0" w:line="166" w:lineRule="exact"/>
        <w:rPr>
          <w:sz w:val="20"/>
          <w:szCs w:val="20"/>
          <w:color w:val="auto"/>
        </w:rPr>
      </w:pPr>
    </w:p>
    <w:p>
      <w:pPr>
        <w:ind w:left="660" w:hanging="647"/>
        <w:spacing w:after="0" w:line="249" w:lineRule="auto"/>
        <w:tabs>
          <w:tab w:leader="none" w:pos="640" w:val="left"/>
        </w:tabs>
        <w:rPr>
          <w:sz w:val="20"/>
          <w:szCs w:val="20"/>
          <w:color w:val="auto"/>
        </w:rPr>
      </w:pPr>
      <w:r>
        <w:rPr>
          <w:rFonts w:ascii="Arial" w:cs="Arial" w:eastAsia="Arial" w:hAnsi="Arial"/>
          <w:sz w:val="22"/>
          <w:szCs w:val="22"/>
          <w:color w:val="auto"/>
        </w:rPr>
        <w:t>30.2</w:t>
        <w:tab/>
        <w:t>Each party irrevocably agrees to submit to the exclusive jurisdiction of the courts of England and Wales over any claim or matter arising under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180" w:type="dxa"/>
            <w:vAlign w:val="bottom"/>
          </w:tcPr>
          <w:p>
            <w:pPr>
              <w:spacing w:after="0"/>
              <w:rPr>
                <w:sz w:val="20"/>
                <w:szCs w:val="20"/>
                <w:color w:val="auto"/>
              </w:rPr>
            </w:pPr>
            <w:r>
              <w:rPr>
                <w:rFonts w:ascii="Arial" w:cs="Arial" w:eastAsia="Arial" w:hAnsi="Arial"/>
                <w:sz w:val="22"/>
                <w:szCs w:val="22"/>
                <w:color w:val="auto"/>
              </w:rPr>
              <w:t>Signed by</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spacing w:after="0"/>
              <w:rPr>
                <w:sz w:val="22"/>
                <w:szCs w:val="22"/>
                <w:color w:val="auto"/>
              </w:rPr>
            </w:pPr>
          </w:p>
        </w:tc>
      </w:tr>
      <w:tr>
        <w:trPr>
          <w:trHeight w:val="297"/>
        </w:trPr>
        <w:tc>
          <w:tcPr>
            <w:tcW w:w="5180" w:type="dxa"/>
            <w:vAlign w:val="bottom"/>
          </w:tcPr>
          <w:p>
            <w:pPr>
              <w:spacing w:after="0"/>
              <w:rPr>
                <w:sz w:val="20"/>
                <w:szCs w:val="20"/>
                <w:color w:val="auto"/>
              </w:rPr>
            </w:pPr>
            <w:r>
              <w:rPr>
                <w:rFonts w:ascii="Arial" w:cs="Arial" w:eastAsia="Arial" w:hAnsi="Arial"/>
                <w:sz w:val="22"/>
                <w:szCs w:val="22"/>
                <w:color w:val="auto"/>
              </w:rPr>
              <w:t>Dan Swisher</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ind w:left="140"/>
              <w:spacing w:after="0"/>
              <w:rPr>
                <w:sz w:val="20"/>
                <w:szCs w:val="20"/>
                <w:color w:val="auto"/>
              </w:rPr>
            </w:pPr>
            <w:r>
              <w:rPr>
                <w:rFonts w:ascii="Arial" w:cs="Arial" w:eastAsia="Arial" w:hAnsi="Arial"/>
                <w:sz w:val="22"/>
                <w:szCs w:val="22"/>
                <w:i w:val="1"/>
                <w:iCs w:val="1"/>
                <w:color w:val="auto"/>
              </w:rPr>
              <w:t>/s/ Dan Swisher</w:t>
            </w:r>
          </w:p>
        </w:tc>
      </w:tr>
      <w:tr>
        <w:trPr>
          <w:trHeight w:val="297"/>
        </w:trPr>
        <w:tc>
          <w:tcPr>
            <w:tcW w:w="5180" w:type="dxa"/>
            <w:vAlign w:val="bottom"/>
          </w:tcPr>
          <w:p>
            <w:pPr>
              <w:spacing w:after="0"/>
              <w:rPr>
                <w:sz w:val="20"/>
                <w:szCs w:val="20"/>
                <w:color w:val="auto"/>
              </w:rPr>
            </w:pPr>
            <w:r>
              <w:rPr>
                <w:rFonts w:ascii="Arial" w:cs="Arial" w:eastAsia="Arial" w:hAnsi="Arial"/>
                <w:sz w:val="22"/>
                <w:szCs w:val="22"/>
                <w:color w:val="auto"/>
              </w:rPr>
              <w:t>on behalf of</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spacing w:after="0"/>
              <w:rPr>
                <w:sz w:val="24"/>
                <w:szCs w:val="24"/>
                <w:color w:val="auto"/>
              </w:rPr>
            </w:pPr>
          </w:p>
        </w:tc>
      </w:tr>
      <w:tr>
        <w:trPr>
          <w:trHeight w:val="297"/>
        </w:trPr>
        <w:tc>
          <w:tcPr>
            <w:tcW w:w="5180" w:type="dxa"/>
            <w:vAlign w:val="bottom"/>
          </w:tcPr>
          <w:p>
            <w:pPr>
              <w:spacing w:after="0"/>
              <w:rPr>
                <w:sz w:val="20"/>
                <w:szCs w:val="20"/>
                <w:color w:val="auto"/>
              </w:rPr>
            </w:pPr>
            <w:r>
              <w:rPr>
                <w:rFonts w:ascii="Arial" w:cs="Arial" w:eastAsia="Arial" w:hAnsi="Arial"/>
                <w:sz w:val="22"/>
                <w:szCs w:val="22"/>
                <w:color w:val="auto"/>
              </w:rPr>
              <w:t>JAZZ PHARMACEUTICALS UK LIMITED</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spacing w:after="0"/>
              <w:rPr>
                <w:sz w:val="24"/>
                <w:szCs w:val="24"/>
                <w:color w:val="auto"/>
              </w:rPr>
            </w:pPr>
          </w:p>
        </w:tc>
      </w:tr>
      <w:tr>
        <w:trPr>
          <w:trHeight w:val="891"/>
        </w:trPr>
        <w:tc>
          <w:tcPr>
            <w:tcW w:w="5180" w:type="dxa"/>
            <w:vAlign w:val="bottom"/>
          </w:tcPr>
          <w:p>
            <w:pPr>
              <w:spacing w:after="0"/>
              <w:rPr>
                <w:sz w:val="20"/>
                <w:szCs w:val="20"/>
                <w:color w:val="auto"/>
              </w:rPr>
            </w:pPr>
            <w:r>
              <w:rPr>
                <w:rFonts w:ascii="Arial" w:cs="Arial" w:eastAsia="Arial" w:hAnsi="Arial"/>
                <w:sz w:val="22"/>
                <w:szCs w:val="22"/>
                <w:color w:val="auto"/>
              </w:rPr>
              <w:t>Signed by</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spacing w:after="0"/>
              <w:rPr>
                <w:sz w:val="24"/>
                <w:szCs w:val="24"/>
                <w:color w:val="auto"/>
              </w:rPr>
            </w:pPr>
          </w:p>
        </w:tc>
      </w:tr>
      <w:tr>
        <w:trPr>
          <w:trHeight w:val="297"/>
        </w:trPr>
        <w:tc>
          <w:tcPr>
            <w:tcW w:w="5180" w:type="dxa"/>
            <w:vAlign w:val="bottom"/>
          </w:tcPr>
          <w:p>
            <w:pPr>
              <w:spacing w:after="0"/>
              <w:rPr>
                <w:sz w:val="20"/>
                <w:szCs w:val="20"/>
                <w:color w:val="auto"/>
              </w:rPr>
            </w:pPr>
            <w:r>
              <w:rPr>
                <w:rFonts w:ascii="Arial" w:cs="Arial" w:eastAsia="Arial" w:hAnsi="Arial"/>
                <w:sz w:val="22"/>
                <w:szCs w:val="22"/>
                <w:color w:val="auto"/>
              </w:rPr>
              <w:t>Samantha Pearce</w:t>
            </w: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2160" w:type="dxa"/>
            <w:vAlign w:val="bottom"/>
          </w:tcPr>
          <w:p>
            <w:pPr>
              <w:ind w:left="140"/>
              <w:spacing w:after="0"/>
              <w:rPr>
                <w:sz w:val="20"/>
                <w:szCs w:val="20"/>
                <w:color w:val="auto"/>
              </w:rPr>
            </w:pPr>
            <w:r>
              <w:rPr>
                <w:rFonts w:ascii="Arial" w:cs="Arial" w:eastAsia="Arial" w:hAnsi="Arial"/>
                <w:sz w:val="22"/>
                <w:szCs w:val="22"/>
                <w:i w:val="1"/>
                <w:iCs w:val="1"/>
                <w:color w:val="auto"/>
                <w:w w:val="97"/>
              </w:rPr>
              <w:t>/s/ Samantha Pearce</w:t>
            </w:r>
          </w:p>
        </w:tc>
      </w:tr>
      <w:tr>
        <w:trPr>
          <w:trHeight w:val="311"/>
        </w:trPr>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Arial" w:cs="Arial" w:eastAsia="Arial" w:hAnsi="Arial"/>
                <w:sz w:val="22"/>
                <w:szCs w:val="22"/>
                <w:color w:val="auto"/>
              </w:rPr>
              <w:t>14-Dec-2019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-186055</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7">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-1317625</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4800" w:val="left"/>
          <w:tab w:leader="none" w:pos="10180" w:val="left"/>
        </w:tabs>
        <w:rPr>
          <w:sz w:val="20"/>
          <w:szCs w:val="20"/>
          <w:color w:val="auto"/>
        </w:rPr>
      </w:pPr>
      <w:r>
        <w:rPr>
          <w:rFonts w:ascii="Arial" w:cs="Arial" w:eastAsia="Arial" w:hAnsi="Arial"/>
          <w:sz w:val="16"/>
          <w:szCs w:val="16"/>
          <w:color w:val="auto"/>
        </w:rPr>
        <w:t>2019-4444_SR</w:t>
      </w:r>
      <w:r>
        <w:rPr>
          <w:sz w:val="20"/>
          <w:szCs w:val="20"/>
          <w:color w:val="auto"/>
        </w:rPr>
        <w:tab/>
      </w:r>
      <w:r>
        <w:rPr>
          <w:rFonts w:ascii="Arial" w:cs="Arial" w:eastAsia="Arial" w:hAnsi="Arial"/>
          <w:sz w:val="16"/>
          <w:szCs w:val="16"/>
          <w:color w:val="auto"/>
        </w:rPr>
        <w:t>Samantha Pearce</w:t>
      </w:r>
      <w:r>
        <w:rPr>
          <w:sz w:val="20"/>
          <w:szCs w:val="20"/>
          <w:color w:val="auto"/>
        </w:rPr>
        <w:tab/>
      </w:r>
      <w:r>
        <w:rPr>
          <w:rFonts w:ascii="Arial" w:cs="Arial" w:eastAsia="Arial" w:hAnsi="Arial"/>
          <w:sz w:val="16"/>
          <w:szCs w:val="16"/>
          <w:color w:val="auto"/>
        </w:rPr>
        <w:t>Page 22</w:t>
      </w:r>
    </w:p>
    <w:p>
      <w:pPr>
        <w:sectPr>
          <w:pgSz w:w="11900" w:h="16838" w:orient="portrait"/>
          <w:cols w:equalWidth="0" w:num="1">
            <w:col w:w="11420"/>
          </w:cols>
          <w:pgMar w:left="240" w:top="768"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10.28B</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Samantha Pearce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 December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New Hire Equity Award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Samantha,</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Welcome to Jazz Pharmaceuticals. In connection with your employment by Jazz Pharmaceuticals UK Limited, you will also receive an equity award from Jazz Pharmaceuticals plc in the amounts shown below, subject to approval in accordance with the policies and guidelines of Jazz Pharmaceuticals plc.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Award of Stock Options: 25,500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Award of Restricted Stock Units (RSUs): 10,200</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22"/>
          <w:szCs w:val="22"/>
          <w:color w:val="auto"/>
        </w:rPr>
        <w:t>Your stock options will have an exercise price equal to the closing price of Jazz Pharmaceuticals plc ordinary shares on NASDAQ on the grant date, and will be made pursuant to the Jazz Pharmaceuticals plc 2011 Equity Incentive Plan and subject to the other terms contained in your award agreement.</w:t>
      </w:r>
    </w:p>
    <w:p>
      <w:pPr>
        <w:spacing w:after="0" w:line="185" w:lineRule="exact"/>
        <w:rPr>
          <w:sz w:val="20"/>
          <w:szCs w:val="20"/>
          <w:color w:val="auto"/>
        </w:rPr>
      </w:pPr>
    </w:p>
    <w:p>
      <w:pPr>
        <w:ind w:right="140"/>
        <w:spacing w:after="0" w:line="284" w:lineRule="auto"/>
        <w:rPr>
          <w:sz w:val="20"/>
          <w:szCs w:val="20"/>
          <w:color w:val="auto"/>
        </w:rPr>
      </w:pPr>
      <w:r>
        <w:rPr>
          <w:rFonts w:ascii="Arial" w:cs="Arial" w:eastAsia="Arial" w:hAnsi="Arial"/>
          <w:sz w:val="21"/>
          <w:szCs w:val="21"/>
          <w:color w:val="auto"/>
        </w:rPr>
        <w:t>Your RSUs will represent your right to receive Jazz Pharmaceuticals plc ordinary shares upon vesting and settlement, according to the vesting schedule in your grant notice, and will be made pursuant to the Jazz Pharmaceuticals plc 2011 Equity Incentive Plan and subject to the other terms contained in your award agreement. RSUs have no exercise price.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If you have questions, please feel free to discuss them with Stock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Please initial to acknowledge receipt of this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letter</w:t>
      </w:r>
    </w:p>
    <w:p>
      <w:pPr>
        <w:sectPr>
          <w:pgSz w:w="11900" w:h="16838" w:orient="portrait"/>
          <w:cols w:equalWidth="0" w:num="1">
            <w:col w:w="11420"/>
          </w:cols>
          <w:pgMar w:left="240" w:top="747" w:right="239" w:bottom="1440" w:gutter="0" w:footer="0" w:header="0"/>
        </w:sectPr>
      </w:pPr>
    </w:p>
    <w:bookmarkStart w:id="227" w:name="page228"/>
    <w:bookmarkEnd w:id="227"/>
    <w:p>
      <w:pPr>
        <w:ind w:left="10040"/>
        <w:spacing w:after="0"/>
        <w:rPr>
          <w:sz w:val="20"/>
          <w:szCs w:val="20"/>
          <w:color w:val="auto"/>
        </w:rPr>
      </w:pPr>
      <w:r>
        <w:rPr>
          <w:rFonts w:ascii="Arial" w:cs="Arial" w:eastAsia="Arial" w:hAnsi="Arial"/>
          <w:sz w:val="19"/>
          <w:szCs w:val="19"/>
          <w:b w:val="1"/>
          <w:bCs w:val="1"/>
          <w:color w:val="auto"/>
        </w:rPr>
        <w:t>Exhibit 10.34C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CASH BONUS PLAN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AFFILIATES)</w:t>
      </w: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 of the Plan</w:t>
      </w:r>
      <w:r>
        <w:rPr>
          <w:rFonts w:ascii="Arial" w:cs="Arial" w:eastAsia="Arial" w:hAnsi="Arial"/>
          <w:sz w:val="16"/>
          <w:szCs w:val="16"/>
          <w:color w:val="auto"/>
        </w:rPr>
        <w:t>.</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Jazz Pharmaceuticals plc Cash Bonus Plan (U.S. Affiliates)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designed to provide meaningful incentive, on an annual basis, for employees of U.S. Affiliates of 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In order to be eligible to participate in the Plan for a Plan Year, an employee (a) must be an active regular employee of a U.S. Affiliate of the Company whose Employment Start Date is October 31 of the Plan Year or earlier and (b) must not be eligible to participate in a commercial (including sales) or other similar incentive compensation plan. Employees who are not expressly classified by the U.S. Affiliate as “regular” employees, such as temporary or contract employees and interns, are not eligible to be Participants.</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In order to be eligible to receive a Bonus for a Plan Year, a Participant must (i) continue to be an active regular employee of a U.S. Affiliate of the Company in good standing from the date his/her participation in the Plan commences for the Plan Year until the date Bonuses are paid for the Plan Year, except as provided in Section 6, and (ii) act in accordance with the Company’s Code of Conduct, compliance policies and procedures, and those of the Participant’s employer, and applicable laws and regulations during the Plan Year.</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Target Bonus</w:t>
      </w:r>
      <w:r>
        <w:rPr>
          <w:rFonts w:ascii="Arial" w:cs="Arial" w:eastAsia="Arial" w:hAnsi="Arial"/>
          <w:sz w:val="16"/>
          <w:szCs w:val="16"/>
          <w:color w:val="auto"/>
        </w:rPr>
        <w: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 Participant’s Target Bonus generally will be based on the Participant’s position and/or responsibility level. The Target Bonus for Participants and the amount of Bonus actually paid to a Participant in a Plan Year under the Plan may vary from year to year and between positions, and among positions at the same level. However, as a general guideline, the Target Bonuses which will typically be assigned to various categories of employees (and varying depending on responsibility levels within each category)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20"/>
                <w:szCs w:val="20"/>
                <w:b w:val="1"/>
                <w:bCs w:val="1"/>
                <w:color w:val="auto"/>
                <w:w w:val="87"/>
              </w:rPr>
              <w:t>Target Bonus (Percent of</w:t>
            </w:r>
          </w:p>
        </w:tc>
      </w:tr>
      <w:tr>
        <w:trPr>
          <w:trHeight w:val="256"/>
        </w:trPr>
        <w:tc>
          <w:tcPr>
            <w:tcW w:w="5500" w:type="dxa"/>
            <w:vAlign w:val="bottom"/>
          </w:tcPr>
          <w:p>
            <w:pPr>
              <w:ind w:left="40"/>
              <w:spacing w:after="0"/>
              <w:rPr>
                <w:sz w:val="20"/>
                <w:szCs w:val="20"/>
                <w:color w:val="auto"/>
              </w:rPr>
            </w:pPr>
            <w:r>
              <w:rPr>
                <w:rFonts w:ascii="Arial" w:cs="Arial" w:eastAsia="Arial" w:hAnsi="Arial"/>
                <w:sz w:val="20"/>
                <w:szCs w:val="20"/>
                <w:b w:val="1"/>
                <w:bCs w:val="1"/>
                <w:color w:val="auto"/>
              </w:rPr>
              <w:t>Position</w:t>
            </w:r>
          </w:p>
        </w:tc>
        <w:tc>
          <w:tcPr>
            <w:tcW w:w="2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Arial" w:cs="Arial" w:eastAsia="Arial" w:hAnsi="Arial"/>
                <w:sz w:val="20"/>
                <w:szCs w:val="20"/>
                <w:b w:val="1"/>
                <w:bCs w:val="1"/>
                <w:color w:val="auto"/>
                <w:w w:val="88"/>
              </w:rPr>
              <w:t>Base Salary)</w:t>
            </w:r>
          </w:p>
        </w:tc>
      </w:tr>
      <w:tr>
        <w:trPr>
          <w:trHeight w:val="23"/>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308"/>
        </w:trPr>
        <w:tc>
          <w:tcPr>
            <w:tcW w:w="5500" w:type="dxa"/>
            <w:vAlign w:val="bottom"/>
          </w:tcPr>
          <w:p>
            <w:pPr>
              <w:ind w:left="40"/>
              <w:spacing w:after="0"/>
              <w:rPr>
                <w:sz w:val="20"/>
                <w:szCs w:val="20"/>
                <w:color w:val="auto"/>
              </w:rPr>
            </w:pPr>
            <w:r>
              <w:rPr>
                <w:rFonts w:ascii="Arial" w:cs="Arial" w:eastAsia="Arial" w:hAnsi="Arial"/>
                <w:sz w:val="20"/>
                <w:szCs w:val="20"/>
                <w:color w:val="auto"/>
                <w:w w:val="97"/>
              </w:rPr>
              <w:t>Senior Vice President who is an Executive Committee Member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45%</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w w:val="92"/>
              </w:rPr>
              <w:t>Senior Vice President who is not an Executive Committee Member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40%</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Vice President</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35%</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Executive Director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30%</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Senior Director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25%</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Director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22%</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Associate Director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20%</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Senior Manager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18%</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Manager</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15%</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Analyst/Senior Analyst</w:t>
            </w:r>
          </w:p>
        </w:tc>
        <w:tc>
          <w:tcPr>
            <w:tcW w:w="5700" w:type="dxa"/>
            <w:vAlign w:val="bottom"/>
            <w:gridSpan w:val="3"/>
          </w:tcPr>
          <w:p>
            <w:pPr>
              <w:jc w:val="center"/>
              <w:ind w:left="3161"/>
              <w:spacing w:after="0"/>
              <w:rPr>
                <w:sz w:val="20"/>
                <w:szCs w:val="20"/>
                <w:color w:val="auto"/>
              </w:rPr>
            </w:pPr>
            <w:r>
              <w:rPr>
                <w:rFonts w:ascii="Arial" w:cs="Arial" w:eastAsia="Arial" w:hAnsi="Arial"/>
                <w:sz w:val="20"/>
                <w:szCs w:val="20"/>
                <w:color w:val="auto"/>
                <w:w w:val="89"/>
              </w:rPr>
              <w:t>12%</w:t>
            </w:r>
          </w:p>
        </w:tc>
      </w:tr>
      <w:tr>
        <w:trPr>
          <w:trHeight w:val="338"/>
        </w:trPr>
        <w:tc>
          <w:tcPr>
            <w:tcW w:w="5500" w:type="dxa"/>
            <w:vAlign w:val="bottom"/>
          </w:tcPr>
          <w:p>
            <w:pPr>
              <w:ind w:left="40"/>
              <w:spacing w:after="0"/>
              <w:rPr>
                <w:sz w:val="20"/>
                <w:szCs w:val="20"/>
                <w:color w:val="auto"/>
              </w:rPr>
            </w:pPr>
            <w:r>
              <w:rPr>
                <w:rFonts w:ascii="Arial" w:cs="Arial" w:eastAsia="Arial" w:hAnsi="Arial"/>
                <w:sz w:val="20"/>
                <w:szCs w:val="20"/>
                <w:color w:val="auto"/>
              </w:rPr>
              <w:t>Support/Senior Support</w:t>
            </w:r>
          </w:p>
        </w:tc>
        <w:tc>
          <w:tcPr>
            <w:tcW w:w="5700" w:type="dxa"/>
            <w:vAlign w:val="bottom"/>
            <w:gridSpan w:val="3"/>
          </w:tcPr>
          <w:p>
            <w:pPr>
              <w:jc w:val="center"/>
              <w:ind w:left="3141"/>
              <w:spacing w:after="0"/>
              <w:rPr>
                <w:sz w:val="20"/>
                <w:szCs w:val="20"/>
                <w:color w:val="auto"/>
              </w:rPr>
            </w:pPr>
            <w:r>
              <w:rPr>
                <w:rFonts w:ascii="Arial" w:cs="Arial" w:eastAsia="Arial" w:hAnsi="Arial"/>
                <w:sz w:val="20"/>
                <w:szCs w:val="20"/>
                <w:color w:val="auto"/>
                <w:w w:val="89"/>
              </w:rPr>
              <w:t>8%</w:t>
            </w:r>
          </w:p>
        </w:tc>
      </w:tr>
      <w:tr>
        <w:trPr>
          <w:trHeight w:val="743"/>
        </w:trPr>
        <w:tc>
          <w:tcPr>
            <w:tcW w:w="5500" w:type="dxa"/>
            <w:vAlign w:val="bottom"/>
          </w:tcPr>
          <w:p>
            <w:pPr>
              <w:spacing w:after="0"/>
              <w:rPr>
                <w:sz w:val="24"/>
                <w:szCs w:val="24"/>
                <w:color w:val="auto"/>
              </w:rPr>
            </w:pPr>
          </w:p>
        </w:tc>
        <w:tc>
          <w:tcPr>
            <w:tcW w:w="2460" w:type="dxa"/>
            <w:vAlign w:val="bottom"/>
          </w:tcPr>
          <w:p>
            <w:pPr>
              <w:jc w:val="right"/>
              <w:ind w:right="2081"/>
              <w:spacing w:after="0"/>
              <w:rPr>
                <w:sz w:val="20"/>
                <w:szCs w:val="20"/>
                <w:color w:val="auto"/>
              </w:rPr>
            </w:pPr>
            <w:r>
              <w:rPr>
                <w:rFonts w:ascii="Arial" w:cs="Arial" w:eastAsia="Arial" w:hAnsi="Arial"/>
                <w:sz w:val="20"/>
                <w:szCs w:val="20"/>
                <w:color w:val="auto"/>
              </w:rPr>
              <w:t>1.</w:t>
            </w:r>
          </w:p>
        </w:tc>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420"/>
          </w:cols>
          <w:pgMar w:left="240" w:top="342" w:right="239" w:bottom="1440" w:gutter="0" w:footer="0" w:header="0"/>
        </w:sectPr>
      </w:pPr>
    </w:p>
    <w:bookmarkStart w:id="228" w:name="page229"/>
    <w:bookmarkEnd w:id="228"/>
    <w:p>
      <w:pPr>
        <w:jc w:val="both"/>
        <w:spacing w:after="0" w:line="299" w:lineRule="auto"/>
        <w:rPr>
          <w:sz w:val="20"/>
          <w:szCs w:val="20"/>
          <w:color w:val="auto"/>
        </w:rPr>
      </w:pPr>
      <w:r>
        <w:rPr>
          <w:rFonts w:ascii="Arial" w:cs="Arial" w:eastAsia="Arial" w:hAnsi="Arial"/>
          <w:sz w:val="19"/>
          <w:szCs w:val="19"/>
          <w:color w:val="auto"/>
        </w:rPr>
        <w:t>If a Participant moves to a position and/or responsibility level with a higher Target Bonus during a Plan Year, the Participant’s Target Bonus will be reset at such higher level for the entire Plan Year. If a Participant moves to a position and/or responsibility level with a lower Target Bonus during a Plan Year, the Participant’s Target Bonus will be reset at the lower level for the entire Plan Year.</w:t>
      </w:r>
    </w:p>
    <w:p>
      <w:pPr>
        <w:spacing w:after="0" w:line="11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For any Participant who is a Section 16 Officer of Jazz Pharmaceuticals plc, the Board or the Compensation Committee will determine such Participant’s Target Bonus for each Plan Year.</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Bonus Pool and Bonuses</w:t>
      </w:r>
      <w:r>
        <w:rPr>
          <w:rFonts w:ascii="Arial" w:cs="Arial" w:eastAsia="Arial" w:hAnsi="Arial"/>
          <w:sz w:val="16"/>
          <w:szCs w:val="16"/>
          <w:color w:val="auto"/>
        </w:rPr>
        <w:t>.</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270" w:lineRule="exact"/>
        <w:rPr>
          <w:sz w:val="20"/>
          <w:szCs w:val="20"/>
          <w:color w:val="auto"/>
        </w:rPr>
      </w:pPr>
    </w:p>
    <w:p>
      <w:pPr>
        <w:ind w:left="720" w:hanging="685"/>
        <w:spacing w:after="0"/>
        <w:tabs>
          <w:tab w:leader="none" w:pos="72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sum of the following amounts for each Participant:</w:t>
      </w:r>
    </w:p>
    <w:p>
      <w:pPr>
        <w:spacing w:after="0" w:line="161" w:lineRule="exact"/>
        <w:rPr>
          <w:rFonts w:ascii="Arial" w:cs="Arial" w:eastAsia="Arial" w:hAnsi="Arial"/>
          <w:sz w:val="20"/>
          <w:szCs w:val="20"/>
          <w:color w:val="auto"/>
        </w:rPr>
      </w:pPr>
    </w:p>
    <w:p>
      <w:pPr>
        <w:ind w:left="960" w:hanging="236"/>
        <w:spacing w:after="0"/>
        <w:tabs>
          <w:tab w:leader="none" w:pos="96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Base Salary for such Participant, multiplied by</w:t>
      </w:r>
    </w:p>
    <w:p>
      <w:pPr>
        <w:spacing w:after="0" w:line="161" w:lineRule="exact"/>
        <w:rPr>
          <w:rFonts w:ascii="Arial" w:cs="Arial" w:eastAsia="Arial" w:hAnsi="Arial"/>
          <w:sz w:val="20"/>
          <w:szCs w:val="20"/>
          <w:color w:val="auto"/>
        </w:rPr>
      </w:pPr>
    </w:p>
    <w:p>
      <w:pPr>
        <w:ind w:left="1020" w:hanging="296"/>
        <w:spacing w:after="0"/>
        <w:tabs>
          <w:tab w:leader="none" w:pos="102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such Participant’s applicable Target Bonus;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with</w:t>
      </w:r>
    </w:p>
    <w:p>
      <w:pPr>
        <w:spacing w:after="0" w:line="162" w:lineRule="exact"/>
        <w:rPr>
          <w:sz w:val="20"/>
          <w:szCs w:val="20"/>
          <w:color w:val="auto"/>
        </w:rPr>
      </w:pPr>
    </w:p>
    <w:p>
      <w:pPr>
        <w:ind w:left="720" w:right="120" w:hanging="685"/>
        <w:spacing w:after="0" w:line="250" w:lineRule="auto"/>
        <w:tabs>
          <w:tab w:leader="none" w:pos="72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0"/>
          <w:szCs w:val="20"/>
          <w:b w:val="1"/>
          <w:bCs w:val="1"/>
          <w:i w:val="1"/>
          <w:iCs w:val="1"/>
          <w:color w:val="auto"/>
        </w:rPr>
        <w:t>Bonus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Pool Objectives</w:t>
      </w:r>
      <w:r>
        <w:rPr>
          <w:rFonts w:ascii="Arial" w:cs="Arial" w:eastAsia="Arial" w:hAnsi="Arial"/>
          <w:sz w:val="20"/>
          <w:szCs w:val="20"/>
          <w:color w:val="auto"/>
        </w:rPr>
        <w:t>”).</w:t>
      </w: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0"/>
          <w:szCs w:val="20"/>
          <w:b w:val="1"/>
          <w:bCs w:val="1"/>
          <w:i w:val="1"/>
          <w:iCs w:val="1"/>
          <w:color w:val="auto"/>
        </w:rPr>
        <w:t>Corporate Objectives</w:t>
      </w:r>
      <w:r>
        <w:rPr>
          <w:rFonts w:ascii="Arial" w:cs="Arial" w:eastAsia="Arial" w:hAnsi="Arial"/>
          <w:sz w:val="20"/>
          <w:szCs w:val="20"/>
          <w:color w:val="auto"/>
        </w:rPr>
        <w:t>”).</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Bonus</w:t>
      </w:r>
      <w:r>
        <w:rPr>
          <w:rFonts w:ascii="Arial" w:cs="Arial" w:eastAsia="Arial" w:hAnsi="Arial"/>
          <w:sz w:val="16"/>
          <w:szCs w:val="16"/>
          <w:color w:val="auto"/>
        </w:rPr>
        <w:t>.</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Except as provided in Section 6, a Participant’s Bonus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Except as provided in Section 6, the amount of Bonus actually paid to each Participant will be an amount equal to such Participant’s Base Salary multiplied by the applicable Target Bonus (as may be adjusted up or down for each Participant by the Board, the Compensation Committee or the Company’s management, as appropriate, based on the criteria set forth above). Each Participant’s Bonus for a Plan Year will be approved by the Chief Executive Officer or his or her delegate, except that in the case of any Participant who is a Section 16 Officer of Jazz Pharmaceuticals plc, such Participant’s Bonus will be approved by the Board or the Compensation Committee.</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53" w:right="239" w:bottom="1440" w:gutter="0" w:footer="0" w:header="0"/>
        </w:sectPr>
      </w:pPr>
    </w:p>
    <w:bookmarkStart w:id="229" w:name="page230"/>
    <w:bookmarkEnd w:id="229"/>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Termination of Employment; Death; Retirement; Permanent Disability</w:t>
      </w:r>
      <w:r>
        <w:rPr>
          <w:rFonts w:ascii="Arial" w:cs="Arial" w:eastAsia="Arial" w:hAnsi="Arial"/>
          <w:sz w:val="18"/>
          <w:szCs w:val="18"/>
          <w:color w:val="auto"/>
        </w:rPr>
        <w:t>.</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 Bonus will be paid to any Participant whose employment with a U.S. Affiliate of the Company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In the case of a Participant whose employment with a U.S. Affiliate of the Company terminates (including due to death, retirement or Permanent Disability) prior to the date Bonuses for a Plan Year are scheduled to be paid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Any Participant whose employment with a U.S. Affiliate of the Company terminates (including due to death, retirement or Permanent Disability) prior to the date Bonuses for a Plan Year are scheduled to be paid and who becomes entitled to receive a Bonus pursuant to this Section 6 will be paid such Bonus at the time determined by the Company’s management, which will in no event be later than the time at which other Participants’ Bonuses for the Plan Year are scheduled to be paid pursuant to Section 7.</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Payment of Bonuses</w:t>
      </w:r>
      <w:r>
        <w:rPr>
          <w:rFonts w:ascii="Arial" w:cs="Arial" w:eastAsia="Arial" w:hAnsi="Arial"/>
          <w:sz w:val="16"/>
          <w:szCs w:val="16"/>
          <w:color w:val="auto"/>
        </w:rPr>
        <w:t>.</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Bonuses for a Plan Year will be paid in cash to a Participant (or his/her beneficiary, in the event of death)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all cases, the payment date of any Bonus for any Participant who is subject to Section 409A of the Internal Revenue Code of 1986, as amended, or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will be designed to either comply with Section 409A or satisfy an exemption from application of Section 409A, and the Plan will be administered and interpreted to the greatest extent possible in compliance with Section 409A or in accordance with such exemption, as applicable. Benefits under this Plan are not transferable, and the Plan is unfunded.</w:t>
      </w:r>
    </w:p>
    <w:p>
      <w:pPr>
        <w:spacing w:after="0" w:line="12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Withholding of Taxes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Bonuses will be subject to income and employment tax withholding as required by applicable law.</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Plan Amendments</w:t>
      </w:r>
      <w:r>
        <w:rPr>
          <w:rFonts w:ascii="Arial" w:cs="Arial" w:eastAsia="Arial" w:hAnsi="Arial"/>
          <w:sz w:val="16"/>
          <w:szCs w:val="16"/>
          <w:color w:val="auto"/>
        </w:rPr>
        <w: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65" w:right="239" w:bottom="1440" w:gutter="0" w:footer="0" w:header="0"/>
        </w:sectPr>
      </w:pPr>
    </w:p>
    <w:bookmarkStart w:id="230" w:name="page231"/>
    <w:bookmarkEnd w:id="230"/>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No Employment Rights</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Nothing contained in this Plan is intended to confer any right upon any employee to continued employment with the Company or any U.S.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Affiliate or other affiliate thereof.</w:t>
      </w:r>
    </w:p>
    <w:p>
      <w:pPr>
        <w:spacing w:after="0" w:line="18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Plan Administration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are excluded from Base Salary.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Jazz Pharmaceuticals plc.</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54"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for a Plan Year means the aggregate dollar amount set by the Board or the Compensation Committee for the payment of Bonuses for such Plan Year to Participants as set forth in Section 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means the Chief Executive Officer of Jazz Pharmaceuticals plc.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means the Compensation Committee of the Board.</w:t>
      </w: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Start Date</w:t>
      </w:r>
      <w:r>
        <w:rPr>
          <w:rFonts w:ascii="Arial" w:cs="Arial" w:eastAsia="Arial" w:hAnsi="Arial"/>
          <w:sz w:val="20"/>
          <w:szCs w:val="20"/>
          <w:color w:val="auto"/>
        </w:rPr>
        <w:t>” means the first business day on which a Participant is an active regular employee of a U.S. Affiliate of the Company, on the U.S. Affiliate’s payroll, as applicable.</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Committee Member</w:t>
      </w:r>
      <w:r>
        <w:rPr>
          <w:rFonts w:ascii="Arial" w:cs="Arial" w:eastAsia="Arial" w:hAnsi="Arial"/>
          <w:sz w:val="20"/>
          <w:szCs w:val="20"/>
          <w:color w:val="auto"/>
        </w:rPr>
        <w:t>” means an employee of the Company who serves as a member of the Company’s executive committee, as determined by the Chief Executive Officer from time to time.</w:t>
      </w:r>
    </w:p>
    <w:p>
      <w:pPr>
        <w:spacing w:after="0" w:line="17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active regular employee of a U.S. Affiliate of the Company who meets all of the eligibility requirements set forth in Section 2.</w:t>
      </w:r>
    </w:p>
    <w:p>
      <w:pPr>
        <w:spacing w:after="0" w:line="17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Permanent Disability</w:t>
      </w:r>
      <w:r>
        <w:rPr>
          <w:rFonts w:ascii="Arial" w:cs="Arial" w:eastAsia="Arial" w:hAnsi="Arial"/>
          <w:sz w:val="20"/>
          <w:szCs w:val="20"/>
          <w:color w:val="auto"/>
        </w:rPr>
        <w:t>” means that a Participant has become permanently disabled under any policy or program of disability income insurance then in force covering such Participant.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46" w:right="23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Jazz Pharmaceuticals plc Cash Bonus Plan (U.S. Affiliates).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 Year</w:t>
      </w:r>
      <w:r>
        <w:rPr>
          <w:rFonts w:ascii="Arial" w:cs="Arial" w:eastAsia="Arial" w:hAnsi="Arial"/>
          <w:sz w:val="20"/>
          <w:szCs w:val="20"/>
          <w:color w:val="auto"/>
        </w:rPr>
        <w:t>” means the calendar year.</w:t>
      </w: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16 Officer</w:t>
      </w:r>
      <w:r>
        <w:rPr>
          <w:rFonts w:ascii="Arial" w:cs="Arial" w:eastAsia="Arial" w:hAnsi="Arial"/>
          <w:sz w:val="20"/>
          <w:szCs w:val="20"/>
          <w:color w:val="auto"/>
        </w:rPr>
        <w:t>” means an individual who has been designated by the Board as an “officer” of Jazz Pharmaceuticals plc for the purposes of Section 16 of the Securities Exchange Act of 1934, as amended, and Rule 16a-1(f) thereunder.</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means, for a Participant for a Plan Year, the percentage of Base Salary, based on such Participant’s position and/or responsibility level in a Plan Year,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Affiliate</w:t>
      </w:r>
      <w:r>
        <w:rPr>
          <w:rFonts w:ascii="Arial" w:cs="Arial" w:eastAsia="Arial" w:hAnsi="Arial"/>
          <w:sz w:val="20"/>
          <w:szCs w:val="20"/>
          <w:color w:val="auto"/>
        </w:rPr>
        <w:t>” means any “parent” or “subsidiary” of the Company, as such terms are defined in Rule 405 of the Securities Act of 1933, as amended, that is organized under the laws of the United States.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i w:val="1"/>
          <w:iCs w:val="1"/>
          <w:color w:val="auto"/>
        </w:rPr>
        <w:t>As approved by the Compensation Committee of the Board of Directors of Jazz Pharmaceuticals plc on 13 February 2013, as amended on 4 November 2015, as amended and restated on 2 November 2016, as amended and restated on 31 October 2018, and as amended and restated on 30 October 2019.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52"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10.34D</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JAZZ PHARMACEUTICALS</w:t>
      </w:r>
    </w:p>
    <w:p>
      <w:pPr>
        <w:spacing w:after="0" w:line="189"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CASH BONUS PLAN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 AND OTHER SPECIFIED AFFILIATES)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2020)</w:t>
      </w: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 of the Plan</w:t>
      </w:r>
      <w:r>
        <w:rPr>
          <w:rFonts w:ascii="Arial" w:cs="Arial" w:eastAsia="Arial" w:hAnsi="Arial"/>
          <w:sz w:val="16"/>
          <w:szCs w:val="16"/>
          <w:color w:val="auto"/>
        </w:rPr>
        <w:t>.</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The Jazz Pharmaceuticals Cash Bonus Plan (Ireland and Other Specified Affiliates) (Calendar Year 2020)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designed to provide meaningful incentive, on an annual basis, for employees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employees of the Company’s Ireland and Other Specified Affiliates for the Plan Year beginning 1 January 2020 and ending 31 December 2020.</w:t>
      </w:r>
    </w:p>
    <w:p>
      <w:pPr>
        <w:spacing w:after="0" w:line="10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In order to be eligible to participate in the Plan for a Plan Year, an employee (a) must be an employee of the Company or an Ireland and Other Specified Affiliate (each, including Ireland, a “</w:t>
      </w:r>
      <w:r>
        <w:rPr>
          <w:rFonts w:ascii="Arial" w:cs="Arial" w:eastAsia="Arial" w:hAnsi="Arial"/>
          <w:sz w:val="18"/>
          <w:szCs w:val="18"/>
          <w:b w:val="1"/>
          <w:bCs w:val="1"/>
          <w:i w:val="1"/>
          <w:iCs w:val="1"/>
          <w:color w:val="auto"/>
        </w:rPr>
        <w:t>Specified Affiliate</w:t>
      </w:r>
      <w:r>
        <w:rPr>
          <w:rFonts w:ascii="Arial" w:cs="Arial" w:eastAsia="Arial" w:hAnsi="Arial"/>
          <w:sz w:val="18"/>
          <w:szCs w:val="18"/>
          <w:color w:val="auto"/>
        </w:rPr>
        <w:t>”) whose Employment Start Date is 31 October of the Plan Year or earlier, and</w:t>
      </w:r>
    </w:p>
    <w:p>
      <w:pPr>
        <w:spacing w:after="0" w:line="1" w:lineRule="exact"/>
        <w:rPr>
          <w:sz w:val="20"/>
          <w:szCs w:val="20"/>
          <w:color w:val="auto"/>
        </w:rPr>
      </w:pPr>
    </w:p>
    <w:p>
      <w:pPr>
        <w:jc w:val="both"/>
        <w:ind w:firstLine="8"/>
        <w:spacing w:after="0" w:line="273" w:lineRule="auto"/>
        <w:tabs>
          <w:tab w:leader="none" w:pos="28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must not be eligible to participate in a commercial (including sales) or other similar incentive compensation plan. Additionally, with respect to Gentium S.r.l., Jazz Pharmaceuticals Italy S.r.l. and any other Specified Affiliate in Italy (other than Jazz Healthcare Italy S.r.l.), only employees who are classified as “dirigenti” under Italian employment laws and are individually notified in a separate writing of their eligibility are eligible to participate in the Plan. Employees who are interns are not eligible to be Participants, to the extent permissible under applicable local law.</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In order to be eligible to receive a Bonus for a Plan Year, a Participant must (i) continue to be an employee of the Company or a Specified Affiliate in good standing, as determined at the discretion of the employer, from the date his/her participation in the Plan commences for the Plan Year until the Bonus Payment Date (as defined in Section 7) for the Plan Year, except as provided in Section 6, (ii) act in accordance with the Company’s Code of Conduct, compliance policies and procedures, and those of the Participant’s employer, and applicable laws and regulations during the Plan Year, and (iii) not be serving a notice period as of the Bonus Payment Date for the Plan Year.</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Plan will automatically expire at the end of the indicated Plan Year, and no new plan will be implemented unless the Company announces otherwise.</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Target Bonus</w:t>
      </w:r>
      <w:r>
        <w:rPr>
          <w:rFonts w:ascii="Arial" w:cs="Arial" w:eastAsia="Arial" w:hAnsi="Arial"/>
          <w:sz w:val="16"/>
          <w:szCs w:val="16"/>
          <w:color w:val="auto"/>
        </w:rPr>
        <w:t>.</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Target Bonus for Participants and the amount of Bonus actually paid to a Participant in a Plan Year under the Plan may vary from year to year and between positions, and among positions at the same level. No Participant has any contractual or otherwise acquired rights to a Target Bonus pursuant to any previous target bonus (whether set forth in a written plan or otherwise). The Board or the Compensation Committee retains the sole discretion to determine the Target Bonuses that apply to Participants, and such determination may include (but is not required) consideration of a Participant’s position and/or responsibility level. Participants in Italy who are classified as “dirigenti” under Italian employment laws will be provided written notice specifying such Participant’s Target Bonus and the below table does not apply to such Participants. For other Participants, the following table provides a general guideline as to the Target Bonuses which may typically be assigned to various categories of employees: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46"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20"/>
                <w:szCs w:val="20"/>
                <w:b w:val="1"/>
                <w:bCs w:val="1"/>
                <w:color w:val="auto"/>
                <w:w w:val="87"/>
              </w:rPr>
              <w:t>Target Bonus (Percent of</w:t>
            </w:r>
          </w:p>
        </w:tc>
      </w:tr>
      <w:tr>
        <w:trPr>
          <w:trHeight w:val="256"/>
        </w:trPr>
        <w:tc>
          <w:tcPr>
            <w:tcW w:w="8960" w:type="dxa"/>
            <w:vAlign w:val="bottom"/>
            <w:gridSpan w:val="2"/>
          </w:tcPr>
          <w:p>
            <w:pPr>
              <w:ind w:left="40"/>
              <w:spacing w:after="0"/>
              <w:rPr>
                <w:sz w:val="20"/>
                <w:szCs w:val="20"/>
                <w:color w:val="auto"/>
              </w:rPr>
            </w:pPr>
            <w:r>
              <w:rPr>
                <w:rFonts w:ascii="Arial" w:cs="Arial" w:eastAsia="Arial" w:hAnsi="Arial"/>
                <w:sz w:val="20"/>
                <w:szCs w:val="20"/>
                <w:b w:val="1"/>
                <w:bCs w:val="1"/>
                <w:color w:val="auto"/>
              </w:rPr>
              <w:t>Position</w:t>
            </w:r>
          </w:p>
        </w:tc>
        <w:tc>
          <w:tcPr>
            <w:tcW w:w="2380" w:type="dxa"/>
            <w:vAlign w:val="bottom"/>
          </w:tcPr>
          <w:p>
            <w:pPr>
              <w:jc w:val="center"/>
              <w:spacing w:after="0"/>
              <w:rPr>
                <w:sz w:val="20"/>
                <w:szCs w:val="20"/>
                <w:color w:val="auto"/>
              </w:rPr>
            </w:pPr>
            <w:r>
              <w:rPr>
                <w:rFonts w:ascii="Arial" w:cs="Arial" w:eastAsia="Arial" w:hAnsi="Arial"/>
                <w:sz w:val="20"/>
                <w:szCs w:val="20"/>
                <w:b w:val="1"/>
                <w:bCs w:val="1"/>
                <w:color w:val="auto"/>
                <w:w w:val="88"/>
              </w:rPr>
              <w:t>Base Salary)</w:t>
            </w:r>
          </w:p>
        </w:tc>
      </w:tr>
      <w:tr>
        <w:trPr>
          <w:trHeight w:val="23"/>
        </w:trPr>
        <w:tc>
          <w:tcPr>
            <w:tcW w:w="806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3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Senior Vice President who is an Executive Committee Member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45%</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Senior Vice President who is not an Executive Committee Member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40%</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Vice President</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35%</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Executive Director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30%</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Senior Director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25%</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Director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22%</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Associate Director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20%</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Senior Manager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18%</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Manager</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15%</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Analyst/Senior Analyst</w:t>
            </w:r>
          </w:p>
        </w:tc>
        <w:tc>
          <w:tcPr>
            <w:tcW w:w="2380" w:type="dxa"/>
            <w:vAlign w:val="bottom"/>
          </w:tcPr>
          <w:p>
            <w:pPr>
              <w:jc w:val="center"/>
              <w:spacing w:after="0"/>
              <w:rPr>
                <w:sz w:val="20"/>
                <w:szCs w:val="20"/>
                <w:color w:val="auto"/>
              </w:rPr>
            </w:pPr>
            <w:r>
              <w:rPr>
                <w:rFonts w:ascii="Arial" w:cs="Arial" w:eastAsia="Arial" w:hAnsi="Arial"/>
                <w:sz w:val="20"/>
                <w:szCs w:val="20"/>
                <w:color w:val="auto"/>
                <w:w w:val="94"/>
              </w:rPr>
              <w:t>12%</w:t>
            </w:r>
          </w:p>
        </w:tc>
      </w:tr>
      <w:tr>
        <w:trPr>
          <w:trHeight w:val="365"/>
        </w:trPr>
        <w:tc>
          <w:tcPr>
            <w:tcW w:w="8960" w:type="dxa"/>
            <w:vAlign w:val="bottom"/>
            <w:gridSpan w:val="2"/>
          </w:tcPr>
          <w:p>
            <w:pPr>
              <w:ind w:left="40"/>
              <w:spacing w:after="0"/>
              <w:rPr>
                <w:sz w:val="20"/>
                <w:szCs w:val="20"/>
                <w:color w:val="auto"/>
              </w:rPr>
            </w:pPr>
            <w:r>
              <w:rPr>
                <w:rFonts w:ascii="Arial" w:cs="Arial" w:eastAsia="Arial" w:hAnsi="Arial"/>
                <w:sz w:val="20"/>
                <w:szCs w:val="20"/>
                <w:color w:val="auto"/>
              </w:rPr>
              <w:t>Support/Senior Support</w:t>
            </w:r>
          </w:p>
        </w:tc>
        <w:tc>
          <w:tcPr>
            <w:tcW w:w="2380" w:type="dxa"/>
            <w:vAlign w:val="bottom"/>
          </w:tcPr>
          <w:p>
            <w:pPr>
              <w:jc w:val="center"/>
              <w:spacing w:after="0"/>
              <w:rPr>
                <w:sz w:val="20"/>
                <w:szCs w:val="20"/>
                <w:color w:val="auto"/>
              </w:rPr>
            </w:pPr>
            <w:r>
              <w:rPr>
                <w:rFonts w:ascii="Arial" w:cs="Arial" w:eastAsia="Arial" w:hAnsi="Arial"/>
                <w:sz w:val="20"/>
                <w:szCs w:val="20"/>
                <w:color w:val="auto"/>
                <w:w w:val="89"/>
              </w:rPr>
              <w:t>8%</w:t>
            </w:r>
          </w:p>
        </w:tc>
      </w:tr>
    </w:tbl>
    <w:p>
      <w:pPr>
        <w:spacing w:after="0" w:line="23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 additional general guidelines, if a Participant moves to a position and/or responsibility level with a higher Target Bonus during a Plan Year, the Participant’s Target Bonus will be reset at such higher level for the entire Plan Year; and if a Participant moves to a position and/or responsibility level with a lower Target Bonus during a Plan Year, the Participant’s Target Bonus will be reset at the lower level for the entire Plan Year, to the extent permissible under applicable local law.</w:t>
      </w:r>
    </w:p>
    <w:p>
      <w:pPr>
        <w:spacing w:after="0" w:line="138"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For any Participant who is a Section 16 Officer of Jazz Pharmaceuticals plc, the Board or the Compensation Committee will determine such Participant’s Target Bonus for the Plan Year.</w:t>
      </w:r>
    </w:p>
    <w:p>
      <w:pPr>
        <w:spacing w:after="0" w:line="1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Bonus Pool and Bonuses</w:t>
      </w:r>
      <w:r>
        <w:rPr>
          <w:rFonts w:ascii="Arial" w:cs="Arial" w:eastAsia="Arial" w:hAnsi="Arial"/>
          <w:sz w:val="16"/>
          <w:szCs w:val="16"/>
          <w:color w:val="auto"/>
        </w:rPr>
        <w:t>.</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121" w:lineRule="exact"/>
        <w:rPr>
          <w:sz w:val="20"/>
          <w:szCs w:val="20"/>
          <w:color w:val="auto"/>
        </w:rPr>
      </w:pPr>
    </w:p>
    <w:p>
      <w:pPr>
        <w:ind w:left="420" w:hanging="412"/>
        <w:spacing w:after="0"/>
        <w:tabs>
          <w:tab w:leader="none" w:pos="4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sum of the following amounts for each Participant:</w:t>
      </w:r>
    </w:p>
    <w:p>
      <w:pPr>
        <w:spacing w:after="0" w:line="175" w:lineRule="exact"/>
        <w:rPr>
          <w:rFonts w:ascii="Arial" w:cs="Arial" w:eastAsia="Arial" w:hAnsi="Arial"/>
          <w:sz w:val="20"/>
          <w:szCs w:val="20"/>
          <w:color w:val="auto"/>
        </w:rPr>
      </w:pPr>
    </w:p>
    <w:p>
      <w:pPr>
        <w:ind w:left="1000" w:hanging="506"/>
        <w:spacing w:after="0"/>
        <w:tabs>
          <w:tab w:leader="none" w:pos="100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Base Salary for such Participant, multiplied by</w:t>
      </w:r>
    </w:p>
    <w:p>
      <w:pPr>
        <w:spacing w:after="0" w:line="53" w:lineRule="exact"/>
        <w:rPr>
          <w:rFonts w:ascii="Arial" w:cs="Arial" w:eastAsia="Arial" w:hAnsi="Arial"/>
          <w:sz w:val="20"/>
          <w:szCs w:val="20"/>
          <w:color w:val="auto"/>
        </w:rPr>
      </w:pPr>
    </w:p>
    <w:p>
      <w:pPr>
        <w:ind w:left="1000" w:hanging="506"/>
        <w:spacing w:after="0"/>
        <w:tabs>
          <w:tab w:leader="none" w:pos="100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such Participant’s applicable Target Bonus;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w:t>
      </w:r>
    </w:p>
    <w:p>
      <w:pPr>
        <w:spacing w:after="0" w:line="189" w:lineRule="exact"/>
        <w:rPr>
          <w:sz w:val="20"/>
          <w:szCs w:val="20"/>
          <w:color w:val="auto"/>
        </w:rPr>
      </w:pPr>
    </w:p>
    <w:p>
      <w:pPr>
        <w:ind w:right="120" w:firstLine="8"/>
        <w:spacing w:after="0" w:line="278" w:lineRule="auto"/>
        <w:tabs>
          <w:tab w:leader="none" w:pos="42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Objectives</w:t>
      </w:r>
      <w:r>
        <w:rPr>
          <w:rFonts w:ascii="Arial" w:cs="Arial" w:eastAsia="Arial" w:hAnsi="Arial"/>
          <w:sz w:val="20"/>
          <w:szCs w:val="20"/>
          <w:color w:val="auto"/>
        </w:rPr>
        <w:t>”).</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0"/>
          <w:szCs w:val="20"/>
          <w:b w:val="1"/>
          <w:bCs w:val="1"/>
          <w:i w:val="1"/>
          <w:iCs w:val="1"/>
          <w:color w:val="auto"/>
        </w:rPr>
        <w:t>Corporate Objectives</w:t>
      </w:r>
      <w:r>
        <w:rPr>
          <w:rFonts w:ascii="Arial" w:cs="Arial" w:eastAsia="Arial" w:hAnsi="Arial"/>
          <w:sz w:val="20"/>
          <w:szCs w:val="20"/>
          <w:color w:val="auto"/>
        </w:rPr>
        <w:t>”).</w:t>
      </w:r>
    </w:p>
    <w:p>
      <w:pPr>
        <w:spacing w:after="0" w:line="121" w:lineRule="exact"/>
        <w:rPr>
          <w:sz w:val="20"/>
          <w:szCs w:val="20"/>
          <w:color w:val="auto"/>
        </w:rPr>
      </w:pPr>
    </w:p>
    <w:p>
      <w:pPr>
        <w:ind w:right="20"/>
        <w:spacing w:after="0" w:line="316" w:lineRule="auto"/>
        <w:rPr>
          <w:sz w:val="20"/>
          <w:szCs w:val="20"/>
          <w:color w:val="auto"/>
        </w:rPr>
      </w:pPr>
      <w:r>
        <w:rPr>
          <w:rFonts w:ascii="Arial" w:cs="Arial" w:eastAsia="Arial" w:hAnsi="Arial"/>
          <w:sz w:val="19"/>
          <w:szCs w:val="19"/>
          <w:color w:val="auto"/>
        </w:rPr>
        <w:t>At the discretion of the Board or the Compensation Committee, the Bonus Pool will be reduced by the amount of bonuses that are required to be paid to any Participants under applicable collective bargaining agreements, labor union arrangements, or the like, if 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495" w:right="239" w:bottom="1440" w:gutter="0" w:footer="0" w:header="0"/>
        </w:sectPr>
      </w:pPr>
    </w:p>
    <w:bookmarkStart w:id="234" w:name="page235"/>
    <w:bookmarkEnd w:id="234"/>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Bonus</w:t>
      </w:r>
      <w:r>
        <w:rPr>
          <w:rFonts w:ascii="Arial" w:cs="Arial" w:eastAsia="Arial" w:hAnsi="Arial"/>
          <w:sz w:val="16"/>
          <w:szCs w:val="16"/>
          <w:color w:val="auto"/>
        </w:rPr>
        <w:t>.</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Except as provided in Section 6, a Participant’s Bonus (on a gross basis)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as evaluated at the discretion of the employer. Applying these criteria, a participant may (or may not) be entitled to any Bonus. In the event that a Participant is to receive a Bonus, except as provided in Section 6, the amount of Bonus actually paid to each Participant will be an amount equal to such Participant’s Base Salary multiplied by the applicable Target Bonus (as may be adjusted up or down for each Participant by the Board, the Compensation Committee or the Company’s management, as appropriate, based on the criteria set forth above, and will be reduced by the amount of any bonuses that are required to be paid to the Participant under applicable collective bargaining agreements, labor union arrangements, or the like). Each Participant’s Bonus for a Plan Year will be approved by the Chief Executive Officer or his or her delegate, except that in the case of any Participant who is a Section 16 Officer of Jazz Pharmaceuticals plc, such Participant’s Bonus will be approved by the Board or the Compensation Committee.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Termination of Employment; Death; Retirement; Permanent Disability</w:t>
      </w:r>
      <w:r>
        <w:rPr>
          <w:rFonts w:ascii="Arial" w:cs="Arial" w:eastAsia="Arial" w:hAnsi="Arial"/>
          <w:sz w:val="18"/>
          <w:szCs w:val="18"/>
          <w:color w:val="auto"/>
        </w:rPr>
        <w:t>.</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 Bonus, prorated or otherwise, will be paid to any Participant whose employment with the Company or a Specified Affiliate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In the case of a Participant whose employment with the Company or a Specified Affiliate terminates (including due to death, retirement or Permanent Disability) prior to the Bonus Payment Date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 to the extent permissible under applicable local law.</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Any Participant whose employment with the Company or a Specified Affiliate terminates (including due to death, retirement or Permanent Disability) prior to the Bonus Payment Date and who becomes entitled to receive a Bonus pursuant to this Section 6 will be paid such Bonus at the time determined by the Company’s management, which will in no event be later than the Bonus Payment Date.</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Unless otherwise required under applicable local law, payments under this Plan shall not be included in calculation of any payment in lieu of notice, severance pay, termination, indemnity or similar pay.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46" w:right="239" w:bottom="1440" w:gutter="0" w:footer="0" w:header="0"/>
        </w:sectPr>
      </w:pPr>
    </w:p>
    <w:bookmarkStart w:id="235" w:name="page236"/>
    <w:bookmarkEnd w:id="235"/>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Payment of Bonuses</w:t>
      </w:r>
      <w:r>
        <w:rPr>
          <w:rFonts w:ascii="Arial" w:cs="Arial" w:eastAsia="Arial" w:hAnsi="Arial"/>
          <w:sz w:val="16"/>
          <w:szCs w:val="16"/>
          <w:color w:val="auto"/>
        </w:rPr>
        <w:t>.</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Bonuses for a Plan Year will be paid in cash to a Participant (or his/her beneficiary, in the event of death) by 15 March of the following year (the “</w:t>
      </w:r>
      <w:r>
        <w:rPr>
          <w:rFonts w:ascii="Arial" w:cs="Arial" w:eastAsia="Arial" w:hAnsi="Arial"/>
          <w:sz w:val="20"/>
          <w:szCs w:val="20"/>
          <w:b w:val="1"/>
          <w:bCs w:val="1"/>
          <w:i w:val="1"/>
          <w:iCs w:val="1"/>
          <w:color w:val="auto"/>
        </w:rPr>
        <w:t>Bonus Payment Date</w:t>
      </w:r>
      <w:r>
        <w:rPr>
          <w:rFonts w:ascii="Arial" w:cs="Arial" w:eastAsia="Arial" w:hAnsi="Arial"/>
          <w:sz w:val="20"/>
          <w:szCs w:val="20"/>
          <w:color w:val="auto"/>
        </w:rPr>
        <w:t>”),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Benefits under this Plan are not transferable, to the extent permissible under applicable local law.</w:t>
      </w:r>
    </w:p>
    <w:p>
      <w:pPr>
        <w:spacing w:after="0" w:line="13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8"/>
          <w:szCs w:val="18"/>
          <w:b w:val="1"/>
          <w:bCs w:val="1"/>
          <w:color w:val="auto"/>
        </w:rPr>
        <w:t>Withholding of Taxes and Mandatory Contributions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Bonuses will be subject to applicable tax and social security withholding as required by applicable local laws.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Plan Amendments</w:t>
      </w:r>
      <w:r>
        <w:rPr>
          <w:rFonts w:ascii="Arial" w:cs="Arial" w:eastAsia="Arial" w:hAnsi="Arial"/>
          <w:sz w:val="16"/>
          <w:szCs w:val="16"/>
          <w:color w:val="auto"/>
        </w:rPr>
        <w:t>.</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No Employment Rights; No Acquired Rights</w:t>
      </w:r>
      <w:r>
        <w:rPr>
          <w:rFonts w:ascii="Arial" w:cs="Arial" w:eastAsia="Arial" w:hAnsi="Arial"/>
          <w:sz w:val="16"/>
          <w:szCs w:val="16"/>
          <w:color w:val="auto"/>
        </w:rPr>
        <w:t>.</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Nothing contained in this Plan is intended to confer any right upon any employee to continued employment with the Company or any Specified Affiliate or other affiliate thereof.</w:t>
      </w:r>
    </w:p>
    <w:p>
      <w:pPr>
        <w:spacing w:after="0" w:line="121"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Any payment of Bonuses would be on a voluntary and discretionary basis, without creating any contractual or other acquired right to participate with respect to a similar (or any other) bonus plan or to receive any similar awards (or benefits in lieu) in the future.</w:t>
      </w:r>
    </w:p>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Plan Administration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9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benefits, expense reimbursements, relocation payments, incentive compensation or bonuses, amounts received as a result of equity awards, overtime or shift differential payments or similar one-time or unusual payments. Any salary or pay earned for periods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46" w:right="239" w:bottom="1440" w:gutter="0" w:footer="0" w:header="0"/>
        </w:sectPr>
      </w:pPr>
    </w:p>
    <w:bookmarkStart w:id="236" w:name="page237"/>
    <w:bookmarkEnd w:id="236"/>
    <w:p>
      <w:pPr>
        <w:jc w:val="both"/>
        <w:spacing w:after="0" w:line="289" w:lineRule="auto"/>
        <w:rPr>
          <w:sz w:val="20"/>
          <w:szCs w:val="20"/>
          <w:color w:val="auto"/>
        </w:rPr>
      </w:pPr>
      <w:r>
        <w:rPr>
          <w:rFonts w:ascii="Arial" w:cs="Arial" w:eastAsia="Arial" w:hAnsi="Arial"/>
          <w:sz w:val="20"/>
          <w:szCs w:val="20"/>
          <w:color w:val="auto"/>
        </w:rPr>
        <w:t>during which a Participant is on disciplinary action or serving a notice period are excluded from Base Salary to the extent permissible under applicable local law.</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Jazz Pharmaceuticals plc.</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00"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for a Plan Year means the aggregate dollar amount set by the Board or the Compensation Committee for the payment of Bonuses for such Plan Year to Participants as set forth in Section 4.</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means the Chief Executive Officer of Jazz Pharmaceuticals plc.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means the Compensation Committee of the Board.</w:t>
      </w:r>
    </w:p>
    <w:p>
      <w:pPr>
        <w:spacing w:after="0" w:line="189"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Start Date</w:t>
      </w:r>
      <w:r>
        <w:rPr>
          <w:rFonts w:ascii="Arial" w:cs="Arial" w:eastAsia="Arial" w:hAnsi="Arial"/>
          <w:sz w:val="20"/>
          <w:szCs w:val="20"/>
          <w:color w:val="auto"/>
        </w:rPr>
        <w:t>” means the first business day on which a Participant is an employee of the Company or a Specified Affiliate, on the Company’s or such Affiliate’s payroll, as applicable.</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Committee Member</w:t>
      </w:r>
      <w:r>
        <w:rPr>
          <w:rFonts w:ascii="Arial" w:cs="Arial" w:eastAsia="Arial" w:hAnsi="Arial"/>
          <w:sz w:val="20"/>
          <w:szCs w:val="20"/>
          <w:color w:val="auto"/>
        </w:rPr>
        <w:t>” means an employee of the Company who serves as a member of the Company’s executive committee, as determined by the Chief Executive Officer from time to time.</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Ireland and Other Specified Affiliate</w:t>
      </w:r>
      <w:r>
        <w:rPr>
          <w:rFonts w:ascii="Arial" w:cs="Arial" w:eastAsia="Arial" w:hAnsi="Arial"/>
          <w:sz w:val="20"/>
          <w:szCs w:val="20"/>
          <w:color w:val="auto"/>
        </w:rPr>
        <w:t>” means any “parent” or “subsidiary” of the Company that is organized under the laws of Ireland, under the laws of any other country within Europe, or under the laws of Canada. In addition, the Board or the Compensation Committee can designate any other “parent” or “subsidiary” of the Company to be included within this definition.</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employee of the Company or an Ireland and Other Specified Affiliate who meets all of the eligibility requirements set forth in Section 2.</w:t>
      </w:r>
    </w:p>
    <w:p>
      <w:pPr>
        <w:spacing w:after="0" w:line="121"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Permanent Disability</w:t>
      </w:r>
      <w:r>
        <w:rPr>
          <w:rFonts w:ascii="Arial" w:cs="Arial" w:eastAsia="Arial" w:hAnsi="Arial"/>
          <w:sz w:val="20"/>
          <w:szCs w:val="20"/>
          <w:color w:val="auto"/>
        </w:rPr>
        <w:t>” means that a Participant has become permanently disabled under any policy or program of disability income insurance then in force covering such Participant.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Jazz Pharmaceuticals Cash Bonus Plan (Ireland and Other Specified Affiliates) (Calendar Year 2020).</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Year</w:t>
      </w:r>
      <w:r>
        <w:rPr>
          <w:rFonts w:ascii="Arial" w:cs="Arial" w:eastAsia="Arial" w:hAnsi="Arial"/>
          <w:sz w:val="19"/>
          <w:szCs w:val="19"/>
          <w:color w:val="auto"/>
        </w:rPr>
        <w:t>” means the calendar year beginning 1 January 2020 and ending 31 December 2020, after which the Plan should expire.</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16 Officer</w:t>
      </w:r>
      <w:r>
        <w:rPr>
          <w:rFonts w:ascii="Arial" w:cs="Arial" w:eastAsia="Arial" w:hAnsi="Arial"/>
          <w:sz w:val="20"/>
          <w:szCs w:val="20"/>
          <w:color w:val="auto"/>
        </w:rPr>
        <w:t>” means an individual who has been designated by the Board as an “officer” of Jazz Pharmaceuticals plc for the purposes of Section 16 of the Securities Exchange Act of 1934, as amended, and Rule 16a-1(f) thereunder.</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means, for a Participant for a Plan Year, the percentage of Base Salary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 approved by the Compensation Committee of the Board of Directors of Jazz Pharmaceuticals plc on 30 October 2019.</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52" w:right="239" w:bottom="1440" w:gutter="0" w:footer="0" w:header="0"/>
        </w:sectPr>
      </w:pPr>
    </w:p>
    <w:bookmarkStart w:id="237" w:name="page238"/>
    <w:bookmarkEnd w:id="237"/>
    <w:p>
      <w:pPr>
        <w:spacing w:after="0"/>
        <w:rPr>
          <w:sz w:val="20"/>
          <w:szCs w:val="20"/>
          <w:color w:val="auto"/>
        </w:rPr>
      </w:pPr>
      <w:r>
        <w:rPr>
          <w:rFonts w:ascii="Arial" w:cs="Arial" w:eastAsia="Arial" w:hAnsi="Arial"/>
          <w:sz w:val="20"/>
          <w:szCs w:val="20"/>
          <w:b w:val="1"/>
          <w:bCs w:val="1"/>
          <w:color w:val="auto"/>
        </w:rPr>
        <w:t>AGREEMENT AND ACCEPTANCE</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 acknowledge that this Cash Bonus Plan for the Plan Year beginning 1 January 2020 and ending 31 December 2020 supersedes and replaces all prior agreements, representations or understandings, whether written, oral or implied, between the Company, my employer and me, with respect to this subject matter. Further, I acknowledge that I have read, understand, and agree to comply with all of the terms and conditions of this Cash Bonus Plan.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Employee Signature: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738"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300"/>
          </w:cols>
          <w:pgMar w:left="360" w:top="6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State/Jurisdiction of Incorporation</w:t>
      </w:r>
    </w:p>
    <w:p>
      <w:pPr>
        <w:spacing w:after="0" w:line="200"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Ireland Limited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4040"/>
        <w:spacing w:after="0"/>
        <w:rPr>
          <w:sz w:val="20"/>
          <w:szCs w:val="20"/>
          <w:color w:val="auto"/>
        </w:rPr>
      </w:pPr>
      <w:r>
        <w:rPr>
          <w:rFonts w:ascii="Arial" w:cs="Arial" w:eastAsia="Arial" w:hAnsi="Arial"/>
          <w:sz w:val="17"/>
          <w:szCs w:val="17"/>
          <w:color w:val="auto"/>
        </w:rPr>
        <w:t>Ireland</w:t>
      </w:r>
    </w:p>
    <w:p>
      <w:pPr>
        <w:spacing w:after="0" w:line="75"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Financing I DAC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Ireland</w:t>
      </w:r>
    </w:p>
    <w:p>
      <w:pPr>
        <w:spacing w:after="0" w:line="75"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Capital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Ireland</w:t>
      </w:r>
    </w:p>
    <w:p>
      <w:pPr>
        <w:spacing w:after="0" w:line="75"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Jazz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Celator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Europe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Gibraltar</w:t>
      </w:r>
    </w:p>
    <w:p>
      <w:pPr>
        <w:spacing w:after="0" w:line="75"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Jazz Pharmaceuticals France SAS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Lux S.à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Gentium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Investments 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ectPr>
          <w:pgSz w:w="11900" w:h="16838" w:orient="portrait"/>
          <w:cols w:equalWidth="0" w:num="2">
            <w:col w:w="6020" w:space="720"/>
            <w:col w:w="4560"/>
          </w:cols>
          <w:pgMar w:left="360" w:top="6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International Limited</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6"/>
          <w:szCs w:val="16"/>
          <w:color w:val="auto"/>
        </w:rPr>
        <w:t>Bermuda</w:t>
      </w:r>
    </w:p>
    <w:p>
      <w:pPr>
        <w:sectPr>
          <w:pgSz w:w="11900" w:h="16838" w:orient="portrait"/>
          <w:cols w:equalWidth="0" w:num="2">
            <w:col w:w="6020" w:space="720"/>
            <w:col w:w="4560"/>
          </w:cols>
          <w:pgMar w:left="360" w:top="608" w:right="239" w:bottom="1440" w:gutter="0" w:footer="0" w:header="0"/>
          <w:type w:val="continuous"/>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00" w:lineRule="exact"/>
        <w:rPr>
          <w:sz w:val="20"/>
          <w:szCs w:val="20"/>
          <w:color w:val="auto"/>
        </w:rPr>
      </w:pPr>
    </w:p>
    <w:p>
      <w:pPr>
        <w:spacing w:after="0" w:line="240"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 333</w:t>
      </w:r>
      <w:r>
        <w:rPr>
          <w:rFonts w:ascii="MS PGothic" w:cs="MS PGothic" w:eastAsia="MS PGothic" w:hAnsi="MS PGothic"/>
          <w:sz w:val="17"/>
          <w:szCs w:val="17"/>
          <w:color w:val="auto"/>
        </w:rPr>
        <w:t>‑</w:t>
      </w:r>
      <w:r>
        <w:rPr>
          <w:rFonts w:ascii="Arial" w:cs="Arial" w:eastAsia="Arial" w:hAnsi="Arial"/>
          <w:sz w:val="17"/>
          <w:szCs w:val="17"/>
          <w:color w:val="auto"/>
        </w:rPr>
        <w:t>229889, No. 333-224757, No. 333-216338, No. 333-209767, No. 333-202269, No. 333-194131, No. 333-186886 and No. 333-179075) on Form S-8 of Jazz Pharmaceuticals plc of our reports dated February 25, 2020, with respect to the consolidated balance sheets of Jazz Pharmaceuticals plc as of December 31, 2019 and 2018, the related consolidated statements of income, comprehensive income, shareholders’ equity, and cash flows for each of the years in the three-year period ended December 31, 2019, and the related notes and financial statement schedule at Item 15(a)2, and the effectiveness of internal control over financial reporting as of December 31, 2019, which reports appear in the December 31,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Jazz Pharmaceuticals plc.</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INTERIM PRINICIPAL FINANCIAL OFFICER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93"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 w:leader="none" w:pos="8040" w:val="left"/>
          <w:tab w:leader="none" w:pos="8400" w:val="left"/>
        </w:tabs>
        <w:rPr>
          <w:sz w:val="20"/>
          <w:szCs w:val="20"/>
          <w:color w:val="auto"/>
        </w:rPr>
      </w:pPr>
      <w:r>
        <w:rPr>
          <w:rFonts w:ascii="Arial" w:cs="Arial" w:eastAsia="Arial" w:hAnsi="Arial"/>
          <w:sz w:val="18"/>
          <w:szCs w:val="18"/>
          <w:color w:val="auto"/>
        </w:rPr>
        <w:t>Date: February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Bruce C. Cozadd</w:t>
      </w:r>
    </w:p>
    <w:p>
      <w:pPr>
        <w:jc w:val="center"/>
        <w:ind w:left="6280"/>
        <w:spacing w:after="0" w:line="226" w:lineRule="auto"/>
        <w:rPr>
          <w:sz w:val="20"/>
          <w:szCs w:val="20"/>
          <w:color w:val="auto"/>
        </w:rPr>
      </w:pPr>
      <w:r>
        <w:rPr>
          <w:rFonts w:ascii="Arial" w:cs="Arial" w:eastAsia="Arial" w:hAnsi="Arial"/>
          <w:sz w:val="14"/>
          <w:szCs w:val="14"/>
          <w:b w:val="1"/>
          <w:bCs w:val="1"/>
          <w:color w:val="auto"/>
        </w:rPr>
        <w:t>Chairman, Chief Executive Officer and Director</w:t>
      </w:r>
    </w:p>
    <w:p>
      <w:pPr>
        <w:jc w:val="center"/>
        <w:ind w:left="6280"/>
        <w:spacing w:after="0" w:line="222" w:lineRule="auto"/>
        <w:rPr>
          <w:sz w:val="20"/>
          <w:szCs w:val="20"/>
          <w:color w:val="auto"/>
        </w:rPr>
      </w:pPr>
      <w:r>
        <w:rPr>
          <w:rFonts w:ascii="Arial" w:cs="Arial" w:eastAsia="Arial" w:hAnsi="Arial"/>
          <w:sz w:val="14"/>
          <w:szCs w:val="14"/>
          <w:b w:val="1"/>
          <w:bCs w:val="1"/>
          <w:color w:val="auto"/>
        </w:rPr>
        <w:t>(Principal Executive Officer and</w:t>
      </w:r>
    </w:p>
    <w:p>
      <w:pPr>
        <w:jc w:val="center"/>
        <w:ind w:left="6280"/>
        <w:spacing w:after="0"/>
        <w:rPr>
          <w:sz w:val="20"/>
          <w:szCs w:val="20"/>
          <w:color w:val="auto"/>
        </w:rPr>
      </w:pPr>
      <w:r>
        <w:rPr>
          <w:rFonts w:ascii="Arial" w:cs="Arial" w:eastAsia="Arial" w:hAnsi="Arial"/>
          <w:sz w:val="14"/>
          <w:szCs w:val="14"/>
          <w:b w:val="1"/>
          <w:bCs w:val="1"/>
          <w:color w:val="auto"/>
        </w:rPr>
        <w:t>Interim Principal Financial Officer)</w:t>
      </w:r>
    </w:p>
    <w:p>
      <w:pPr>
        <w:sectPr>
          <w:pgSz w:w="11900" w:h="16838" w:orient="portrait"/>
          <w:cols w:equalWidth="0" w:num="1">
            <w:col w:w="11420"/>
          </w:cols>
          <w:pgMar w:left="240" w:top="121"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Section 1350), Bruce C. Cozadd, Principal Executive Officer and Interim Principal Financial Officer of Jazz Pharmaceuticals public limited company (the “Company”), hereby certifies that, to the best of his knowledge:</w:t>
      </w:r>
    </w:p>
    <w:p>
      <w:pPr>
        <w:spacing w:after="0" w:line="233" w:lineRule="exact"/>
        <w:rPr>
          <w:sz w:val="20"/>
          <w:szCs w:val="20"/>
          <w:color w:val="auto"/>
        </w:rPr>
      </w:pPr>
    </w:p>
    <w:p>
      <w:pPr>
        <w:ind w:left="740" w:right="300" w:hanging="327"/>
        <w:spacing w:after="0" w:line="308" w:lineRule="auto"/>
        <w:tabs>
          <w:tab w:leader="none" w:pos="7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2019, to which this Certification is attached as Exhibit 32.1 (the “Periodic Report”), fully complies with the requirements of Section 13(a) or Section 15(d) of the Exchange Act; and</w:t>
      </w:r>
    </w:p>
    <w:p>
      <w:pPr>
        <w:spacing w:after="0" w:line="106" w:lineRule="exact"/>
        <w:rPr>
          <w:rFonts w:ascii="Arial" w:cs="Arial" w:eastAsia="Arial" w:hAnsi="Arial"/>
          <w:sz w:val="17"/>
          <w:szCs w:val="17"/>
          <w:color w:val="auto"/>
        </w:rPr>
      </w:pPr>
    </w:p>
    <w:p>
      <w:pPr>
        <w:ind w:left="740" w:right="380" w:hanging="327"/>
        <w:spacing w:after="0" w:line="277" w:lineRule="auto"/>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Chairman, Chief Executive Officer and Director (Principal Executive</w:t>
      </w:r>
    </w:p>
    <w:p>
      <w:pPr>
        <w:jc w:val="center"/>
        <w:ind w:right="6860"/>
        <w:spacing w:after="0" w:line="226" w:lineRule="auto"/>
        <w:rPr>
          <w:sz w:val="20"/>
          <w:szCs w:val="20"/>
          <w:color w:val="auto"/>
        </w:rPr>
      </w:pPr>
      <w:r>
        <w:rPr>
          <w:rFonts w:ascii="Arial" w:cs="Arial" w:eastAsia="Arial" w:hAnsi="Arial"/>
          <w:sz w:val="14"/>
          <w:szCs w:val="14"/>
          <w:b w:val="1"/>
          <w:bCs w:val="1"/>
          <w:color w:val="auto"/>
        </w:rPr>
        <w:t>Officer and</w:t>
      </w:r>
    </w:p>
    <w:p>
      <w:pPr>
        <w:spacing w:after="0" w:line="1"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Interim Principal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20" w:hanging="331"/>
        <w:spacing w:after="0" w:line="252" w:lineRule="auto"/>
        <w:tabs>
          <w:tab w:leader="none" w:pos="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1)"/>
      <w:numFmt w:val="lowerRoman"/>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1)"/>
      <w:numFmt w:val="decimal"/>
      <w:start w:val="1"/>
    </w:lvl>
  </w:abstractNum>
  <w:abstractNum w:abstractNumId="23">
    <w:nsid w:val="7D5E18F8"/>
    <w:multiLevelType w:val="hybridMultilevel"/>
    <w:lvl w:ilvl="0">
      <w:lvlJc w:val="left"/>
      <w:lvlText w:val="(%1)"/>
      <w:numFmt w:val="decimal"/>
      <w:start w:val="1"/>
    </w:lvl>
  </w:abstractNum>
  <w:abstractNum w:abstractNumId="24">
    <w:nsid w:val="5F3534A4"/>
    <w:multiLevelType w:val="hybridMultilevel"/>
    <w:lvl w:ilvl="0">
      <w:lvlJc w:val="left"/>
      <w:lvlText w:val="(%1)"/>
      <w:numFmt w:val="decimal"/>
      <w:start w:val="4"/>
    </w:lvl>
  </w:abstractNum>
  <w:abstractNum w:abstractNumId="25">
    <w:nsid w:val="73A1821B"/>
    <w:multiLevelType w:val="hybridMultilevel"/>
    <w:lvl w:ilvl="0">
      <w:lvlJc w:val="left"/>
      <w:lvlText w:val="(%1)"/>
      <w:numFmt w:val="decimal"/>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1)"/>
      <w:numFmt w:val="decimal"/>
      <w:start w:val="1"/>
    </w:lvl>
  </w:abstractNum>
  <w:abstractNum w:abstractNumId="35">
    <w:nsid w:val="5092CA79"/>
    <w:multiLevelType w:val="hybridMultilevel"/>
    <w:lvl w:ilvl="0">
      <w:lvlJc w:val="left"/>
      <w:lvlText w:val="(%1)"/>
      <w:numFmt w:val="decimal"/>
      <w:start w:val="4"/>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1."/>
      <w:numFmt w:val="decimal"/>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1"/>
      <w:numFmt w:val="decimal"/>
      <w:start w:val="1"/>
    </w:lvl>
    <w:lvl w:ilvl="1">
      <w:lvlJc w:val="left"/>
      <w:lvlText w:val="(%2)"/>
      <w:numFmt w:val="lowerLetter"/>
      <w:start w:val="1"/>
    </w:lvl>
  </w:abstractNum>
  <w:abstractNum w:abstractNumId="40">
    <w:nsid w:val="1D9F6E5F"/>
    <w:multiLevelType w:val="hybridMultilevel"/>
    <w:lvl w:ilvl="0">
      <w:lvlJc w:val="left"/>
      <w:lvlText w:val="%1."/>
      <w:numFmt w:val="decimal"/>
      <w:start w:val="1"/>
    </w:lvl>
    <w:lvl w:ilvl="1">
      <w:lvlJc w:val="left"/>
      <w:lvlText w:val="%2"/>
      <w:numFmt w:val="lowerLetter"/>
      <w:start w:val="1"/>
    </w:lvl>
  </w:abstractNum>
  <w:abstractNum w:abstractNumId="41">
    <w:nsid w:val="97E1B4E"/>
    <w:multiLevelType w:val="hybridMultilevel"/>
    <w:lvl w:ilvl="0">
      <w:lvlJc w:val="left"/>
      <w:lvlText w:val="%1."/>
      <w:numFmt w:val="decimal"/>
      <w:start w:val="2"/>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endash "/>
      <w:numFmt w:val="bullet"/>
      <w:start w:val="1"/>
    </w:lvl>
  </w:abstractNum>
  <w:abstractNum w:abstractNumId="47">
    <w:nsid w:val="23D86AAC"/>
    <w:multiLevelType w:val="hybridMultilevel"/>
    <w:lvl w:ilvl="0">
      <w:lvlJc w:val="left"/>
      <w:lvlText w:val="\endash "/>
      <w:numFmt w:val="bullet"/>
      <w:start w:val="1"/>
    </w:lvl>
  </w:abstractNum>
  <w:abstractNum w:abstractNumId="48">
    <w:nsid w:val="45E6D486"/>
    <w:multiLevelType w:val="hybridMultilevel"/>
    <w:lvl w:ilvl="0">
      <w:lvlJc w:val="left"/>
      <w:lvlText w:val="\endash "/>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1"/>
      <w:numFmt w:val="decimal"/>
      <w:start w:val="1"/>
    </w:lvl>
    <w:lvl w:ilvl="1">
      <w:lvlJc w:val="left"/>
      <w:lvlText w:val="(%2)"/>
      <w:numFmt w:val="decimal"/>
      <w:start w:val="1"/>
    </w:lvl>
  </w:abstractNum>
  <w:abstractNum w:abstractNumId="52">
    <w:nsid w:val="4BD8591A"/>
    <w:multiLevelType w:val="hybridMultilevel"/>
    <w:lvl w:ilvl="0">
      <w:lvlJc w:val="left"/>
      <w:lvlText w:val="%1."/>
      <w:numFmt w:val="decimal"/>
      <w:start w:val="18"/>
    </w:lvl>
    <w:lvl w:ilvl="1">
      <w:lvlJc w:val="left"/>
      <w:lvlText w:val="%2"/>
      <w:numFmt w:val="decimal"/>
      <w:start w:val="1"/>
    </w:lvl>
  </w:abstractNum>
  <w:abstractNum w:abstractNumId="53">
    <w:nsid w:val="78DF6A55"/>
    <w:multiLevelType w:val="hybridMultilevel"/>
    <w:lvl w:ilvl="0">
      <w:lvlJc w:val="left"/>
      <w:lvlText w:val="(%1)"/>
      <w:numFmt w:val="decimal"/>
      <w:start w:val="1"/>
    </w:lvl>
    <w:lvl w:ilvl="1">
      <w:lvlJc w:val="left"/>
      <w:lvlText w:val="•"/>
      <w:numFmt w:val="bullet"/>
      <w:start w:val="1"/>
    </w:lvl>
  </w:abstractNum>
  <w:abstractNum w:abstractNumId="54">
    <w:nsid w:val="39B7AAA2"/>
    <w:multiLevelType w:val="hybridMultilevel"/>
    <w:lvl w:ilvl="0">
      <w:lvlJc w:val="left"/>
      <w:lvlText w:val="(%1)"/>
      <w:numFmt w:val="decimal"/>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1)"/>
      <w:numFmt w:val="lowerRoman"/>
      <w:start w:val="4"/>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1."/>
      <w:numFmt w:val="upperLetter"/>
      <w:start w:val="1"/>
    </w:lvl>
  </w:abstractNum>
  <w:abstractNum w:abstractNumId="66">
    <w:nsid w:val="2708C9AF"/>
    <w:multiLevelType w:val="hybridMultilevel"/>
    <w:lvl w:ilvl="0">
      <w:lvlJc w:val="left"/>
      <w:lvlText w:val="%1."/>
      <w:numFmt w:val="decimal"/>
      <w:start w:val="1"/>
    </w:lvl>
  </w:abstractNum>
  <w:abstractNum w:abstractNumId="67">
    <w:nsid w:val="5B25ACE2"/>
    <w:multiLevelType w:val="hybridMultilevel"/>
    <w:lvl w:ilvl="0">
      <w:lvlJc w:val="left"/>
      <w:lvlText w:val="%1."/>
      <w:numFmt w:val="decimal"/>
      <w:start w:val="2"/>
    </w:lvl>
  </w:abstractNum>
  <w:abstractNum w:abstractNumId="68">
    <w:nsid w:val="175DFCF0"/>
    <w:multiLevelType w:val="hybridMultilevel"/>
    <w:lvl w:ilvl="0">
      <w:lvlJc w:val="left"/>
      <w:lvlText w:val="%1)"/>
      <w:numFmt w:val="lowerLetter"/>
      <w:start w:val="1"/>
    </w:lvl>
  </w:abstractNum>
  <w:abstractNum w:abstractNumId="69">
    <w:nsid w:val="4F97E3E4"/>
    <w:multiLevelType w:val="hybridMultilevel"/>
    <w:lvl w:ilvl="0">
      <w:lvlJc w:val="left"/>
      <w:lvlText w:val="%1)"/>
      <w:numFmt w:val="lowerLetter"/>
      <w:start w:val="3"/>
    </w:lvl>
  </w:abstractNum>
  <w:abstractNum w:abstractNumId="70">
    <w:nsid w:val="53B0A9E"/>
    <w:multiLevelType w:val="hybridMultilevel"/>
    <w:lvl w:ilvl="0">
      <w:lvlJc w:val="left"/>
      <w:lvlText w:val="(%1)"/>
      <w:numFmt w:val="lowerRoman"/>
      <w:start w:val="1"/>
    </w:lvl>
  </w:abstractNum>
  <w:abstractNum w:abstractNumId="71">
    <w:nsid w:val="34FD6B4F"/>
    <w:multiLevelType w:val="hybridMultilevel"/>
    <w:lvl w:ilvl="0">
      <w:lvlJc w:val="left"/>
      <w:lvlText w:val="%1."/>
      <w:numFmt w:val="decimal"/>
      <w:start w:val="3"/>
    </w:lvl>
  </w:abstractNum>
  <w:abstractNum w:abstractNumId="72">
    <w:nsid w:val="5915FF32"/>
    <w:multiLevelType w:val="hybridMultilevel"/>
    <w:lvl w:ilvl="0">
      <w:lvlJc w:val="left"/>
      <w:lvlText w:val="(%1)"/>
      <w:numFmt w:val="lowerRoman"/>
      <w:start w:val="1"/>
    </w:lvl>
  </w:abstractNum>
  <w:abstractNum w:abstractNumId="73">
    <w:nsid w:val="56438D15"/>
    <w:multiLevelType w:val="hybridMultilevel"/>
    <w:lvl w:ilvl="0">
      <w:lvlJc w:val="left"/>
      <w:lvlText w:val="(%1)"/>
      <w:numFmt w:val="lowerRoman"/>
      <w:start w:val="1"/>
    </w:lvl>
  </w:abstractNum>
  <w:abstractNum w:abstractNumId="74">
    <w:nsid w:val="519E3149"/>
    <w:multiLevelType w:val="hybridMultilevel"/>
    <w:lvl w:ilvl="0">
      <w:lvlJc w:val="left"/>
      <w:lvlText w:val="%1."/>
      <w:numFmt w:val="decimal"/>
      <w:start w:val="4"/>
    </w:lvl>
  </w:abstractNum>
  <w:abstractNum w:abstractNumId="75">
    <w:nsid w:val="2C6E4AFD"/>
    <w:multiLevelType w:val="hybridMultilevel"/>
    <w:lvl w:ilvl="0">
      <w:lvlJc w:val="left"/>
      <w:lvlText w:val="%1."/>
      <w:numFmt w:val="decimal"/>
      <w:start w:val="5"/>
    </w:lvl>
  </w:abstractNum>
  <w:abstractNum w:abstractNumId="76">
    <w:nsid w:val="17A1B582"/>
    <w:multiLevelType w:val="hybridMultilevel"/>
    <w:lvl w:ilvl="0">
      <w:lvlJc w:val="left"/>
      <w:lvlText w:val="%1."/>
      <w:numFmt w:val="decimal"/>
      <w:start w:val="6"/>
    </w:lvl>
  </w:abstractNum>
  <w:abstractNum w:abstractNumId="77">
    <w:nsid w:val="4DF72E4E"/>
    <w:multiLevelType w:val="hybridMultilevel"/>
    <w:lvl w:ilvl="0">
      <w:lvlJc w:val="left"/>
      <w:lvlText w:val="%1."/>
      <w:numFmt w:val="decimal"/>
      <w:start w:val="7"/>
    </w:lvl>
  </w:abstractNum>
  <w:abstractNum w:abstractNumId="78">
    <w:nsid w:val="5046B5A9"/>
    <w:multiLevelType w:val="hybridMultilevel"/>
    <w:lvl w:ilvl="0">
      <w:lvlJc w:val="left"/>
      <w:lvlText w:val="%1."/>
      <w:numFmt w:val="decimal"/>
      <w:start w:val="8"/>
    </w:lvl>
  </w:abstractNum>
  <w:abstractNum w:abstractNumId="79">
    <w:nsid w:val="5D888A08"/>
    <w:multiLevelType w:val="hybridMultilevel"/>
    <w:lvl w:ilvl="0">
      <w:lvlJc w:val="left"/>
      <w:lvlText w:val="%1."/>
      <w:numFmt w:val="decimal"/>
      <w:start w:val="9"/>
    </w:lvl>
  </w:abstractNum>
  <w:abstractNum w:abstractNumId="80">
    <w:nsid w:val="2A082C70"/>
    <w:multiLevelType w:val="hybridMultilevel"/>
    <w:lvl w:ilvl="0">
      <w:lvlJc w:val="left"/>
      <w:lvlText w:val="%1."/>
      <w:numFmt w:val="decimal"/>
      <w:start w:val="10"/>
    </w:lvl>
  </w:abstractNum>
  <w:abstractNum w:abstractNumId="81">
    <w:nsid w:val="5EC6AFD4"/>
    <w:multiLevelType w:val="hybridMultilevel"/>
    <w:lvl w:ilvl="0">
      <w:lvlJc w:val="left"/>
      <w:lvlText w:val="%1."/>
      <w:numFmt w:val="decimal"/>
      <w:start w:val="11"/>
    </w:lvl>
  </w:abstractNum>
  <w:abstractNum w:abstractNumId="82">
    <w:nsid w:val="19E21BB2"/>
    <w:multiLevelType w:val="hybridMultilevel"/>
    <w:lvl w:ilvl="0">
      <w:lvlJc w:val="left"/>
      <w:lvlText w:val="(%1)"/>
      <w:numFmt w:val="lowerRoman"/>
      <w:start w:val="2"/>
    </w:lvl>
  </w:abstractNum>
  <w:abstractNum w:abstractNumId="83">
    <w:nsid w:val="75E0858A"/>
    <w:multiLevelType w:val="hybridMultilevel"/>
    <w:lvl w:ilvl="0">
      <w:lvlJc w:val="left"/>
      <w:lvlText w:val="%1."/>
      <w:numFmt w:val="decimal"/>
      <w:start w:val="12"/>
    </w:lvl>
  </w:abstractNum>
  <w:abstractNum w:abstractNumId="84">
    <w:nsid w:val="57A61A29"/>
    <w:multiLevelType w:val="hybridMultilevel"/>
    <w:lvl w:ilvl="0">
      <w:lvlJc w:val="left"/>
      <w:lvlText w:val="(%1)"/>
      <w:numFmt w:val="lowerLetter"/>
      <w:start w:val="1"/>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1"/>
    </w:lvl>
  </w:abstractNum>
  <w:abstractNum w:abstractNumId="87">
    <w:nsid w:val="4427069A"/>
    <w:multiLevelType w:val="hybridMultilevel"/>
    <w:lvl w:ilvl="0">
      <w:lvlJc w:val="left"/>
      <w:lvlText w:val="(%1)"/>
      <w:numFmt w:val="lowerLetter"/>
      <w:start w:val="1"/>
    </w:lvl>
  </w:abstractNum>
  <w:abstractNum w:abstractNumId="88">
    <w:nsid w:val="B37E80A"/>
    <w:multiLevelType w:val="hybridMultilevel"/>
    <w:lvl w:ilvl="0">
      <w:lvlJc w:val="left"/>
      <w:lvlText w:val="%1."/>
      <w:numFmt w:val="decimal"/>
      <w:start w:val="13"/>
    </w:lvl>
  </w:abstractNum>
  <w:abstractNum w:abstractNumId="89">
    <w:nsid w:val="2157F6BC"/>
    <w:multiLevelType w:val="hybridMultilevel"/>
    <w:lvl w:ilvl="0">
      <w:lvlJc w:val="left"/>
      <w:lvlText w:val="%1."/>
      <w:numFmt w:val="decimal"/>
      <w:start w:val="14"/>
    </w:lvl>
  </w:abstractNum>
  <w:abstractNum w:abstractNumId="90">
    <w:nsid w:val="704E1DD5"/>
    <w:multiLevelType w:val="hybridMultilevel"/>
    <w:lvl w:ilvl="0">
      <w:lvlJc w:val="left"/>
      <w:lvlText w:val="(%1)"/>
      <w:numFmt w:val="lowerLetter"/>
      <w:start w:val="1"/>
    </w:lvl>
  </w:abstractNum>
  <w:abstractNum w:abstractNumId="91">
    <w:nsid w:val="57D2F10E"/>
    <w:multiLevelType w:val="hybridMultilevel"/>
    <w:lvl w:ilvl="0">
      <w:lvlJc w:val="left"/>
      <w:lvlText w:val="%1."/>
      <w:numFmt w:val="decimal"/>
      <w:start w:val="15"/>
    </w:lvl>
  </w:abstractNum>
  <w:abstractNum w:abstractNumId="92">
    <w:nsid w:val="BFFAE18"/>
    <w:multiLevelType w:val="hybridMultilevel"/>
    <w:lvl w:ilvl="0">
      <w:lvlJc w:val="left"/>
      <w:lvlText w:val="%1."/>
      <w:numFmt w:val="decimal"/>
      <w:start w:val="16"/>
    </w:lvl>
  </w:abstractNum>
  <w:abstractNum w:abstractNumId="93">
    <w:nsid w:val="E3E47A8"/>
    <w:multiLevelType w:val="hybridMultilevel"/>
    <w:lvl w:ilvl="0">
      <w:lvlJc w:val="left"/>
      <w:lvlText w:val="%1."/>
      <w:numFmt w:val="decimal"/>
      <w:start w:val="17"/>
    </w:lvl>
  </w:abstractNum>
  <w:abstractNum w:abstractNumId="94">
    <w:nsid w:val="2E48F044"/>
    <w:multiLevelType w:val="hybridMultilevel"/>
    <w:lvl w:ilvl="0">
      <w:lvlJc w:val="left"/>
      <w:lvlText w:val="%1)"/>
      <w:numFmt w:val="lowerLetter"/>
      <w:start w:val="1"/>
    </w:lvl>
  </w:abstractNum>
  <w:abstractNum w:abstractNumId="95">
    <w:nsid w:val="49D0FEAC"/>
    <w:multiLevelType w:val="hybridMultilevel"/>
    <w:lvl w:ilvl="0">
      <w:lvlJc w:val="left"/>
      <w:lvlText w:val="(%1)"/>
      <w:numFmt w:val="decimal"/>
      <w:start w:val="1"/>
    </w:lvl>
  </w:abstractNum>
  <w:abstractNum w:abstractNumId="96">
    <w:nsid w:val="4BEE5A5B"/>
    <w:multiLevelType w:val="hybridMultilevel"/>
    <w:lvl w:ilvl="0">
      <w:lvlJc w:val="left"/>
      <w:lvlText w:val="(%1)"/>
      <w:numFmt w:val="decimal"/>
      <w:start w:val="2"/>
    </w:lvl>
  </w:abstractNum>
  <w:abstractNum w:abstractNumId="97">
    <w:nsid w:val="5551B9F3"/>
    <w:multiLevelType w:val="hybridMultilevel"/>
    <w:lvl w:ilvl="0">
      <w:lvlJc w:val="left"/>
      <w:lvlText w:val="%1."/>
      <w:numFmt w:val="upperLetter"/>
      <w:start w:val="1"/>
    </w:lvl>
  </w:abstractNum>
  <w:abstractNum w:abstractNumId="98">
    <w:nsid w:val="24F6AB8E"/>
    <w:multiLevelType w:val="hybridMultilevel"/>
    <w:lvl w:ilvl="0">
      <w:lvlJc w:val="left"/>
      <w:lvlText w:val="%1."/>
      <w:numFmt w:val="decimal"/>
      <w:start w:val="1"/>
    </w:lvl>
  </w:abstractNum>
  <w:abstractNum w:abstractNumId="99">
    <w:nsid w:val="634C574C"/>
    <w:multiLevelType w:val="hybridMultilevel"/>
    <w:lvl w:ilvl="0">
      <w:lvlJc w:val="left"/>
      <w:lvlText w:val="%1."/>
      <w:numFmt w:val="decimal"/>
      <w:start w:val="2"/>
    </w:lvl>
  </w:abstractNum>
  <w:abstractNum w:abstractNumId="100">
    <w:nsid w:val="24E99DD7"/>
    <w:multiLevelType w:val="hybridMultilevel"/>
    <w:lvl w:ilvl="0">
      <w:lvlJc w:val="left"/>
      <w:lvlText w:val="%1."/>
      <w:numFmt w:val="decimal"/>
      <w:start w:val="3"/>
    </w:lvl>
  </w:abstractNum>
  <w:abstractNum w:abstractNumId="101">
    <w:nsid w:val="2A31B62D"/>
    <w:multiLevelType w:val="hybridMultilevel"/>
    <w:lvl w:ilvl="0">
      <w:lvlJc w:val="left"/>
      <w:lvlText w:val="•"/>
      <w:numFmt w:val="bullet"/>
      <w:start w:val="1"/>
    </w:lvl>
  </w:abstractNum>
  <w:abstractNum w:abstractNumId="102">
    <w:nsid w:val="1849C29B"/>
    <w:multiLevelType w:val="hybridMultilevel"/>
    <w:lvl w:ilvl="0">
      <w:lvlJc w:val="left"/>
      <w:lvlText w:val="•"/>
      <w:numFmt w:val="bullet"/>
      <w:start w:val="1"/>
    </w:lvl>
  </w:abstractNum>
  <w:abstractNum w:abstractNumId="103">
    <w:nsid w:val="7DFF9D09"/>
    <w:multiLevelType w:val="hybridMultilevel"/>
    <w:lvl w:ilvl="0">
      <w:lvlJc w:val="left"/>
      <w:lvlText w:val="%1."/>
      <w:numFmt w:val="decimal"/>
      <w:start w:val="4"/>
    </w:lvl>
  </w:abstractNum>
  <w:abstractNum w:abstractNumId="104">
    <w:nsid w:val="754342"/>
    <w:multiLevelType w:val="hybridMultilevel"/>
    <w:lvl w:ilvl="0">
      <w:lvlJc w:val="left"/>
      <w:lvlText w:val="%1."/>
      <w:numFmt w:val="decimal"/>
      <w:start w:val="5"/>
    </w:lvl>
  </w:abstractNum>
  <w:abstractNum w:abstractNumId="105">
    <w:nsid w:val="69E7F3E5"/>
    <w:multiLevelType w:val="hybridMultilevel"/>
    <w:lvl w:ilvl="0">
      <w:lvlJc w:val="left"/>
      <w:lvlText w:val="%1."/>
      <w:numFmt w:val="decimal"/>
      <w:start w:val="6"/>
    </w:lvl>
  </w:abstractNum>
  <w:abstractNum w:abstractNumId="106">
    <w:nsid w:val="2A6DE806"/>
    <w:multiLevelType w:val="hybridMultilevel"/>
    <w:lvl w:ilvl="0">
      <w:lvlJc w:val="left"/>
      <w:lvlText w:val="%1."/>
      <w:numFmt w:val="decimal"/>
      <w:start w:val="9"/>
    </w:lvl>
  </w:abstractNum>
  <w:abstractNum w:abstractNumId="107">
    <w:nsid w:val="1816F8C4"/>
    <w:multiLevelType w:val="hybridMultilevel"/>
    <w:lvl w:ilvl="0">
      <w:lvlJc w:val="left"/>
      <w:lvlText w:val="%1."/>
      <w:numFmt w:val="decimal"/>
      <w:start w:val="1"/>
    </w:lvl>
  </w:abstractNum>
  <w:abstractNum w:abstractNumId="108">
    <w:nsid w:val="37DF2233"/>
    <w:multiLevelType w:val="hybridMultilevel"/>
    <w:lvl w:ilvl="0">
      <w:lvlJc w:val="left"/>
      <w:lvlText w:val="%1."/>
      <w:numFmt w:val="decimal"/>
      <w:start w:val="5"/>
    </w:lvl>
  </w:abstractNum>
  <w:abstractNum w:abstractNumId="109">
    <w:nsid w:val="7AB49DAF"/>
    <w:multiLevelType w:val="hybridMultilevel"/>
    <w:lvl w:ilvl="0">
      <w:lvlJc w:val="left"/>
      <w:lvlText w:val="%1."/>
      <w:numFmt w:val="decimal"/>
      <w:start w:val="7"/>
    </w:lvl>
  </w:abstractNum>
  <w:abstractNum w:abstractNumId="110">
    <w:nsid w:val="759F82CD"/>
    <w:multiLevelType w:val="hybridMultilevel"/>
    <w:lvl w:ilvl="0">
      <w:lvlJc w:val="left"/>
      <w:lvlText w:val="%1."/>
      <w:numFmt w:val="decimal"/>
      <w:start w:val="8"/>
    </w:lvl>
  </w:abstractNum>
  <w:abstractNum w:abstractNumId="111">
    <w:nsid w:val="61E74EA3"/>
    <w:multiLevelType w:val="hybridMultilevel"/>
    <w:lvl w:ilvl="0">
      <w:lvlJc w:val="left"/>
      <w:lvlText w:val="%1."/>
      <w:numFmt w:val="decimal"/>
      <w:start w:val="11"/>
    </w:lvl>
  </w:abstractNum>
  <w:abstractNum w:abstractNumId="112">
    <w:nsid w:val="597B4D84"/>
    <w:multiLevelType w:val="hybridMultilevel"/>
    <w:lvl w:ilvl="0">
      <w:lvlJc w:val="left"/>
      <w:lvlText w:val="%1."/>
      <w:numFmt w:val="decimal"/>
      <w:start w:val="13"/>
    </w:lvl>
  </w:abstractNum>
  <w:abstractNum w:abstractNumId="113">
    <w:nsid w:val="F819E7F"/>
    <w:multiLevelType w:val="hybridMultilevel"/>
    <w:lvl w:ilvl="0">
      <w:lvlJc w:val="left"/>
      <w:lvlText w:val="%1."/>
      <w:numFmt w:val="decimal"/>
      <w:start w:val="15"/>
    </w:lvl>
  </w:abstractNum>
  <w:abstractNum w:abstractNumId="114">
    <w:nsid w:val="57C7D42D"/>
    <w:multiLevelType w:val="hybridMultilevel"/>
    <w:lvl w:ilvl="0">
      <w:lvlJc w:val="left"/>
      <w:lvlText w:val="%1."/>
      <w:numFmt w:val="decimal"/>
      <w:start w:val="16"/>
    </w:lvl>
  </w:abstractNum>
  <w:abstractNum w:abstractNumId="115">
    <w:nsid w:val="312167AD"/>
    <w:multiLevelType w:val="hybridMultilevel"/>
    <w:lvl w:ilvl="0">
      <w:lvlJc w:val="left"/>
      <w:lvlText w:val="%1."/>
      <w:numFmt w:val="decimal"/>
      <w:start w:val="18"/>
    </w:lvl>
  </w:abstractNum>
  <w:abstractNum w:abstractNumId="116">
    <w:nsid w:val="631B64D4"/>
    <w:multiLevelType w:val="hybridMultilevel"/>
    <w:lvl w:ilvl="0">
      <w:lvlJc w:val="left"/>
      <w:lvlText w:val="%1."/>
      <w:numFmt w:val="decimal"/>
      <w:start w:val="19"/>
    </w:lvl>
  </w:abstractNum>
  <w:abstractNum w:abstractNumId="117">
    <w:nsid w:val="78B5E776"/>
    <w:multiLevelType w:val="hybridMultilevel"/>
    <w:lvl w:ilvl="0">
      <w:lvlJc w:val="left"/>
      <w:lvlText w:val="%1."/>
      <w:numFmt w:val="decimal"/>
      <w:start w:val="20"/>
    </w:lvl>
  </w:abstractNum>
  <w:abstractNum w:abstractNumId="118">
    <w:nsid w:val="75486E47"/>
    <w:multiLevelType w:val="hybridMultilevel"/>
    <w:lvl w:ilvl="0">
      <w:lvlJc w:val="left"/>
      <w:lvlText w:val="%1."/>
      <w:numFmt w:val="decimal"/>
      <w:start w:val="21"/>
    </w:lvl>
  </w:abstractNum>
  <w:abstractNum w:abstractNumId="119">
    <w:nsid w:val="6E534CDE"/>
    <w:multiLevelType w:val="hybridMultilevel"/>
    <w:lvl w:ilvl="0">
      <w:lvlJc w:val="left"/>
      <w:lvlText w:val="%1."/>
      <w:numFmt w:val="decimal"/>
      <w:start w:val="22"/>
    </w:lvl>
  </w:abstractNum>
  <w:abstractNum w:abstractNumId="120">
    <w:nsid w:val="1A0DDE32"/>
    <w:multiLevelType w:val="hybridMultilevel"/>
    <w:lvl w:ilvl="0">
      <w:lvlJc w:val="left"/>
      <w:lvlText w:val="%1."/>
      <w:numFmt w:val="decimal"/>
      <w:start w:val="23"/>
    </w:lvl>
  </w:abstractNum>
  <w:abstractNum w:abstractNumId="121">
    <w:nsid w:val="65968C1C"/>
    <w:multiLevelType w:val="hybridMultilevel"/>
    <w:lvl w:ilvl="0">
      <w:lvlJc w:val="left"/>
      <w:lvlText w:val="%1."/>
      <w:numFmt w:val="decimal"/>
      <w:start w:val="24"/>
    </w:lvl>
  </w:abstractNum>
  <w:abstractNum w:abstractNumId="122">
    <w:nsid w:val="46263DEC"/>
    <w:multiLevelType w:val="hybridMultilevel"/>
    <w:lvl w:ilvl="0">
      <w:lvlJc w:val="left"/>
      <w:lvlText w:val="%1."/>
      <w:numFmt w:val="decimal"/>
      <w:start w:val="25"/>
    </w:lvl>
  </w:abstractNum>
  <w:abstractNum w:abstractNumId="123">
    <w:nsid w:val="260D8C4A"/>
    <w:multiLevelType w:val="hybridMultilevel"/>
    <w:lvl w:ilvl="0">
      <w:lvlJc w:val="left"/>
      <w:lvlText w:val="%1."/>
      <w:numFmt w:val="decimal"/>
      <w:start w:val="26"/>
    </w:lvl>
  </w:abstractNum>
  <w:abstractNum w:abstractNumId="124">
    <w:nsid w:val="73D4D3C4"/>
    <w:multiLevelType w:val="hybridMultilevel"/>
    <w:lvl w:ilvl="0">
      <w:lvlJc w:val="left"/>
      <w:lvlText w:val="%1."/>
      <w:numFmt w:val="decimal"/>
      <w:start w:val="27"/>
    </w:lvl>
  </w:abstractNum>
  <w:abstractNum w:abstractNumId="125">
    <w:nsid w:val="746F2E30"/>
    <w:multiLevelType w:val="hybridMultilevel"/>
    <w:lvl w:ilvl="0">
      <w:lvlJc w:val="left"/>
      <w:lvlText w:val="(%1)"/>
      <w:numFmt w:val="decimal"/>
      <w:start w:val="1"/>
    </w:lvl>
  </w:abstractNum>
  <w:abstractNum w:abstractNumId="126">
    <w:nsid w:val="6FDE8AF6"/>
    <w:multiLevelType w:val="hybridMultilevel"/>
    <w:lvl w:ilvl="0">
      <w:lvlJc w:val="left"/>
      <w:lvlText w:val="%1."/>
      <w:numFmt w:val="decimal"/>
      <w:start w:val="1"/>
    </w:lvl>
  </w:abstractNum>
  <w:abstractNum w:abstractNumId="127">
    <w:nsid w:val="3FC32E20"/>
    <w:multiLevelType w:val="hybridMultilevel"/>
    <w:lvl w:ilvl="0">
      <w:lvlJc w:val="left"/>
      <w:lvlText w:val="%1."/>
      <w:numFmt w:val="decimal"/>
      <w:start w:val="2"/>
    </w:lvl>
  </w:abstractNum>
  <w:abstractNum w:abstractNumId="128">
    <w:nsid w:val="49C0E823"/>
    <w:multiLevelType w:val="hybridMultilevel"/>
    <w:lvl w:ilvl="0">
      <w:lvlJc w:val="left"/>
      <w:lvlText w:val="%1."/>
      <w:numFmt w:val="decimal"/>
      <w:start w:val="3"/>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8"/>
    </w:lvl>
  </w:abstractNum>
  <w:abstractNum w:abstractNumId="131">
    <w:nsid w:val="6EAA85FB"/>
    <w:multiLevelType w:val="hybridMultilevel"/>
    <w:lvl w:ilvl="0">
      <w:lvlJc w:val="left"/>
      <w:lvlText w:val="%1."/>
      <w:numFmt w:val="decimal"/>
      <w:start w:val="4"/>
    </w:lvl>
  </w:abstractNum>
  <w:abstractNum w:abstractNumId="132">
    <w:nsid w:val="3F06ECB2"/>
    <w:multiLevelType w:val="hybridMultilevel"/>
    <w:lvl w:ilvl="0">
      <w:lvlJc w:val="left"/>
      <w:lvlText w:val="%1."/>
      <w:numFmt w:val="decimal"/>
      <w:start w:val="5"/>
    </w:lvl>
  </w:abstractNum>
  <w:abstractNum w:abstractNumId="133">
    <w:nsid w:val="3B594807"/>
    <w:multiLevelType w:val="hybridMultilevel"/>
    <w:lvl w:ilvl="0">
      <w:lvlJc w:val="left"/>
      <w:lvlText w:val="%1."/>
      <w:numFmt w:val="decimal"/>
      <w:start w:val="6"/>
    </w:lvl>
  </w:abstractNum>
  <w:abstractNum w:abstractNumId="134">
    <w:nsid w:val="6CAA2304"/>
    <w:multiLevelType w:val="hybridMultilevel"/>
    <w:lvl w:ilvl="0">
      <w:lvlJc w:val="left"/>
      <w:lvlText w:val="%1."/>
      <w:numFmt w:val="decimal"/>
      <w:start w:val="7"/>
    </w:lvl>
  </w:abstractNum>
  <w:abstractNum w:abstractNumId="135">
    <w:nsid w:val="3F7C2FF4"/>
    <w:multiLevelType w:val="hybridMultilevel"/>
    <w:lvl w:ilvl="0">
      <w:lvlJc w:val="left"/>
      <w:lvlText w:val="%1."/>
      <w:numFmt w:val="decimal"/>
      <w:start w:val="8"/>
    </w:lvl>
  </w:abstractNum>
  <w:abstractNum w:abstractNumId="136">
    <w:nsid w:val="25413BEC"/>
    <w:multiLevelType w:val="hybridMultilevel"/>
    <w:lvl w:ilvl="0">
      <w:lvlJc w:val="left"/>
      <w:lvlText w:val="%1."/>
      <w:numFmt w:val="decimal"/>
      <w:start w:val="9"/>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decimal"/>
      <w:start w:val="10"/>
    </w:lvl>
  </w:abstractNum>
  <w:abstractNum w:abstractNumId="139">
    <w:nsid w:val="5D205E20"/>
    <w:multiLevelType w:val="hybridMultilevel"/>
    <w:lvl w:ilvl="0">
      <w:lvlJc w:val="left"/>
      <w:lvlText w:val="(%1)"/>
      <w:numFmt w:val="lowerLetter"/>
      <w:start w:val="1"/>
    </w:lvl>
  </w:abstractNum>
  <w:abstractNum w:abstractNumId="140">
    <w:nsid w:val="11CCA8BA"/>
    <w:multiLevelType w:val="hybridMultilevel"/>
    <w:lvl w:ilvl="0">
      <w:lvlJc w:val="left"/>
      <w:lvlText w:val="%1."/>
      <w:numFmt w:val="decimal"/>
      <w:start w:val="11"/>
    </w:lvl>
  </w:abstractNum>
  <w:abstractNum w:abstractNumId="141">
    <w:nsid w:val="4D32AB86"/>
    <w:multiLevelType w:val="hybridMultilevel"/>
    <w:lvl w:ilvl="0">
      <w:lvlJc w:val="left"/>
      <w:lvlText w:val="(%1)"/>
      <w:numFmt w:val="lowerLetter"/>
      <w:start w:val="1"/>
    </w:lvl>
  </w:abstractNum>
  <w:abstractNum w:abstractNumId="142">
    <w:nsid w:val="3F07ACC3"/>
    <w:multiLevelType w:val="hybridMultilevel"/>
    <w:lvl w:ilvl="0">
      <w:lvlJc w:val="left"/>
      <w:lvlText w:val="%1."/>
      <w:numFmt w:val="decimal"/>
      <w:start w:val="12"/>
    </w:lvl>
  </w:abstractNum>
  <w:abstractNum w:abstractNumId="143">
    <w:nsid w:val="6B47F63E"/>
    <w:multiLevelType w:val="hybridMultilevel"/>
    <w:lvl w:ilvl="0">
      <w:lvlJc w:val="left"/>
      <w:lvlText w:val="%1."/>
      <w:numFmt w:val="decimal"/>
      <w:start w:val="13"/>
    </w:lvl>
  </w:abstractNum>
  <w:abstractNum w:abstractNumId="144">
    <w:nsid w:val="5CB44A05"/>
    <w:multiLevelType w:val="hybridMultilevel"/>
    <w:lvl w:ilvl="0">
      <w:lvlJc w:val="left"/>
      <w:lvlText w:val="%1."/>
      <w:numFmt w:val="decimal"/>
      <w:start w:val="14"/>
    </w:lvl>
  </w:abstractNum>
  <w:abstractNum w:abstractNumId="145">
    <w:nsid w:val="16CF80F1"/>
    <w:multiLevelType w:val="hybridMultilevel"/>
    <w:lvl w:ilvl="0">
      <w:lvlJc w:val="left"/>
      <w:lvlText w:val="%1."/>
      <w:numFmt w:val="decimal"/>
      <w:start w:val="15"/>
    </w:lvl>
  </w:abstractNum>
  <w:abstractNum w:abstractNumId="146">
    <w:nsid w:val="1C695DEC"/>
    <w:multiLevelType w:val="hybridMultilevel"/>
    <w:lvl w:ilvl="0">
      <w:lvlJc w:val="left"/>
      <w:lvlText w:val="%1."/>
      <w:numFmt w:val="decimal"/>
      <w:start w:val="16"/>
    </w:lvl>
  </w:abstractNum>
  <w:abstractNum w:abstractNumId="147">
    <w:nsid w:val="3FCFAED9"/>
    <w:multiLevelType w:val="hybridMultilevel"/>
    <w:lvl w:ilvl="0">
      <w:lvlJc w:val="left"/>
      <w:lvlText w:val="%1"/>
      <w:numFmt w:val="decimal"/>
      <w:start w:val="1"/>
    </w:lvl>
    <w:lvl w:ilvl="1">
      <w:lvlJc w:val="left"/>
      <w:lvlText w:val="(%2)"/>
      <w:numFmt w:val="lowerLetter"/>
      <w:start w:val="1"/>
    </w:lvl>
  </w:abstractNum>
  <w:abstractNum w:abstractNumId="148">
    <w:nsid w:val="F856867"/>
    <w:multiLevelType w:val="hybridMultilevel"/>
    <w:lvl w:ilvl="0">
      <w:lvlJc w:val="left"/>
      <w:lvlText w:val="%1."/>
      <w:numFmt w:val="decimal"/>
      <w:start w:val="17"/>
    </w:lvl>
    <w:lvl w:ilvl="1">
      <w:lvlJc w:val="left"/>
      <w:lvlText w:val="%2"/>
      <w:numFmt w:val="lowerLetter"/>
      <w:start w:val="1"/>
    </w:lvl>
  </w:abstractNum>
  <w:abstractNum w:abstractNumId="149">
    <w:nsid w:val="11B1CC33"/>
    <w:multiLevelType w:val="hybridMultilevel"/>
    <w:lvl w:ilvl="0">
      <w:lvlJc w:val="left"/>
      <w:lvlText w:val="(%1)"/>
      <w:numFmt w:val="lowerLetter"/>
      <w:start w:val="1"/>
    </w:lvl>
  </w:abstractNum>
  <w:abstractNum w:abstractNumId="150">
    <w:nsid w:val="2E22FBB7"/>
    <w:multiLevelType w:val="hybridMultilevel"/>
    <w:lvl w:ilvl="0">
      <w:lvlJc w:val="left"/>
      <w:lvlText w:val="%1."/>
      <w:numFmt w:val="decimal"/>
      <w:start w:val="18"/>
    </w:lvl>
  </w:abstractNum>
  <w:abstractNum w:abstractNumId="151">
    <w:nsid w:val="29934699"/>
    <w:multiLevelType w:val="hybridMultilevel"/>
    <w:lvl w:ilvl="0">
      <w:lvlJc w:val="left"/>
      <w:lvlText w:val="(%1)"/>
      <w:numFmt w:val="lowerLetter"/>
      <w:start w:val="1"/>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decimal"/>
      <w:start w:val="19"/>
    </w:lvl>
  </w:abstractNum>
  <w:abstractNum w:abstractNumId="154">
    <w:nsid w:val="4FA0D2E3"/>
    <w:multiLevelType w:val="hybridMultilevel"/>
    <w:lvl w:ilvl="0">
      <w:lvlJc w:val="left"/>
      <w:lvlText w:val="(%1)"/>
      <w:numFmt w:val="lowerLetter"/>
      <w:start w:val="1"/>
    </w:lvl>
  </w:abstractNum>
  <w:abstractNum w:abstractNumId="155">
    <w:nsid w:val="6B1D2C14"/>
    <w:multiLevelType w:val="hybridMultilevel"/>
    <w:lvl w:ilvl="0">
      <w:lvlJc w:val="left"/>
      <w:lvlText w:val="%1."/>
      <w:numFmt w:val="decimal"/>
      <w:start w:val="20"/>
    </w:lvl>
  </w:abstractNum>
  <w:abstractNum w:abstractNumId="156">
    <w:nsid w:val="68B867D3"/>
    <w:multiLevelType w:val="hybridMultilevel"/>
    <w:lvl w:ilvl="0">
      <w:lvlJc w:val="left"/>
      <w:lvlText w:val="(%1)"/>
      <w:numFmt w:val="lowerLetter"/>
      <w:start w:val="1"/>
    </w:lvl>
  </w:abstractNum>
  <w:abstractNum w:abstractNumId="157">
    <w:nsid w:val="3F7F5DD9"/>
    <w:multiLevelType w:val="hybridMultilevel"/>
    <w:lvl w:ilvl="0">
      <w:lvlJc w:val="left"/>
      <w:lvlText w:val="%1."/>
      <w:numFmt w:val="decimal"/>
      <w:start w:val="21"/>
    </w:lvl>
  </w:abstractNum>
  <w:abstractNum w:abstractNumId="158">
    <w:nsid w:val="2AE05A34"/>
    <w:multiLevelType w:val="hybridMultilevel"/>
    <w:lvl w:ilvl="0">
      <w:lvlJc w:val="left"/>
      <w:lvlText w:val="(%1)"/>
      <w:numFmt w:val="lowerLetter"/>
      <w:start w:val="1"/>
    </w:lvl>
  </w:abstractNum>
  <w:abstractNum w:abstractNumId="159">
    <w:nsid w:val="32794FF7"/>
    <w:multiLevelType w:val="hybridMultilevel"/>
    <w:lvl w:ilvl="0">
      <w:lvlJc w:val="left"/>
      <w:lvlText w:val="(%1)"/>
      <w:numFmt w:val="lowerLetter"/>
      <w:start w:val="1"/>
    </w:lvl>
  </w:abstractNum>
  <w:abstractNum w:abstractNumId="160">
    <w:nsid w:val="5454945E"/>
    <w:multiLevelType w:val="hybridMultilevel"/>
    <w:lvl w:ilvl="0">
      <w:lvlJc w:val="left"/>
      <w:lvlText w:val="(%1)"/>
      <w:numFmt w:val="lowerLetter"/>
      <w:start w:val="1"/>
    </w:lvl>
  </w:abstractNum>
  <w:abstractNum w:abstractNumId="161">
    <w:nsid w:val="4DEFDFA0"/>
    <w:multiLevelType w:val="hybridMultilevel"/>
    <w:lvl w:ilvl="0">
      <w:lvlJc w:val="left"/>
      <w:lvlText w:val="(%1)"/>
      <w:numFmt w:val="lowerLetter"/>
      <w:start w:val="2"/>
    </w:lvl>
  </w:abstractNum>
  <w:abstractNum w:abstractNumId="162">
    <w:nsid w:val="2123D5F2"/>
    <w:multiLevelType w:val="hybridMultilevel"/>
    <w:lvl w:ilvl="0">
      <w:lvlJc w:val="left"/>
      <w:lvlText w:val="%1."/>
      <w:numFmt w:val="decimal"/>
      <w:start w:val="22"/>
    </w:lvl>
  </w:abstractNum>
  <w:abstractNum w:abstractNumId="163">
    <w:nsid w:val="135B8110"/>
    <w:multiLevelType w:val="hybridMultilevel"/>
    <w:lvl w:ilvl="0">
      <w:lvlJc w:val="left"/>
      <w:lvlText w:val="%1."/>
      <w:numFmt w:val="decimal"/>
      <w:start w:val="23"/>
    </w:lvl>
  </w:abstractNum>
  <w:abstractNum w:abstractNumId="164">
    <w:nsid w:val="94927A8"/>
    <w:multiLevelType w:val="hybridMultilevel"/>
    <w:lvl w:ilvl="0">
      <w:lvlJc w:val="left"/>
      <w:lvlText w:val="%1."/>
      <w:numFmt w:val="decimal"/>
      <w:start w:val="24"/>
    </w:lvl>
  </w:abstractNum>
  <w:abstractNum w:abstractNumId="165">
    <w:nsid w:val="DCDF8F6"/>
    <w:multiLevelType w:val="hybridMultilevel"/>
    <w:lvl w:ilvl="0">
      <w:lvlJc w:val="left"/>
      <w:lvlText w:val="(%1)"/>
      <w:numFmt w:val="lowerLetter"/>
      <w:start w:val="1"/>
    </w:lvl>
  </w:abstractNum>
  <w:abstractNum w:abstractNumId="166">
    <w:nsid w:val="52D7B105"/>
    <w:multiLevelType w:val="hybridMultilevel"/>
    <w:lvl w:ilvl="0">
      <w:lvlJc w:val="left"/>
      <w:lvlText w:val="%1."/>
      <w:numFmt w:val="decimal"/>
      <w:start w:val="26"/>
    </w:lvl>
    <w:lvl w:ilvl="1">
      <w:lvlJc w:val="left"/>
      <w:lvlText w:val="(%2)"/>
      <w:numFmt w:val="lowerLetter"/>
      <w:start w:val="1"/>
    </w:lvl>
  </w:abstractNum>
  <w:abstractNum w:abstractNumId="167">
    <w:nsid w:val="2E8A6394"/>
    <w:multiLevelType w:val="hybridMultilevel"/>
    <w:lvl w:ilvl="0">
      <w:lvlJc w:val="left"/>
      <w:lvlText w:val="%1."/>
      <w:numFmt w:val="decimal"/>
      <w:start w:val="27"/>
    </w:lvl>
  </w:abstractNum>
  <w:abstractNum w:abstractNumId="168">
    <w:nsid w:val="24E60401"/>
    <w:multiLevelType w:val="hybridMultilevel"/>
    <w:lvl w:ilvl="0">
      <w:lvlJc w:val="left"/>
      <w:lvlText w:val="%1."/>
      <w:numFmt w:val="decimal"/>
      <w:start w:val="30"/>
    </w:lvl>
  </w:abstractNum>
  <w:abstractNum w:abstractNumId="169">
    <w:nsid w:val="2A6AD9BE"/>
    <w:multiLevelType w:val="hybridMultilevel"/>
    <w:lvl w:ilvl="0">
      <w:lvlJc w:val="left"/>
      <w:lvlText w:val="(%1)"/>
      <w:numFmt w:val="lowerLetter"/>
      <w:start w:val="1"/>
    </w:lvl>
    <w:lvl w:ilvl="1">
      <w:lvlJc w:val="left"/>
      <w:lvlText w:val="(%2)"/>
      <w:numFmt w:val="lowerRoman"/>
      <w:start w:val="1"/>
    </w:lvl>
  </w:abstractNum>
  <w:abstractNum w:abstractNumId="170">
    <w:nsid w:val="BAAC1B4"/>
    <w:multiLevelType w:val="hybridMultilevel"/>
    <w:lvl w:ilvl="0">
      <w:lvlJc w:val="left"/>
      <w:lvlText w:val="(%1)"/>
      <w:numFmt w:val="lowerLetter"/>
      <w:start w:val="2"/>
    </w:lvl>
  </w:abstractNum>
  <w:abstractNum w:abstractNumId="171">
    <w:nsid w:val="36B2ACBC"/>
    <w:multiLevelType w:val="hybridMultilevel"/>
    <w:lvl w:ilvl="0">
      <w:lvlJc w:val="left"/>
      <w:lvlText w:val="(%1)"/>
      <w:numFmt w:val="lowerLetter"/>
      <w:start w:val="2"/>
    </w:lvl>
  </w:abstractNum>
  <w:abstractNum w:abstractNumId="172">
    <w:nsid w:val="779D8544"/>
    <w:multiLevelType w:val="hybridMultilevel"/>
    <w:lvl w:ilvl="0">
      <w:lvlJc w:val="left"/>
      <w:lvlText w:val="(%1)"/>
      <w:numFmt w:val="lowerLetter"/>
      <w:start w:val="1"/>
    </w:lvl>
    <w:lvl w:ilvl="1">
      <w:lvlJc w:val="left"/>
      <w:lvlText w:val="(%2)"/>
      <w:numFmt w:val="lowerRoman"/>
      <w:start w:val="1"/>
    </w:lvl>
  </w:abstractNum>
  <w:abstractNum w:abstractNumId="173">
    <w:nsid w:val="4AB26E78"/>
    <w:multiLevelType w:val="hybridMultilevel"/>
    <w:lvl w:ilvl="0">
      <w:lvlJc w:val="left"/>
      <w:lvlText w:val="(%1)"/>
      <w:numFmt w:val="lowerLetter"/>
      <w:start w:val="2"/>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27" Type="http://schemas.openxmlformats.org/officeDocument/2006/relationships/image" Target="media/image3.png"/><Relationship Id="rId110" Type="http://schemas.openxmlformats.org/officeDocument/2006/relationships/image" Target="media/image4.png"/><Relationship Id="rId111" Type="http://schemas.openxmlformats.org/officeDocument/2006/relationships/image" Target="media/image5.png"/><Relationship Id="rId112" Type="http://schemas.openxmlformats.org/officeDocument/2006/relationships/image" Target="media/image6.png"/><Relationship Id="rId113" Type="http://schemas.openxmlformats.org/officeDocument/2006/relationships/image" Target="media/image7.png"/><Relationship Id="rId114" Type="http://schemas.openxmlformats.org/officeDocument/2006/relationships/image" Target="media/image8.png"/><Relationship Id="rId115" Type="http://schemas.openxmlformats.org/officeDocument/2006/relationships/image" Target="media/image9.png"/><Relationship Id="rId116" Type="http://schemas.openxmlformats.org/officeDocument/2006/relationships/image" Target="media/image10.png"/><Relationship Id="rId117" Type="http://schemas.openxmlformats.org/officeDocument/2006/relationships/image" Target="media/image11.png"/><Relationship Id="rId118" Type="http://schemas.openxmlformats.org/officeDocument/2006/relationships/image" Target="media/image12.png"/><Relationship Id="rId119" Type="http://schemas.openxmlformats.org/officeDocument/2006/relationships/image" Target="media/image13.png"/><Relationship Id="rId120" Type="http://schemas.openxmlformats.org/officeDocument/2006/relationships/image" Target="media/image14.png"/><Relationship Id="rId121" Type="http://schemas.openxmlformats.org/officeDocument/2006/relationships/image" Target="media/image15.png"/><Relationship Id="rId122" Type="http://schemas.openxmlformats.org/officeDocument/2006/relationships/image" Target="media/image16.png"/><Relationship Id="rId123" Type="http://schemas.openxmlformats.org/officeDocument/2006/relationships/image" Target="media/image17.png"/><Relationship Id="rId124" Type="http://schemas.openxmlformats.org/officeDocument/2006/relationships/image" Target="media/image18.png"/><Relationship Id="rId125" Type="http://schemas.openxmlformats.org/officeDocument/2006/relationships/image" Target="media/image19.png"/><Relationship Id="rId126" Type="http://schemas.openxmlformats.org/officeDocument/2006/relationships/image" Target="media/image20.png"/><Relationship Id="rId127" Type="http://schemas.openxmlformats.org/officeDocument/2006/relationships/image" Target="media/image21.png"/><Relationship Id="rId128" Type="http://schemas.openxmlformats.org/officeDocument/2006/relationships/image" Target="media/image22.png"/><Relationship Id="rId129" Type="http://schemas.openxmlformats.org/officeDocument/2006/relationships/image" Target="media/image23.png"/><Relationship Id="rId130" Type="http://schemas.openxmlformats.org/officeDocument/2006/relationships/image" Target="media/image24.png"/><Relationship Id="rId131" Type="http://schemas.openxmlformats.org/officeDocument/2006/relationships/image" Target="media/image25.png"/><Relationship Id="rId132" Type="http://schemas.openxmlformats.org/officeDocument/2006/relationships/image" Target="media/image26.png"/><Relationship Id="rId133" Type="http://schemas.openxmlformats.org/officeDocument/2006/relationships/image" Target="media/image27.png"/><Relationship Id="rId134" Type="http://schemas.openxmlformats.org/officeDocument/2006/relationships/image" Target="media/image28.png"/><Relationship Id="rId135" Type="http://schemas.openxmlformats.org/officeDocument/2006/relationships/image" Target="media/image29.png"/><Relationship Id="rId136" Type="http://schemas.openxmlformats.org/officeDocument/2006/relationships/image" Target="media/image30.png"/><Relationship Id="rId137" Type="http://schemas.openxmlformats.org/officeDocument/2006/relationships/image" Target="media/image31.png"/><Relationship Id="rId138" Type="http://schemas.openxmlformats.org/officeDocument/2006/relationships/image" Target="media/image32.png"/><Relationship Id="rId139" Type="http://schemas.openxmlformats.org/officeDocument/2006/relationships/image" Target="media/image33.png"/><Relationship Id="rId140" Type="http://schemas.openxmlformats.org/officeDocument/2006/relationships/image" Target="media/image34.png"/><Relationship Id="rId141" Type="http://schemas.openxmlformats.org/officeDocument/2006/relationships/image" Target="media/image35.png"/><Relationship Id="rId10" Type="http://schemas.openxmlformats.org/officeDocument/2006/relationships/hyperlink" Target="http://www.sec.gov/Archives/edgar/data/1232524/000119312511251468/d233902dex21.htm" TargetMode="External"/><Relationship Id="rId11" Type="http://schemas.openxmlformats.org/officeDocument/2006/relationships/hyperlink" Target="http://www.sec.gov/Archives/edgar/data/1232524/000119312512015521/d282897dex22.htm" TargetMode="External"/><Relationship Id="rId12" Type="http://schemas.openxmlformats.org/officeDocument/2006/relationships/hyperlink" Target="http://www.sec.gov/Archives/edgar/data/1232524/000119312512191724/d341488dex21.htm" TargetMode="External"/><Relationship Id="rId13" Type="http://schemas.openxmlformats.org/officeDocument/2006/relationships/hyperlink" Target="http://www.sec.gov/Archives/edgar/data/1232524/000119312512268244/d365702dex21b.htm" TargetMode="External"/><Relationship Id="rId14" Type="http://schemas.openxmlformats.org/officeDocument/2006/relationships/hyperlink" Target="http://www.sec.gov/Archives/edgar/data/1232524/000119312513481242/d647727dex21.htm" TargetMode="External"/><Relationship Id="rId15" Type="http://schemas.openxmlformats.org/officeDocument/2006/relationships/hyperlink" Target="http://www.sec.gov/Archives/edgar/data/1232524/000119312514008838/d656574dex21.htm" TargetMode="External"/><Relationship Id="rId16" Type="http://schemas.openxmlformats.org/officeDocument/2006/relationships/hyperlink" Target="http://www.sec.gov/Archives/edgar/data/1232524/000119312514295844/d768395dex21.htm" TargetMode="External"/><Relationship Id="rId17" Type="http://schemas.openxmlformats.org/officeDocument/2006/relationships/hyperlink" Target="http://www.sec.gov/Archives/edgar/data/1232524/000123252415000074/form8-kex21.htm" TargetMode="External"/><Relationship Id="rId18" Type="http://schemas.openxmlformats.org/officeDocument/2006/relationships/hyperlink" Target="http://www.sec.gov/Archives/edgar/data/1232524/000119312516607097/d203835dex21.htm" TargetMode="External"/><Relationship Id="rId19" Type="http://schemas.openxmlformats.org/officeDocument/2006/relationships/hyperlink" Target="http://www.sec.gov/Archives/edgar/data/1232524/000123252416000303/jazzq22016ex31.htm" TargetMode="External"/><Relationship Id="rId20" Type="http://schemas.openxmlformats.org/officeDocument/2006/relationships/hyperlink" Target="http://www.sec.gov/Archives/edgar/data/1232524/000119312509144891/dex1088.htm" TargetMode="External"/><Relationship Id="rId21" Type="http://schemas.openxmlformats.org/officeDocument/2006/relationships/hyperlink" Target="http://www.sec.gov/Archives/edgar/data/1232524/000119312512085849/d234872dex47b.htm" TargetMode="External"/><Relationship Id="rId22" Type="http://schemas.openxmlformats.org/officeDocument/2006/relationships/hyperlink" Target="http://www.sec.gov/Archives/edgar/data/1232524/000119312514308406/d773171dex41.htm" TargetMode="External"/><Relationship Id="rId23" Type="http://schemas.openxmlformats.org/officeDocument/2006/relationships/hyperlink" Target="http://www.sec.gov/Archives/edgar/data/1232524/000119312517265654/d641007dex41.htm" TargetMode="External"/><Relationship Id="rId24" Type="http://schemas.openxmlformats.org/officeDocument/2006/relationships/hyperlink" Target="http://www.sec.gov/Archives/edgar/data/1232524/000123252417000134/jazzq22017ex101.htm" TargetMode="External"/><Relationship Id="rId25" Type="http://schemas.openxmlformats.org/officeDocument/2006/relationships/hyperlink" Target="http://www.sec.gov/Archives/edgar/data/1232524/000123252419000026/jazzq12019ex107.htm" TargetMode="External"/><Relationship Id="rId26" Type="http://schemas.openxmlformats.org/officeDocument/2006/relationships/hyperlink" Target="http://www.sec.gov/Archives/edgar/data/1232524/000123252419000026/jazzq12019ex106.htm" TargetMode="External"/><Relationship Id="rId28" Type="http://schemas.openxmlformats.org/officeDocument/2006/relationships/hyperlink" Target="http://www.sec.gov/Archives/edgar/data/1232524/000119312510109426/dex1054.htm" TargetMode="External"/><Relationship Id="rId29" Type="http://schemas.openxmlformats.org/officeDocument/2006/relationships/hyperlink" Target="http://www.sec.gov/Archives/edgar/data/1232524/000119312512347832/d394051dex1011.htm" TargetMode="External"/><Relationship Id="rId30" Type="http://schemas.openxmlformats.org/officeDocument/2006/relationships/hyperlink" Target="http://www.sec.gov/Archives/edgar/data/1232524/000123252415000140/jazzq22015ex103.htm" TargetMode="External"/><Relationship Id="rId31" Type="http://schemas.openxmlformats.org/officeDocument/2006/relationships/hyperlink" Target="http://www.sec.gov/Archives/edgar/data/1232524/000123252419000013/jazzq42018ex105.htm" TargetMode="External"/><Relationship Id="rId32" Type="http://schemas.openxmlformats.org/officeDocument/2006/relationships/hyperlink" Target="http://www.sec.gov/Archives/edgar/data/1232524/000123252416000194/jazzq42015ex105.htm" TargetMode="External"/><Relationship Id="rId33" Type="http://schemas.openxmlformats.org/officeDocument/2006/relationships/hyperlink" Target="http://www.sec.gov/Archives/edgar/data/1232524/000123252418000018/jazzq42017ex108.htm" TargetMode="External"/><Relationship Id="rId34" Type="http://schemas.openxmlformats.org/officeDocument/2006/relationships/hyperlink" Target="http://www.sec.gov/Archives/edgar/data/1232524/000123252418000094/jazzq12018ex103.htm" TargetMode="External"/><Relationship Id="rId35" Type="http://schemas.openxmlformats.org/officeDocument/2006/relationships/hyperlink" Target="http://www.sec.gov/Archives/edgar/data/1232524/000123252417000134/jazzq22017ex102.htm" TargetMode="External"/><Relationship Id="rId36" Type="http://schemas.openxmlformats.org/officeDocument/2006/relationships/hyperlink" Target="http://www.sec.gov/Archives/edgar/data/1232524/000123252419000026/jazzq12019ex108.htm" TargetMode="External"/><Relationship Id="rId37" Type="http://schemas.openxmlformats.org/officeDocument/2006/relationships/hyperlink" Target="http://www.sec.gov/Archives/edgar/data/1232524/000119312520012036/d857934dex21.htm" TargetMode="External"/><Relationship Id="rId38" Type="http://schemas.openxmlformats.org/officeDocument/2006/relationships/hyperlink" Target="http://www.sec.gov/Archives/edgar/data/1232524/000119312515227286/d943812dex101.htm" TargetMode="External"/><Relationship Id="rId39" Type="http://schemas.openxmlformats.org/officeDocument/2006/relationships/hyperlink" Target="http://www.sec.gov/Archives/edgar/data/1232524/000123252416000303/jazzq22016ex101.htm" TargetMode="External"/><Relationship Id="rId40" Type="http://schemas.openxmlformats.org/officeDocument/2006/relationships/hyperlink" Target="http://www.sec.gov/Archives/edgar/data/1232524/000123252418000133/jazzq22018ex104.htm" TargetMode="External"/><Relationship Id="rId41" Type="http://schemas.openxmlformats.org/officeDocument/2006/relationships/hyperlink" Target="http://www.sec.gov/Archives/edgar/data/1232524/000119312507065680/dex1052.htm" TargetMode="External"/><Relationship Id="rId42" Type="http://schemas.openxmlformats.org/officeDocument/2006/relationships/hyperlink" Target="http://www.sec.gov/Archives/edgar/data/1232524/000119312509125212/dex1086.htm" TargetMode="External"/><Relationship Id="rId43" Type="http://schemas.openxmlformats.org/officeDocument/2006/relationships/hyperlink" Target="http://www.sec.gov/Archives/edgar/data/1232524/000119312512085849/d234872dex1031.htm" TargetMode="External"/><Relationship Id="rId44" Type="http://schemas.openxmlformats.org/officeDocument/2006/relationships/hyperlink" Target="http://www.sec.gov/Archives/edgar/data/1232524/000119312512341236/d369113dex102.htm" TargetMode="External"/><Relationship Id="rId45" Type="http://schemas.openxmlformats.org/officeDocument/2006/relationships/hyperlink" Target="http://www.sec.gov/Archives/edgar/data/1232524/000123252415000030/jazzq42014ex1010.htm" TargetMode="External"/><Relationship Id="rId46" Type="http://schemas.openxmlformats.org/officeDocument/2006/relationships/hyperlink" Target="http://www.sec.gov/Archives/edgar/data/1232524/000123252418000133/jazzq22018ex105.htm" TargetMode="External"/><Relationship Id="rId47" Type="http://schemas.openxmlformats.org/officeDocument/2006/relationships/hyperlink" Target="http://www.sec.gov/Archives/edgar/data/1232524/000123252418000192/jazzq32018ex101.htm" TargetMode="External"/><Relationship Id="rId48" Type="http://schemas.openxmlformats.org/officeDocument/2006/relationships/hyperlink" Target="http://www.sec.gov/Archives/edgar/data/1232524/000123252417000179/jazzq32017ex102.htm" TargetMode="External"/><Relationship Id="rId49" Type="http://schemas.openxmlformats.org/officeDocument/2006/relationships/hyperlink" Target="http://www.sec.gov/Archives/edgar/data/1232524/000123252418000133/jazzq22018ex106.htm" TargetMode="External"/><Relationship Id="rId50" Type="http://schemas.openxmlformats.org/officeDocument/2006/relationships/hyperlink" Target="http://www.sec.gov/Archives/edgar/data/1232524/000119312512015521/d282897dex101.htm" TargetMode="External"/><Relationship Id="rId51" Type="http://schemas.openxmlformats.org/officeDocument/2006/relationships/hyperlink" Target="http://www.sec.gov/Archives/edgar/data/1232524/000123252414000049/jazzq12014ex103.htm" TargetMode="External"/><Relationship Id="rId52" Type="http://schemas.openxmlformats.org/officeDocument/2006/relationships/hyperlink" Target="http://www.sec.gov/Archives/edgar/data/1232524/000123252414000137/jazzq32014ex102.htm" TargetMode="External"/><Relationship Id="rId53" Type="http://schemas.openxmlformats.org/officeDocument/2006/relationships/hyperlink" Target="http://www.sec.gov/Archives/edgar/data/1232524/000123252419000060/jazzq32019ex106.htm" TargetMode="External"/><Relationship Id="rId54" Type="http://schemas.openxmlformats.org/officeDocument/2006/relationships/hyperlink" Target="http://www.sec.gov/Archives/edgar/data/1232524/000123252418000018/jazzq42017ex1021.htm" TargetMode="External"/><Relationship Id="rId55" Type="http://schemas.openxmlformats.org/officeDocument/2006/relationships/hyperlink" Target="http://www.sec.gov/Archives/edgar/data/1232524/000123252419000044/jazzq22019ex104offeriannone.htm" TargetMode="External"/><Relationship Id="rId56" Type="http://schemas.openxmlformats.org/officeDocument/2006/relationships/hyperlink" Target="http://www.sec.gov/Archives/edgar/data/1232524/000123252419000060/jazzq32019ex101.htm" TargetMode="External"/><Relationship Id="rId57" Type="http://schemas.openxmlformats.org/officeDocument/2006/relationships/hyperlink" Target="http://www.sec.gov/Archives/edgar/data/1232524/000123252419000060/jazzq32019ex102.htm" TargetMode="External"/><Relationship Id="rId58" Type="http://schemas.openxmlformats.org/officeDocument/2006/relationships/hyperlink" Target="http://www.sec.gov/Archives/edgar/data/1232524/000123252419000060/jazzq32019ex103.htm" TargetMode="External"/><Relationship Id="rId59" Type="http://schemas.openxmlformats.org/officeDocument/2006/relationships/hyperlink" Target="http://www.sec.gov/Archives/edgar/data/1232524/000123252419000060/jazzq32019ex104.htm" TargetMode="External"/><Relationship Id="rId60" Type="http://schemas.openxmlformats.org/officeDocument/2006/relationships/hyperlink" Target="http://www.sec.gov/Archives/edgar/data/1232524/000119312512015710/d283614dex993.htm" TargetMode="External"/><Relationship Id="rId61" Type="http://schemas.openxmlformats.org/officeDocument/2006/relationships/hyperlink" Target="http://www.sec.gov/Archives/edgar/data/1232524/000119312512085849/d234872dex103b.htm" TargetMode="External"/><Relationship Id="rId62" Type="http://schemas.openxmlformats.org/officeDocument/2006/relationships/hyperlink" Target="http://www.sec.gov/Archives/edgar/data/1232524/000123252413000010/jazzq42012ex1027c.htm" TargetMode="External"/><Relationship Id="rId63" Type="http://schemas.openxmlformats.org/officeDocument/2006/relationships/hyperlink" Target="http://www.sec.gov/Archives/edgar/data/1232524/000123252413000010/jazzq42012ex1027d.htm" TargetMode="External"/><Relationship Id="rId64" Type="http://schemas.openxmlformats.org/officeDocument/2006/relationships/hyperlink" Target="http://www.sec.gov/Archives/edgar/data/1232524/000123252413000010/jazzq42012ex1027e.htm" TargetMode="External"/><Relationship Id="rId65" Type="http://schemas.openxmlformats.org/officeDocument/2006/relationships/hyperlink" Target="http://www.sec.gov/Archives/edgar/data/1232524/000123252413000010/jazzq42012ex1027f.htm" TargetMode="External"/><Relationship Id="rId66" Type="http://schemas.openxmlformats.org/officeDocument/2006/relationships/hyperlink" Target="http://www.sec.gov/Archives/edgar/data/1232524/000123252413000112/jazzq32013ex101.htm" TargetMode="External"/><Relationship Id="rId67" Type="http://schemas.openxmlformats.org/officeDocument/2006/relationships/hyperlink" Target="http://www.sec.gov/Archives/edgar/data/1232524/000123252413000112/jazzq32013ex102.htm" TargetMode="External"/><Relationship Id="rId68" Type="http://schemas.openxmlformats.org/officeDocument/2006/relationships/hyperlink" Target="http://www.sec.gov/Archives/edgar/data/1232524/000119312512015710/d283614dex991.htm" TargetMode="External"/><Relationship Id="rId69" Type="http://schemas.openxmlformats.org/officeDocument/2006/relationships/hyperlink" Target="http://www.sec.gov/Archives/edgar/data/1232524/000119312512085849/d234872dex1039b.htm" TargetMode="External"/><Relationship Id="rId70" Type="http://schemas.openxmlformats.org/officeDocument/2006/relationships/hyperlink" Target="http://www.sec.gov/Archives/edgar/data/1232524/000119312512341236/d369113dex107.htm" TargetMode="External"/><Relationship Id="rId71" Type="http://schemas.openxmlformats.org/officeDocument/2006/relationships/hyperlink" Target="http://www.sec.gov/Archives/edgar/data/1232524/000119312512341236/d369113dex108.htm" TargetMode="External"/><Relationship Id="rId72" Type="http://schemas.openxmlformats.org/officeDocument/2006/relationships/hyperlink" Target="http://www.sec.gov/Archives/edgar/data/1232524/000123252413000010/jazzq42012ex1028e.htm" TargetMode="External"/><Relationship Id="rId73" Type="http://schemas.openxmlformats.org/officeDocument/2006/relationships/hyperlink" Target="http://www.sec.gov/Archives/edgar/data/1232524/000119312512341236/d369113dex109.htm" TargetMode="External"/><Relationship Id="rId74" Type="http://schemas.openxmlformats.org/officeDocument/2006/relationships/hyperlink" Target="http://www.sec.gov/Archives/edgar/data/1232524/000119312512341236/d369113dex1010.htm" TargetMode="External"/><Relationship Id="rId75" Type="http://schemas.openxmlformats.org/officeDocument/2006/relationships/hyperlink" Target="http://www.sec.gov/Archives/edgar/data/1232524/000123252413000010/jazzq42012ex1028h.htm" TargetMode="External"/><Relationship Id="rId76" Type="http://schemas.openxmlformats.org/officeDocument/2006/relationships/hyperlink" Target="http://www.sec.gov/Archives/edgar/data/1232524/000123252413000112/jazzq32013ex103.htm" TargetMode="External"/><Relationship Id="rId77" Type="http://schemas.openxmlformats.org/officeDocument/2006/relationships/hyperlink" Target="http://www.sec.gov/Archives/edgar/data/1232524/000123252413000112/jazzq32103ex104.htm" TargetMode="External"/><Relationship Id="rId78" Type="http://schemas.openxmlformats.org/officeDocument/2006/relationships/hyperlink" Target="http://www.sec.gov/Archives/edgar/data/1232524/000123252413000112/jazzq32013ex105.htm" TargetMode="External"/><Relationship Id="rId79" Type="http://schemas.openxmlformats.org/officeDocument/2006/relationships/hyperlink" Target="http://www.sec.gov/Archives/edgar/data/1232524/000123252413000112/jazzq32013ex106.htm" TargetMode="External"/><Relationship Id="rId80" Type="http://schemas.openxmlformats.org/officeDocument/2006/relationships/hyperlink" Target="http://www.sec.gov/Archives/edgar/data/1232524/000123252416000271/jazzq12016ex101.htm" TargetMode="External"/><Relationship Id="rId81" Type="http://schemas.openxmlformats.org/officeDocument/2006/relationships/hyperlink" Target="http://www.sec.gov/Archives/edgar/data/1232524/000123252416000271/jazzq12016ex102.htm" TargetMode="External"/><Relationship Id="rId82" Type="http://schemas.openxmlformats.org/officeDocument/2006/relationships/hyperlink" Target="http://www.sec.gov/Archives/edgar/data/1232524/000123252416000303/jazzq22016ex108.htm" TargetMode="External"/><Relationship Id="rId83" Type="http://schemas.openxmlformats.org/officeDocument/2006/relationships/hyperlink" Target="http://www.sec.gov/Archives/edgar/data/1232524/000123252416000384/jazzq32016ex102.htm" TargetMode="External"/><Relationship Id="rId84" Type="http://schemas.openxmlformats.org/officeDocument/2006/relationships/hyperlink" Target="http://www.sec.gov/Archives/edgar/data/1232524/000123252416000384/jazzq32016ex106.htm" TargetMode="External"/><Relationship Id="rId85" Type="http://schemas.openxmlformats.org/officeDocument/2006/relationships/hyperlink" Target="http://www.sec.gov/Archives/edgar/data/1232524/000123252416000384/jazzq32016ex107.htm" TargetMode="External"/><Relationship Id="rId86" Type="http://schemas.openxmlformats.org/officeDocument/2006/relationships/hyperlink" Target="http://www.sec.gov/Archives/edgar/data/1232524/000123252416000384/jazzq32016ex108.htm" TargetMode="External"/><Relationship Id="rId87" Type="http://schemas.openxmlformats.org/officeDocument/2006/relationships/hyperlink" Target="http://www.sec.gov/Archives/edgar/data/1232524/000123252418000133/jazzq22018ex102.htm" TargetMode="External"/><Relationship Id="rId88" Type="http://schemas.openxmlformats.org/officeDocument/2006/relationships/hyperlink" Target="http://www.sec.gov/Archives/edgar/data/1232524/000123252418000133/jazzq22018ex103.htm" TargetMode="External"/><Relationship Id="rId89" Type="http://schemas.openxmlformats.org/officeDocument/2006/relationships/hyperlink" Target="http://www.sec.gov/Archives/edgar/data/1232524/000123252419000026/jazzq12019ex104.htm" TargetMode="External"/><Relationship Id="rId90" Type="http://schemas.openxmlformats.org/officeDocument/2006/relationships/hyperlink" Target="http://www.sec.gov/Archives/edgar/data/1232524/000123252419000026/jazzq12019ex105.htm" TargetMode="External"/><Relationship Id="rId91" Type="http://schemas.openxmlformats.org/officeDocument/2006/relationships/hyperlink" Target="http://www.sec.gov/Archives/edgar/data/1232524/000119312512015710/d283614dex996.htm" TargetMode="External"/><Relationship Id="rId92" Type="http://schemas.openxmlformats.org/officeDocument/2006/relationships/hyperlink" Target="http://www.sec.gov/Archives/edgar/data/1232524/000119312512015710/d283614dex994.htm" TargetMode="External"/><Relationship Id="rId93" Type="http://schemas.openxmlformats.org/officeDocument/2006/relationships/hyperlink" Target="http://www.sec.gov/Archives/edgar/data/1232524/000123252413000010/jazzq42012ex1030b.htm" TargetMode="External"/><Relationship Id="rId94" Type="http://schemas.openxmlformats.org/officeDocument/2006/relationships/hyperlink" Target="http://www.sec.gov/Archives/edgar/data/1232524/000123252413000112/jazzq32013ex107.htm" TargetMode="External"/><Relationship Id="rId95" Type="http://schemas.openxmlformats.org/officeDocument/2006/relationships/hyperlink" Target="http://www.sec.gov/Archives/edgar/data/1232524/000123252416000303/jazzq22016ex109.htm" TargetMode="External"/><Relationship Id="rId96" Type="http://schemas.openxmlformats.org/officeDocument/2006/relationships/hyperlink" Target="http://www.sec.gov/Archives/edgar/data/1232524/000123252416000384/jazzq32016ex103.htm" TargetMode="External"/><Relationship Id="rId97" Type="http://schemas.openxmlformats.org/officeDocument/2006/relationships/hyperlink" Target="http://www.sec.gov/Archives/edgar/data/1232524/000123252416000384/jazzq32016ex104.htm" TargetMode="External"/><Relationship Id="rId98" Type="http://schemas.openxmlformats.org/officeDocument/2006/relationships/hyperlink" Target="http://www.sec.gov/Archives/edgar/data/1232524/000123252416000384/jazzq32016ex105.htm" TargetMode="External"/><Relationship Id="rId99" Type="http://schemas.openxmlformats.org/officeDocument/2006/relationships/hyperlink" Target="http://www.sec.gov/Archives/edgar/data/1232524/000123252418000192/jazzq32018ex102.htm" TargetMode="External"/><Relationship Id="rId100" Type="http://schemas.openxmlformats.org/officeDocument/2006/relationships/hyperlink" Target="http://www.sec.gov/Archives/edgar/data/1232524/000123252418000192/jazzq32018ex103.htm" TargetMode="External"/><Relationship Id="rId101" Type="http://schemas.openxmlformats.org/officeDocument/2006/relationships/hyperlink" Target="http://www.sec.gov/Archives/edgar/data/1232524/000123252419000026/jazzq12019ex102.htm" TargetMode="External"/><Relationship Id="rId102" Type="http://schemas.openxmlformats.org/officeDocument/2006/relationships/hyperlink" Target="http://www.sec.gov/Archives/edgar/data/1232524/000123252419000026/jazzq12019ex103.htm" TargetMode="External"/><Relationship Id="rId103" Type="http://schemas.openxmlformats.org/officeDocument/2006/relationships/hyperlink" Target="http://www.sec.gov/Archives/edgar/data/1232524/000123252413000010/jazzq42012ex1031a.htm" TargetMode="External"/><Relationship Id="rId104" Type="http://schemas.openxmlformats.org/officeDocument/2006/relationships/hyperlink" Target="http://www.sec.gov/Archives/edgar/data/1232524/000119312512218929/d315595dex1014c.htm" TargetMode="External"/><Relationship Id="rId105" Type="http://schemas.openxmlformats.org/officeDocument/2006/relationships/hyperlink" Target="http://www.sec.gov/Archives/edgar/data/1232524/000123252419000013/jazzq42018ex1026c.htm" TargetMode="External"/><Relationship Id="rId106" Type="http://schemas.openxmlformats.org/officeDocument/2006/relationships/hyperlink" Target="http://www.sec.gov/Archives/edgar/data/1232524/000123252419000013/jazzq42018ex1026d.htm" TargetMode="External"/><Relationship Id="rId107" Type="http://schemas.openxmlformats.org/officeDocument/2006/relationships/hyperlink" Target="http://www.sec.gov/Archives/edgar/data/1232524/000123252419000060/jazzq32019ex105.htm" TargetMode="External"/><Relationship Id="rId108" Type="http://schemas.openxmlformats.org/officeDocument/2006/relationships/hyperlink" Target="http://www.sec.gov/Archives/edgar/data/1232524/000123252416000303/jazzq22016ex107.htm" TargetMode="External"/><Relationship Id="rId109" Type="http://schemas.openxmlformats.org/officeDocument/2006/relationships/hyperlink" Target="http://www.sec.gov/Archives/edgar/data/1232524/000123252418000133/jazzq2201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2020-02-25T17:24:07Z</dcterms:created>
  <dcterms:modified xsi:type="dcterms:W3CDTF">2020-02-25T17:24:07Z</dcterms:modified>
</cp:coreProperties>
</file>