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356" w:type="dxa"/>
        <w:jc w:val="left"/>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or</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001-33500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JAZZ PHARMACEUTICALS PUBLIC LIMITED COMPANY</w:t>
      </w:r>
    </w:p>
    <w:p>
      <w:pPr>
        <w:pStyle w:val="TextBody"/>
        <w:bidi w:val="0"/>
        <w:spacing w:lineRule="auto" w:line="288" w:before="0" w:after="0"/>
        <w:jc w:val="center"/>
        <w:rPr/>
      </w:pPr>
      <w:r>
        <w:rPr>
          <w:rFonts w:ascii="Times New Roman;serif" w:hAnsi="Times New Roman;serif"/>
          <w:b/>
          <w:color w:val="000000"/>
          <w:sz w:val="16"/>
        </w:rPr>
        <w:t>(Exact name of registrant as specified in its charter)</w:t>
      </w:r>
      <w:r>
        <w:rPr>
          <w:color w:val="000000"/>
        </w:rPr>
        <w:t> </w:t>
      </w:r>
    </w:p>
    <w:tbl>
      <w:tblPr>
        <w:tblW w:w="3854" w:type="dxa"/>
        <w:jc w:val="left"/>
        <w:tblInd w:w="0" w:type="dxa"/>
        <w:tblLayout w:type="fixed"/>
        <w:tblCellMar>
          <w:top w:w="28" w:type="dxa"/>
          <w:left w:w="28" w:type="dxa"/>
          <w:bottom w:w="28" w:type="dxa"/>
          <w:right w:w="28" w:type="dxa"/>
        </w:tblCellMar>
      </w:tblPr>
      <w:tblGrid>
        <w:gridCol w:w="857"/>
        <w:gridCol w:w="753"/>
        <w:gridCol w:w="760"/>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94"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98"/>
        <w:gridCol w:w="1098"/>
        <w:gridCol w:w="1554"/>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LLC </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October 29, 2025, 60,765,116 ordinary shares of the registrant, nominal value $0.0001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 FOR THE QUARTER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0"/>
        <w:gridCol w:w="477"/>
        <w:gridCol w:w="477"/>
        <w:gridCol w:w="2833"/>
        <w:gridCol w:w="2652"/>
        <w:gridCol w:w="2702"/>
        <w:gridCol w:w="149"/>
        <w:gridCol w:w="149"/>
        <w:gridCol w:w="216"/>
      </w:tblGrid>
      <w:tr>
        <w:trPr/>
        <w:tc>
          <w:tcPr>
            <w:tcW w:w="55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3">
              <w:r>
                <w:rPr>
                  <w:rStyle w:val="InternetLink"/>
                  <w:rFonts w:ascii="Times New Roman;serif" w:hAnsi="Times New Roman;serif"/>
                  <w:b/>
                  <w:color w:val="0000FF"/>
                  <w:sz w:val="20"/>
                  <w:u w:val="single"/>
                </w:rPr>
                <w:t>PART I –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0">
              <w:r>
                <w:rPr>
                  <w:rStyle w:val="InternetLink"/>
                  <w:rFonts w:ascii="Times New Roman;serif" w:hAnsi="Times New Roman;serif"/>
                  <w:b w:val="false"/>
                  <w:color w:val="0000FF"/>
                  <w:sz w:val="20"/>
                  <w:u w:val="single"/>
                </w:rPr>
                <w:t>Defined Terms and Products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0">
              <w:r>
                <w:rPr>
                  <w:rStyle w:val="InternetLink"/>
                  <w:rFonts w:ascii="Times New Roman;serif" w:hAnsi="Times New Roman;serif"/>
                  <w:b w:val="false"/>
                  <w:color w:val="0000FF"/>
                  <w:sz w:val="20"/>
                  <w:u w:val="single"/>
                </w:rPr>
                <w:t>3</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6">
              <w:r>
                <w:rPr>
                  <w:rStyle w:val="InternetLink"/>
                  <w:rFonts w:ascii="Times New Roman;serif" w:hAnsi="Times New Roman;serif"/>
                  <w:b w:val="false"/>
                  <w:color w:val="0000FF"/>
                  <w:sz w:val="20"/>
                  <w:u w:val="single"/>
                </w:rPr>
                <w:t>7</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9">
              <w:r>
                <w:rPr>
                  <w:rStyle w:val="InternetLink"/>
                  <w:rFonts w:ascii="Times New Roman;serif" w:hAnsi="Times New Roman;serif"/>
                  <w:b w:val="false"/>
                  <w:color w:val="000080"/>
                  <w:sz w:val="20"/>
                  <w:u w:val="single"/>
                </w:rPr>
                <w:t xml:space="preserve">Condensed Consolidated Balance Sheets – </w:t>
              </w:r>
            </w:hyperlink>
            <w:hyperlink w:anchor="i79dd33b7df0e41ce97d31d564413afa6_19">
              <w:r>
                <w:rPr>
                  <w:rStyle w:val="InternetLink"/>
                  <w:rFonts w:ascii="Times New Roman;serif" w:hAnsi="Times New Roman;serif"/>
                  <w:b w:val="false"/>
                  <w:color w:val="000080"/>
                  <w:sz w:val="20"/>
                  <w:u w:val="single"/>
                </w:rPr>
                <w:t>September</w:t>
              </w:r>
            </w:hyperlink>
            <w:hyperlink w:anchor="i79dd33b7df0e41ce97d31d564413afa6_19">
              <w:r>
                <w:rPr>
                  <w:rStyle w:val="InternetLink"/>
                  <w:rFonts w:ascii="Times New Roman;serif" w:hAnsi="Times New Roman;serif"/>
                  <w:b w:val="false"/>
                  <w:color w:val="000080"/>
                  <w:sz w:val="20"/>
                  <w:u w:val="single"/>
                </w:rPr>
                <w:t xml:space="preserve"> 30, 2025 and December 31,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9">
              <w:r>
                <w:rPr>
                  <w:rStyle w:val="InternetLink"/>
                  <w:rFonts w:ascii="Times New Roman;serif" w:hAnsi="Times New Roman;serif"/>
                  <w:b w:val="false"/>
                  <w:color w:val="0000FF"/>
                  <w:sz w:val="20"/>
                  <w:u w:val="single"/>
                </w:rPr>
                <w:t>7</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22">
              <w:r>
                <w:rPr>
                  <w:rStyle w:val="InternetLink"/>
                  <w:rFonts w:ascii="Times New Roman;serif" w:hAnsi="Times New Roman;serif"/>
                  <w:b w:val="false"/>
                  <w:color w:val="000080"/>
                  <w:sz w:val="20"/>
                  <w:u w:val="single"/>
                </w:rPr>
                <w:t xml:space="preserve">Condensed Consolidated Statements of </w:t>
              </w:r>
            </w:hyperlink>
            <w:hyperlink w:anchor="i79dd33b7df0e41ce97d31d564413afa6_22">
              <w:r>
                <w:rPr>
                  <w:rStyle w:val="InternetLink"/>
                  <w:rFonts w:ascii="Times New Roman;serif" w:hAnsi="Times New Roman;serif"/>
                  <w:b w:val="false"/>
                  <w:color w:val="000080"/>
                  <w:sz w:val="20"/>
                  <w:u w:val="single"/>
                </w:rPr>
                <w:t>Income (Loss)</w:t>
              </w:r>
            </w:hyperlink>
            <w:hyperlink w:anchor="i79dd33b7df0e41ce97d31d564413afa6_22">
              <w:r>
                <w:rPr>
                  <w:rStyle w:val="InternetLink"/>
                  <w:rFonts w:ascii="Times New Roman;serif" w:hAnsi="Times New Roman;serif"/>
                  <w:b w:val="false"/>
                  <w:color w:val="000080"/>
                  <w:sz w:val="20"/>
                  <w:u w:val="single"/>
                </w:rPr>
                <w:t xml:space="preserve"> – Three and </w:t>
              </w:r>
            </w:hyperlink>
            <w:hyperlink w:anchor="i79dd33b7df0e41ce97d31d564413afa6_22">
              <w:r>
                <w:rPr>
                  <w:rStyle w:val="InternetLink"/>
                  <w:rFonts w:ascii="Times New Roman;serif" w:hAnsi="Times New Roman;serif"/>
                  <w:b w:val="false"/>
                  <w:color w:val="000080"/>
                  <w:sz w:val="20"/>
                  <w:u w:val="single"/>
                </w:rPr>
                <w:t>Nine</w:t>
              </w:r>
            </w:hyperlink>
            <w:hyperlink w:anchor="i79dd33b7df0e41ce97d31d564413afa6_22">
              <w:r>
                <w:rPr>
                  <w:rStyle w:val="InternetLink"/>
                  <w:rFonts w:ascii="Times New Roman;serif" w:hAnsi="Times New Roman;serif"/>
                  <w:b w:val="false"/>
                  <w:color w:val="000080"/>
                  <w:sz w:val="20"/>
                  <w:u w:val="single"/>
                </w:rPr>
                <w:t xml:space="preserve"> Months Ended </w:t>
              </w:r>
            </w:hyperlink>
            <w:hyperlink w:anchor="i79dd33b7df0e41ce97d31d564413afa6_22">
              <w:r>
                <w:rPr>
                  <w:rStyle w:val="InternetLink"/>
                  <w:rFonts w:ascii="Times New Roman;serif" w:hAnsi="Times New Roman;serif"/>
                  <w:b w:val="false"/>
                  <w:color w:val="000080"/>
                  <w:sz w:val="20"/>
                  <w:u w:val="single"/>
                </w:rPr>
                <w:t>Se</w:t>
              </w:r>
            </w:hyperlink>
            <w:hyperlink w:anchor="i79dd33b7df0e41ce97d31d564413afa6_22">
              <w:r>
                <w:rPr>
                  <w:rStyle w:val="InternetLink"/>
                  <w:rFonts w:ascii="Times New Roman;serif" w:hAnsi="Times New Roman;serif"/>
                  <w:b w:val="false"/>
                  <w:color w:val="000080"/>
                  <w:sz w:val="20"/>
                  <w:u w:val="single"/>
                </w:rPr>
                <w:t>ptember</w:t>
              </w:r>
            </w:hyperlink>
            <w:hyperlink w:anchor="i79dd33b7df0e41ce97d31d564413afa6_22">
              <w:r>
                <w:rPr>
                  <w:rStyle w:val="InternetLink"/>
                  <w:rFonts w:ascii="Times New Roman;serif" w:hAnsi="Times New Roman;serif"/>
                  <w:b w:val="false"/>
                  <w:color w:val="000080"/>
                  <w:sz w:val="20"/>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22">
              <w:r>
                <w:rPr>
                  <w:rStyle w:val="InternetLink"/>
                  <w:rFonts w:ascii="Times New Roman;serif" w:hAnsi="Times New Roman;serif"/>
                  <w:b w:val="false"/>
                  <w:color w:val="0000FF"/>
                  <w:sz w:val="20"/>
                  <w:u w:val="single"/>
                </w:rPr>
                <w:t>8</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25">
              <w:r>
                <w:rPr>
                  <w:rStyle w:val="InternetLink"/>
                  <w:rFonts w:ascii="Times New Roman;serif" w:hAnsi="Times New Roman;serif"/>
                  <w:b w:val="false"/>
                  <w:color w:val="000080"/>
                  <w:sz w:val="20"/>
                  <w:u w:val="single"/>
                </w:rPr>
                <w:t xml:space="preserve">Condensed Consolidated Statements of Comprehensive </w:t>
              </w:r>
            </w:hyperlink>
            <w:hyperlink w:anchor="i79dd33b7df0e41ce97d31d564413afa6_25">
              <w:r>
                <w:rPr>
                  <w:rStyle w:val="InternetLink"/>
                  <w:rFonts w:ascii="Times New Roman;serif" w:hAnsi="Times New Roman;serif"/>
                  <w:b w:val="false"/>
                  <w:color w:val="000080"/>
                  <w:sz w:val="20"/>
                  <w:u w:val="single"/>
                </w:rPr>
                <w:t>Income (Loss)</w:t>
              </w:r>
            </w:hyperlink>
            <w:hyperlink w:anchor="i79dd33b7df0e41ce97d31d564413afa6_25">
              <w:r>
                <w:rPr>
                  <w:rStyle w:val="InternetLink"/>
                  <w:rFonts w:ascii="Times New Roman;serif" w:hAnsi="Times New Roman;serif"/>
                  <w:b w:val="false"/>
                  <w:color w:val="000080"/>
                  <w:sz w:val="20"/>
                  <w:u w:val="single"/>
                </w:rPr>
                <w:t xml:space="preserve"> – Three and </w:t>
              </w:r>
            </w:hyperlink>
            <w:hyperlink w:anchor="i79dd33b7df0e41ce97d31d564413afa6_25">
              <w:r>
                <w:rPr>
                  <w:rStyle w:val="InternetLink"/>
                  <w:rFonts w:ascii="Times New Roman;serif" w:hAnsi="Times New Roman;serif"/>
                  <w:b w:val="false"/>
                  <w:color w:val="000080"/>
                  <w:sz w:val="20"/>
                  <w:u w:val="single"/>
                </w:rPr>
                <w:t>Nine</w:t>
              </w:r>
            </w:hyperlink>
            <w:hyperlink w:anchor="i79dd33b7df0e41ce97d31d564413afa6_25">
              <w:r>
                <w:rPr>
                  <w:rStyle w:val="InternetLink"/>
                  <w:rFonts w:ascii="Times New Roman;serif" w:hAnsi="Times New Roman;serif"/>
                  <w:b w:val="false"/>
                  <w:color w:val="000080"/>
                  <w:sz w:val="20"/>
                  <w:u w:val="single"/>
                </w:rPr>
                <w:t xml:space="preserve"> Months Ended </w:t>
              </w:r>
            </w:hyperlink>
            <w:hyperlink w:anchor="i79dd33b7df0e41ce97d31d564413afa6_25">
              <w:r>
                <w:rPr>
                  <w:rStyle w:val="InternetLink"/>
                  <w:rFonts w:ascii="Times New Roman;serif" w:hAnsi="Times New Roman;serif"/>
                  <w:b w:val="false"/>
                  <w:color w:val="000080"/>
                  <w:sz w:val="20"/>
                  <w:u w:val="single"/>
                </w:rPr>
                <w:t>Septem</w:t>
              </w:r>
            </w:hyperlink>
            <w:hyperlink w:anchor="i79dd33b7df0e41ce97d31d564413afa6_25">
              <w:r>
                <w:rPr>
                  <w:rStyle w:val="InternetLink"/>
                  <w:rFonts w:ascii="Times New Roman;serif" w:hAnsi="Times New Roman;serif"/>
                  <w:b w:val="false"/>
                  <w:color w:val="000080"/>
                  <w:sz w:val="20"/>
                  <w:u w:val="single"/>
                </w:rPr>
                <w:t>b</w:t>
              </w:r>
            </w:hyperlink>
            <w:hyperlink w:anchor="i79dd33b7df0e41ce97d31d564413afa6_25">
              <w:r>
                <w:rPr>
                  <w:rStyle w:val="InternetLink"/>
                  <w:rFonts w:ascii="Times New Roman;serif" w:hAnsi="Times New Roman;serif"/>
                  <w:b w:val="false"/>
                  <w:color w:val="000080"/>
                  <w:sz w:val="20"/>
                  <w:u w:val="single"/>
                </w:rPr>
                <w:t>er</w:t>
              </w:r>
            </w:hyperlink>
            <w:hyperlink w:anchor="i79dd33b7df0e41ce97d31d564413afa6_25">
              <w:r>
                <w:rPr>
                  <w:rStyle w:val="InternetLink"/>
                  <w:rFonts w:ascii="Times New Roman;serif" w:hAnsi="Times New Roman;serif"/>
                  <w:b w:val="false"/>
                  <w:color w:val="000080"/>
                  <w:sz w:val="20"/>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25">
              <w:r>
                <w:rPr>
                  <w:rStyle w:val="InternetLink"/>
                  <w:rFonts w:ascii="Times New Roman;serif" w:hAnsi="Times New Roman;serif"/>
                  <w:b w:val="false"/>
                  <w:color w:val="0000FF"/>
                  <w:sz w:val="20"/>
                  <w:u w:val="single"/>
                </w:rPr>
                <w:t>9</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28">
              <w:r>
                <w:rPr>
                  <w:rStyle w:val="InternetLink"/>
                  <w:rFonts w:ascii="Times New Roman;serif" w:hAnsi="Times New Roman;serif"/>
                  <w:b w:val="false"/>
                  <w:color w:val="000080"/>
                  <w:sz w:val="20"/>
                  <w:u w:val="single"/>
                </w:rPr>
                <w:t>Condensed Consolidated Statements of Shareholders’ Equity – Three and</w:t>
              </w:r>
            </w:hyperlink>
            <w:hyperlink w:anchor="i79dd33b7df0e41ce97d31d564413afa6_28">
              <w:r>
                <w:rPr>
                  <w:rStyle w:val="InternetLink"/>
                  <w:rFonts w:ascii="Times New Roman;serif" w:hAnsi="Times New Roman;serif"/>
                  <w:b w:val="false"/>
                  <w:color w:val="000080"/>
                  <w:sz w:val="20"/>
                  <w:u w:val="single"/>
                </w:rPr>
                <w:t xml:space="preserve"> Nine</w:t>
              </w:r>
            </w:hyperlink>
            <w:hyperlink w:anchor="i79dd33b7df0e41ce97d31d564413afa6_28">
              <w:r>
                <w:rPr>
                  <w:rStyle w:val="InternetLink"/>
                  <w:rFonts w:ascii="Times New Roman;serif" w:hAnsi="Times New Roman;serif"/>
                  <w:b w:val="false"/>
                  <w:color w:val="000080"/>
                  <w:sz w:val="20"/>
                  <w:u w:val="single"/>
                </w:rPr>
                <w:t xml:space="preserve"> Months Ended </w:t>
              </w:r>
            </w:hyperlink>
            <w:hyperlink w:anchor="i79dd33b7df0e41ce97d31d564413afa6_28">
              <w:r>
                <w:rPr>
                  <w:rStyle w:val="InternetLink"/>
                  <w:rFonts w:ascii="Times New Roman;serif" w:hAnsi="Times New Roman;serif"/>
                  <w:b w:val="false"/>
                  <w:color w:val="000080"/>
                  <w:sz w:val="20"/>
                  <w:u w:val="single"/>
                </w:rPr>
                <w:t>September</w:t>
              </w:r>
            </w:hyperlink>
            <w:hyperlink w:anchor="i79dd33b7df0e41ce97d31d564413afa6_28">
              <w:r>
                <w:rPr>
                  <w:rStyle w:val="InternetLink"/>
                  <w:rFonts w:ascii="Times New Roman;serif" w:hAnsi="Times New Roman;serif"/>
                  <w:b w:val="false"/>
                  <w:color w:val="000080"/>
                  <w:sz w:val="20"/>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28">
              <w:r>
                <w:rPr>
                  <w:rStyle w:val="InternetLink"/>
                  <w:rFonts w:ascii="Times New Roman;serif" w:hAnsi="Times New Roman;serif"/>
                  <w:b w:val="false"/>
                  <w:color w:val="0000FF"/>
                  <w:sz w:val="20"/>
                  <w:u w:val="single"/>
                </w:rPr>
                <w:t>10</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34">
              <w:r>
                <w:rPr>
                  <w:rStyle w:val="InternetLink"/>
                  <w:rFonts w:ascii="Times New Roman;serif" w:hAnsi="Times New Roman;serif"/>
                  <w:b w:val="false"/>
                  <w:color w:val="000080"/>
                  <w:sz w:val="20"/>
                  <w:u w:val="single"/>
                </w:rPr>
                <w:t xml:space="preserve">Condensed Consolidated Statements of Cash Flows – </w:t>
              </w:r>
            </w:hyperlink>
            <w:hyperlink w:anchor="i79dd33b7df0e41ce97d31d564413afa6_34">
              <w:r>
                <w:rPr>
                  <w:rStyle w:val="InternetLink"/>
                  <w:rFonts w:ascii="Times New Roman;serif" w:hAnsi="Times New Roman;serif"/>
                  <w:b w:val="false"/>
                  <w:color w:val="000080"/>
                  <w:sz w:val="20"/>
                  <w:u w:val="single"/>
                </w:rPr>
                <w:t>Nine</w:t>
              </w:r>
            </w:hyperlink>
            <w:hyperlink w:anchor="i79dd33b7df0e41ce97d31d564413afa6_34">
              <w:r>
                <w:rPr>
                  <w:rStyle w:val="InternetLink"/>
                  <w:rFonts w:ascii="Times New Roman;serif" w:hAnsi="Times New Roman;serif"/>
                  <w:b w:val="false"/>
                  <w:color w:val="000080"/>
                  <w:sz w:val="20"/>
                  <w:u w:val="single"/>
                </w:rPr>
                <w:t xml:space="preserve"> Months Ended </w:t>
              </w:r>
            </w:hyperlink>
            <w:hyperlink w:anchor="i79dd33b7df0e41ce97d31d564413afa6_34">
              <w:r>
                <w:rPr>
                  <w:rStyle w:val="InternetLink"/>
                  <w:rFonts w:ascii="Times New Roman;serif" w:hAnsi="Times New Roman;serif"/>
                  <w:b w:val="false"/>
                  <w:color w:val="000080"/>
                  <w:sz w:val="20"/>
                  <w:u w:val="single"/>
                </w:rPr>
                <w:t>September</w:t>
              </w:r>
            </w:hyperlink>
            <w:hyperlink w:anchor="i79dd33b7df0e41ce97d31d564413afa6_34">
              <w:r>
                <w:rPr>
                  <w:rStyle w:val="InternetLink"/>
                  <w:rFonts w:ascii="Times New Roman;serif" w:hAnsi="Times New Roman;serif"/>
                  <w:b w:val="false"/>
                  <w:color w:val="000080"/>
                  <w:sz w:val="20"/>
                  <w:u w:val="single"/>
                </w:rPr>
                <w:t xml:space="preserve"> 30,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34">
              <w:r>
                <w:rPr>
                  <w:rStyle w:val="InternetLink"/>
                  <w:rFonts w:ascii="Times New Roman;serif" w:hAnsi="Times New Roman;serif"/>
                  <w:b w:val="false"/>
                  <w:color w:val="0000FF"/>
                  <w:sz w:val="20"/>
                  <w:u w:val="single"/>
                </w:rPr>
                <w:t>12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37">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37">
              <w:r>
                <w:rPr>
                  <w:rStyle w:val="InternetLink"/>
                  <w:rFonts w:ascii="Times New Roman;serif" w:hAnsi="Times New Roman;serif"/>
                  <w:b w:val="false"/>
                  <w:color w:val="0000FF"/>
                  <w:sz w:val="20"/>
                  <w:u w:val="single"/>
                </w:rPr>
                <w:t>13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06">
              <w:r>
                <w:rPr>
                  <w:rStyle w:val="InternetLink"/>
                  <w:rFonts w:ascii="Times New Roman;serif" w:hAnsi="Times New Roman;serif"/>
                  <w:b w:val="false"/>
                  <w:color w:val="0000FF"/>
                  <w:sz w:val="20"/>
                  <w:u w:val="single"/>
                </w:rPr>
                <w:t>34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30">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30">
              <w:r>
                <w:rPr>
                  <w:rStyle w:val="InternetLink"/>
                  <w:rFonts w:ascii="Times New Roman;serif" w:hAnsi="Times New Roman;serif"/>
                  <w:b w:val="false"/>
                  <w:color w:val="0000FF"/>
                  <w:sz w:val="20"/>
                  <w:u w:val="single"/>
                </w:rPr>
                <w:t>52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33">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33">
              <w:r>
                <w:rPr>
                  <w:rStyle w:val="InternetLink"/>
                  <w:rFonts w:ascii="Times New Roman;serif" w:hAnsi="Times New Roman;serif"/>
                  <w:b w:val="false"/>
                  <w:color w:val="0000FF"/>
                  <w:sz w:val="20"/>
                  <w:u w:val="single"/>
                </w:rPr>
                <w:t>52</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36">
              <w:r>
                <w:rPr>
                  <w:rStyle w:val="InternetLink"/>
                  <w:rFonts w:ascii="Times New Roman;serif" w:hAnsi="Times New Roman;serif"/>
                  <w:b/>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39">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39">
              <w:r>
                <w:rPr>
                  <w:rStyle w:val="InternetLink"/>
                  <w:rFonts w:ascii="Times New Roman;serif" w:hAnsi="Times New Roman;serif"/>
                  <w:b w:val="false"/>
                  <w:color w:val="0000FF"/>
                  <w:sz w:val="20"/>
                  <w:u w:val="single"/>
                </w:rPr>
                <w:t>54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45">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45">
              <w:r>
                <w:rPr>
                  <w:rStyle w:val="InternetLink"/>
                  <w:rFonts w:ascii="Times New Roman;serif" w:hAnsi="Times New Roman;serif"/>
                  <w:b w:val="false"/>
                  <w:color w:val="0000FF"/>
                  <w:sz w:val="20"/>
                  <w:u w:val="single"/>
                </w:rPr>
                <w:t>54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78">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78">
              <w:r>
                <w:rPr>
                  <w:rStyle w:val="InternetLink"/>
                  <w:rFonts w:ascii="Times New Roman;serif" w:hAnsi="Times New Roman;serif"/>
                  <w:b w:val="false"/>
                  <w:color w:val="0000FF"/>
                  <w:sz w:val="20"/>
                  <w:u w:val="single"/>
                </w:rPr>
                <w:t>63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818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818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818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818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87">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87">
              <w:r>
                <w:rPr>
                  <w:rStyle w:val="InternetLink"/>
                  <w:rFonts w:ascii="Times New Roman;serif" w:hAnsi="Times New Roman;serif"/>
                  <w:b w:val="false"/>
                  <w:color w:val="0000FF"/>
                  <w:sz w:val="20"/>
                  <w:u w:val="single"/>
                </w:rPr>
                <w:t>64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dd33b7df0e41ce97d31d564413afa6_190">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dd33b7df0e41ce97d31d564413afa6_190">
              <w:r>
                <w:rPr>
                  <w:rStyle w:val="InternetLink"/>
                  <w:rFonts w:ascii="Times New Roman;serif" w:hAnsi="Times New Roman;serif"/>
                  <w:b w:val="false"/>
                  <w:color w:val="0000FF"/>
                  <w:sz w:val="20"/>
                  <w:u w:val="singl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Defined Terms and Products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Defined terms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several terms in this Form 10-Q, including but not limited to those that are finance, regulation and disease-state related as well as names of other companies, which are given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8"/>
        <w:gridCol w:w="521"/>
        <w:gridCol w:w="495"/>
        <w:gridCol w:w="2648"/>
        <w:gridCol w:w="2406"/>
        <w:gridCol w:w="3427"/>
      </w:tblGrid>
      <w:tr>
        <w:trPr/>
        <w:tc>
          <w:tcPr>
            <w:tcW w:w="70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1.50% exchangeable senior notes due 2024</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exchangeable senior notes due 2026</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exchangeable senior notes due 2030</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Aetna</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Aetna Inc.</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generic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acute lymphoblastic leukemia</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 Inc., Alvogen, Inc., and Alvogen PB Research and Development LLC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amended to include the Repricing Amendment No. 1, the Repricing Amendment No. 2 and Amendment No. 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amended to increase the Initial Revolving Credit Facility to $885.0 million and extend the maturity date</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3</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November 2024</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AML</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acute myeloid leukemia</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 Pharmaceuticals LLC</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 Specialty Healthcare LLC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Avadel </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Avadel Pharmaceuticals plc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Avadel Litigation </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claims relating to all disputes between the parties subject to the global settlement agreement dated October 21, 2025, with Avadel CNS Pharmaceuticals LLC and Flamel Ireland Limited, subsidiaries of Avadel Pharmaceuticals plc</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License Application</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BTC</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biliary tract cancers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Inc.</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Acquisition</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Chimerix on April 21,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Common Stock</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common stock, par value $0.001 per share, of Chimerix</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Shareholder Litigation</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suits filed in the Supreme Court of the State of New York, County of New York, by purported Chimerix shareholders against Chimerix and its Board of Directors, but which do not name any Jazz Pharmaceuticals parties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Transaction Litigation</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Rosenthal Lawsuit as well as the Chimerix Shareholder Litigation</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CHMP</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for Medicinal Products for Human Use</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Centers for Medicare &amp; Medicaid Services</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CNX Therapeutics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CNX Therapeutics Limited</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Children’s Oncology Group</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entered into on May 5, 2021, by and among us, Jazz Lux, and certain of our other subsidiaries, as borrowers, the lenders and issuing banks from time to time party thereto, Bank of America, N.A., as administrative agent and U.S. Bank Trust Company, National Association, as collateral trustee</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DDI</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drug-drug interaction</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Term Loan</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former seven-year $3.1 billion term loan B facility under the Credit Agreement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Dravet syndrome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Commission</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excessive daytime sleepiness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1"/>
        <w:gridCol w:w="443"/>
        <w:gridCol w:w="451"/>
        <w:gridCol w:w="2759"/>
        <w:gridCol w:w="2419"/>
        <w:gridCol w:w="3372"/>
      </w:tblGrid>
      <w:tr>
        <w:trPr/>
        <w:tc>
          <w:tcPr>
            <w:tcW w:w="76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Economic Area</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ANDA Filers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Express Scripts Specialty Distribution Services, Inc.</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now repaid seven-year €625.0 million term loan B facility under the Credit Agreement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2026 Notes and 2030 Notes</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step-up</w:t>
              <w:br/>
              <w:t>expense</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acquisition accounting inventory fair value step-up expense</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Opt-Out Plaintiffs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Humana Inc, Health Care Services Corporation, Molina Healthcare Inc., Blue Cross and Blue Shield of Florida and Health Options, Inc., collectively</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Act</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Finance (No. 2) Act 2023</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FTC</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Trade Commission</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gastroesophageal adenocarcinoma</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Granules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Granules India Limited </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Pharmaceuticals plc</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Acquisition</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GW Pharmaceuticals plc in May 2021</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 Pharmaceuticals PLC</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HSCT</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post-hematopoietic stem-cell transplantation </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IFNα</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interferon alpha</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IH</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idiopathic hypersomnia</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intramuscular</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Revolving Credit Facility</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five-year $500.0 million revolving credit facility under the Credit Agreement entered into in May 2021</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 I Limited</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Lux</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Financing Lux S.à.r.l.</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JNDA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new drug application</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KRAS </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Kirsten rat sarcoma virus</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LBL</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lymphoblastic lymphoma</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LGS</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Lennox-Gastaut syndrome</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 Inc.</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MDS</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Myelodysplastic Syndrome</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MWT</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Maintenance of Wakefulness Test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Repurchase Program</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share repurchase program announced on July 31, 2024 </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NHS</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National Health Service</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Orphan Drug Exclusivity in the U.S.</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8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1"/>
        <w:gridCol w:w="659"/>
        <w:gridCol w:w="616"/>
        <w:gridCol w:w="2775"/>
        <w:gridCol w:w="2180"/>
        <w:gridCol w:w="3104"/>
      </w:tblGrid>
      <w:tr>
        <w:trPr/>
        <w:tc>
          <w:tcPr>
            <w:tcW w:w="8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Repurchase Program</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share repurchase program authorized by our board of directors in November 2016 </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 Book</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FDA’s publication “Approved Drug Products with Therapeutic Equivalence Evaluations”</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Pharmaceutical, Inc.</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PBMs</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managers</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PharmaMar</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Mar, S.A.</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Pillar Two</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OECD framework proposal to implement a global minimum tax rate of 15% for large multinational corporations on a jurisdiction-by-jurisdiction basis</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R/R</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relapsed/refractory</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Recommendation Statement</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Chimerix's Schedule 14D-9 Solicitation/Recommendation Statement</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 Pharma plc</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REMS</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evaluation and mitigation strategy</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No.1</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January 2024</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No.2</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July 2024</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 Inc., Apicore US LLC, Archis Pharma LLC, Vgyaan Pharmaceuticals LLC</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Hoffmann-La Roche Ltd</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Rosenthal Lawsuit</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lawsuit filed in the Supreme Court of the State of New York, County of Chemung, by David Rosenthal, purportedly on behalf of Chimerix Shareholders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 A/S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Biologics License Application</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SCLC</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cell lung cancer</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issued $1.5 billion in aggregate principal amount of 4.375% senior secured notes, due 2029</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sNDA</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New Drug Application</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Sumitomo</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Sumitomo Pharma Co., Ltd</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sVOD</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severe VOD</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T-DXd</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trastuzumab deruxtecan</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Tender Offer Documents</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Tender Offer Statement together with the Recommendation Statement</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Secured Overnight Financing Rate</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Pharmaceuticals, Inc.</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B-1 Dollar Term Loans</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No.1, the then outstanding Dollar Term Loan was refinanced into a new tranche of U.S. dollar term loans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B-2 Dollar Term Loans</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No.2, the then outstanding Tranche B-1 Dollar Term Loans were refinanced into a new tranche of U.S. dollar term loans</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TSC</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tuberous sclerosis complex</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8059"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Healthcare</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Healthcare Services, Inc.</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USPTO</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Patent and Trademark Office</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VOD</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veno-occlusive disease</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WCLC</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 Conference on Lung Cancer</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w:t>
            </w:r>
          </w:p>
        </w:tc>
        <w:tc>
          <w:tcPr>
            <w:tcW w:w="8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 Therapeutics, Inc.</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Xyrem Antitrust Litigation </w:t>
            </w:r>
          </w:p>
        </w:tc>
        <w:tc>
          <w:tcPr>
            <w:tcW w:w="8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collectively, a number of lawsuits filed from June 2020 to May 2022 on behalf of purported direct and indirect Xyrem purchasers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68"/>
        <w:gridCol w:w="367"/>
        <w:gridCol w:w="371"/>
        <w:gridCol w:w="2594"/>
        <w:gridCol w:w="2594"/>
        <w:gridCol w:w="3711"/>
      </w:tblGrid>
      <w:tr>
        <w:trPr/>
        <w:tc>
          <w:tcPr>
            <w:tcW w:w="5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ANDA Filers</w:t>
            </w:r>
          </w:p>
        </w:tc>
        <w:tc>
          <w:tcPr>
            <w:tcW w:w="8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Sandoz Inc., InvaGen Pharmaceuticals, Inc., CIPLA USA, Inc. CIPLA (EU) Limited, CIPLA Limited, Zydus Lifesciences Global FZE, Zydus Pharmaceuticals (USA) Inc., Zydus Lifesciences Limited, RK Pharma, Inc., Apicore US LLC, Archis Pharma LLC, Vgyaan Pharmaceuticals LLC, MSN Pharmaceuticals Inc., and MSN Laboratories PVT. LTD.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w:t>
            </w:r>
          </w:p>
        </w:tc>
        <w:tc>
          <w:tcPr>
            <w:tcW w:w="8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 Inc.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brand names of our products, our delivery devices and certain of our product candidates and their associated generic names are given below.</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76"/>
        <w:gridCol w:w="419"/>
        <w:gridCol w:w="426"/>
        <w:gridCol w:w="2629"/>
        <w:gridCol w:w="2578"/>
        <w:gridCol w:w="3677"/>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 (delivery technology platform)</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 (defibrotide sodium), Defitelio® (defibrotide)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 oral solution, Epidyolex® (the trade name in Europe and other countries outside the U.S. for Epidiolex)</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Modeyso</w:t>
            </w:r>
            <w:r>
              <w:rPr>
                <w:rFonts w:ascii="Times New Roman;serif" w:hAnsi="Times New Roman;serif"/>
                <w:b w:val="false"/>
                <w:color w:val="000000"/>
                <w:sz w:val="13"/>
              </w:rPr>
              <w:t xml:space="preserve">TM </w:t>
            </w:r>
            <w:r>
              <w:rPr>
                <w:rFonts w:ascii="Times New Roman;serif" w:hAnsi="Times New Roman;serif"/>
                <w:b w:val="false"/>
                <w:color w:val="000000"/>
                <w:sz w:val="20"/>
              </w:rPr>
              <w:t>(dordaviprone)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(recombinant)-rywn), Enrylaze® (the trade name in Europe and other countries outside the U.S. and Canada for Rylaze)</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Sativex</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Sativex® (nabiximols) oral solution</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Suvecaltamide</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Suvecaltamide (JZP385)</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 (daunorubicin and cytarabine) liposome for injection, Vyxeos® liposomal 44 mg/100 mg powder for concentrate for solution for infusion</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 (sodium oxybate) oral solution</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 oral solution</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8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8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own or have rights to various copyrights, trademarks, and trade names used in our business in the U.S. and/or other countries, including the following: Jazz Pharmaceuticals</w:t>
      </w:r>
      <w:r>
        <w:rPr>
          <w:rFonts w:ascii="Times New Roman;serif" w:hAnsi="Times New Roman;serif"/>
          <w:b w:val="false"/>
          <w:color w:val="000000"/>
          <w:sz w:val="13"/>
        </w:rPr>
        <w:t>®</w:t>
      </w:r>
      <w:r>
        <w:rPr>
          <w:rFonts w:ascii="Times New Roman;serif" w:hAnsi="Times New Roman;serif"/>
          <w:b w:val="false"/>
          <w:color w:val="000000"/>
          <w:sz w:val="20"/>
        </w:rPr>
        <w:t>, Xywav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(calcium, magnesium, potassium, and sodium oxybates) oral solution, Xyrem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oxybate) oral solution, Epidiolex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(cannabidiol) oral solution, Epidyolex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for Epidiolex), 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(asparaginase erwinia chrysanthemi (recombinant)-rywn), Enrylaze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and Canada for Rylaze), Zepzelca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(lurbinectedin),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sodium),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Vyxeos</w:t>
      </w:r>
      <w:r>
        <w:rPr>
          <w:rFonts w:ascii="Times New Roman;serif" w:hAnsi="Times New Roman;serif"/>
          <w:b w:val="false"/>
          <w:color w:val="000000"/>
          <w:sz w:val="13"/>
        </w:rPr>
        <w:t xml:space="preserve">® </w:t>
      </w:r>
      <w:r>
        <w:rPr>
          <w:rFonts w:ascii="Times New Roman;serif" w:hAnsi="Times New Roman;serif"/>
          <w:b w:val="false"/>
          <w:color w:val="000000"/>
          <w:sz w:val="20"/>
        </w:rPr>
        <w:t>(daunorubicin and cytarabine) liposome for injection, Vyxeos</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liposomal 44 mg/100 mg powder for concentrate for solution for infusion, Modeyso</w:t>
      </w:r>
      <w:r>
        <w:rPr>
          <w:rFonts w:ascii="Times New Roman;serif" w:hAnsi="Times New Roman;serif"/>
          <w:b w:val="false"/>
          <w:color w:val="000000"/>
          <w:sz w:val="13"/>
        </w:rPr>
        <w:t xml:space="preserve">TM </w:t>
      </w:r>
      <w:r>
        <w:rPr>
          <w:rFonts w:ascii="Times New Roman;serif" w:hAnsi="Times New Roman;serif"/>
          <w:b w:val="false"/>
          <w:color w:val="000000"/>
          <w:sz w:val="20"/>
        </w:rPr>
        <w:t>(dordaviprone), CombiPlex</w:t>
      </w:r>
      <w:r>
        <w:rPr>
          <w:rFonts w:ascii="Times New Roman;serif" w:hAnsi="Times New Roman;serif"/>
          <w:b w:val="false"/>
          <w:color w:val="000000"/>
          <w:sz w:val="13"/>
        </w:rPr>
        <w:t>®</w:t>
      </w:r>
      <w:r>
        <w:rPr>
          <w:rFonts w:ascii="Times New Roman;serif" w:hAnsi="Times New Roman;serif"/>
          <w:b w:val="false"/>
          <w:color w:val="000000"/>
          <w:sz w:val="20"/>
        </w:rPr>
        <w:t>, Sativex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(nabiximols) oral solution and Ziihera</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(zanidatamab-hrii).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also includes trademarks, service marks and trade names of other companies. Trademarks, service marks and trade names appearing in this Quarterly Report on Form 10</w:t>
        <w:noBreakHyphen/>
        <w:t>Q are the property of their respective owners.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78" w:type="dxa"/>
        <w:jc w:val="center"/>
        <w:tblInd w:w="0" w:type="dxa"/>
        <w:tblLayout w:type="fixed"/>
        <w:tblCellMar>
          <w:top w:w="28" w:type="dxa"/>
          <w:left w:w="28" w:type="dxa"/>
          <w:bottom w:w="28" w:type="dxa"/>
          <w:right w:w="28" w:type="dxa"/>
        </w:tblCellMar>
      </w:tblPr>
      <w:tblGrid>
        <w:gridCol w:w="1556"/>
        <w:gridCol w:w="1372"/>
        <w:gridCol w:w="1376"/>
        <w:gridCol w:w="211"/>
        <w:gridCol w:w="1081"/>
        <w:gridCol w:w="109"/>
        <w:gridCol w:w="109"/>
        <w:gridCol w:w="109"/>
        <w:gridCol w:w="109"/>
        <w:gridCol w:w="211"/>
        <w:gridCol w:w="1081"/>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Non-voting euro deferred shares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redemption reserve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12,012,257 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28"/>
        <w:gridCol w:w="1204"/>
        <w:gridCol w:w="121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72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benefit and equity in loss of investees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03"/>
        <w:gridCol w:w="1493"/>
        <w:gridCol w:w="1369"/>
        <w:gridCol w:w="211"/>
        <w:gridCol w:w="826"/>
        <w:gridCol w:w="109"/>
        <w:gridCol w:w="109"/>
        <w:gridCol w:w="109"/>
        <w:gridCol w:w="109"/>
        <w:gridCol w:w="211"/>
        <w:gridCol w:w="826"/>
        <w:gridCol w:w="109"/>
        <w:gridCol w:w="109"/>
        <w:gridCol w:w="109"/>
        <w:gridCol w:w="109"/>
        <w:gridCol w:w="211"/>
        <w:gridCol w:w="855"/>
        <w:gridCol w:w="109"/>
        <w:gridCol w:w="109"/>
        <w:gridCol w:w="109"/>
        <w:gridCol w:w="109"/>
        <w:gridCol w:w="211"/>
        <w:gridCol w:w="826"/>
        <w:gridCol w:w="155"/>
      </w:tblGrid>
      <w:tr>
        <w:trPr/>
        <w:tc>
          <w:tcPr>
            <w:tcW w:w="170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hedging activities, net of income tax (benefit) expense of $35, $(1,727), $40 and $522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cash flow hedging activities reclassified from accumulated other comprehensive loss to interest expense, net of income tax expense of $129, $445, $380 and $1,342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4121" w:type="dxa"/>
        <w:jc w:val="center"/>
        <w:tblInd w:w="0" w:type="dxa"/>
        <w:tblLayout w:type="fixed"/>
        <w:tblCellMar>
          <w:top w:w="28" w:type="dxa"/>
          <w:left w:w="28" w:type="dxa"/>
          <w:bottom w:w="28" w:type="dxa"/>
          <w:right w:w="28" w:type="dxa"/>
        </w:tblCellMar>
      </w:tblPr>
      <w:tblGrid>
        <w:gridCol w:w="747"/>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225"/>
        <w:gridCol w:w="864"/>
        <w:gridCol w:w="127"/>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(947,667)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(785,610)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(485,768)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3,706,359 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(569,898)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986" w:type="dxa"/>
        <w:jc w:val="center"/>
        <w:tblInd w:w="0" w:type="dxa"/>
        <w:tblLayout w:type="fixed"/>
        <w:tblCellMar>
          <w:top w:w="28" w:type="dxa"/>
          <w:left w:w="28" w:type="dxa"/>
          <w:bottom w:w="28" w:type="dxa"/>
          <w:right w:w="28" w:type="dxa"/>
        </w:tblCellMar>
      </w:tblPr>
      <w:tblGrid>
        <w:gridCol w:w="747"/>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225"/>
        <w:gridCol w:w="864"/>
        <w:gridCol w:w="127"/>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(842,147)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3,736,997 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(882,394)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(888,227)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3,837,698 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(603,397)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shd w:fill="FFFFFF" w:val="clear"/>
        </w:rPr>
        <w:t>JAZZ</w:t>
      </w:r>
      <w:r>
        <w:rPr>
          <w:color w:val="000000"/>
        </w:rPr>
        <w:t xml:space="preserve"> </w:t>
      </w:r>
      <w:r>
        <w:rPr>
          <w:rFonts w:ascii="Times New Roman;serif" w:hAnsi="Times New Roman;serif"/>
          <w:b/>
          <w:color w:val="000000"/>
          <w:sz w:val="20"/>
        </w:rPr>
        <w:t>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164" w:type="dxa"/>
        <w:jc w:val="left"/>
        <w:tblInd w:w="0" w:type="dxa"/>
        <w:tblLayout w:type="fixed"/>
        <w:tblCellMar>
          <w:top w:w="28" w:type="dxa"/>
          <w:left w:w="28" w:type="dxa"/>
          <w:bottom w:w="28" w:type="dxa"/>
          <w:right w:w="28" w:type="dxa"/>
        </w:tblCellMar>
      </w:tblPr>
      <w:tblGrid>
        <w:gridCol w:w="2608"/>
        <w:gridCol w:w="2288"/>
        <w:gridCol w:w="2304"/>
        <w:gridCol w:w="211"/>
        <w:gridCol w:w="976"/>
        <w:gridCol w:w="109"/>
        <w:gridCol w:w="109"/>
        <w:gridCol w:w="109"/>
        <w:gridCol w:w="109"/>
        <w:gridCol w:w="211"/>
        <w:gridCol w:w="976"/>
        <w:gridCol w:w="154"/>
      </w:tblGrid>
      <w:tr>
        <w:trPr/>
        <w:tc>
          <w:tcPr>
            <w:tcW w:w="260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Acquired in-process 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accounting inventory fair value step-up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losses on accounts receivable and 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997,328 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 acquisition, net of cash acquired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Acquired 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(314,908)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 repurchases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(311,429)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employee withholding taxes related to share-based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equity incentive and purchase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2024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proceeds from issuance of 2030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(948,820)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1,506,310 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2,218,135 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lead marketed products, listed below, are approved in countries around the world to improve patient care.</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Neuroscience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Xywav® (calcium, magnesium, potassium, and sodium oxybates) oral solution</w:t>
      </w:r>
      <w:r>
        <w:rPr>
          <w:rFonts w:ascii="Times New Roman;serif" w:hAnsi="Times New Roman;serif"/>
          <w:b w:val="false"/>
          <w:color w:val="000000"/>
          <w:sz w:val="20"/>
        </w:rPr>
        <w:t>, a product approved by FDA in July 2020, and launched in the 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Epidiolex® (cannabidiol) oral solution</w:t>
      </w:r>
      <w:r>
        <w:rPr>
          <w:rFonts w:ascii="Times New Roman;serif" w:hAnsi="Times New Roman;serif"/>
          <w:b w:val="false"/>
          <w:color w:val="000000"/>
          <w:sz w:val="20"/>
        </w:rPr>
        <w:t>, a product approved by FDA and launched in the U.S. in 2018 by GW and currently indicated for the 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Oncology</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Rylaze® (asparaginase erwinia chrysanthemi (recombinant)-rywn)</w:t>
      </w:r>
      <w:r>
        <w:rPr>
          <w:rFonts w:ascii="Times New Roman;serif" w:hAnsi="Times New Roman;serif"/>
          <w:b w:val="false"/>
          <w:color w:val="000000"/>
          <w:sz w:val="20"/>
        </w:rPr>
        <w:t xml:space="preserve">, a product approved by FDA in June 2021 and launched in the U.S. in July 2021 for use as a component of a multi-agent chemotherapeutic regimen for the treatment of ALL or LBL in adults and pediatric patients aged one month or older who have developed hypersensitivity to </w:t>
      </w:r>
      <w:r>
        <w:rPr>
          <w:rFonts w:ascii="Times New Roman;serif" w:hAnsi="Times New Roman;serif"/>
          <w:b w:val="false"/>
          <w:i/>
          <w:color w:val="000000"/>
          <w:sz w:val="20"/>
        </w:rPr>
        <w:t>E. coli</w:t>
      </w:r>
      <w:r>
        <w:rPr>
          <w:rFonts w:ascii="Times New Roman;serif" w:hAnsi="Times New Roman;serif"/>
          <w:b w:val="false"/>
          <w:color w:val="000000"/>
          <w:sz w:val="20"/>
        </w:rPr>
        <w:t>-derived asparaginase. In September 2023, the EC granted marketing authorization under the trade name Enrylaze®. This therapy is also approved in markets including Great Britain, Canada, Switzerland and Australia.</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Zepzelca® (lurbinectedin)</w:t>
      </w:r>
      <w:r>
        <w:rPr>
          <w:rFonts w:ascii="Times New Roman;serif" w:hAnsi="Times New Roman;serif"/>
          <w:b w:val="false"/>
          <w:color w:val="000000"/>
          <w:sz w:val="20"/>
        </w:rPr>
        <w:t>, a product approved by FDA in June 2020 under FDA's accelerated approval pathway and launched in the U.S. in July 2020 for the treatment of adult patients with metastatic SCLC with disease progression on or after platinum-based chemotherapy; approved by FDA in October 2025 in combination with atezolizumab or atezolizumab and hyaluronidase-tqjs as a maintenance treatment for adults with extensive-stage SCLC whose disease has not progressed after first-line induction therapy with atezolizumab, carboplatin and etoposide; in Canada, Zepzelca received conditional approval in September 2021 for the treatment of adults with Stage III or metastatic SCLC, who have progressed on or after platinum-containing therapy.</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Ziihera® (zanidatamab-hrii)</w:t>
      </w:r>
      <w:r>
        <w:rPr>
          <w:rFonts w:ascii="Times New Roman;serif" w:hAnsi="Times New Roman;serif"/>
          <w:b w:val="false"/>
          <w:color w:val="000000"/>
          <w:sz w:val="20"/>
        </w:rPr>
        <w:t>, a product approved by FDA in November 2024 under FDA’s accelerated approval pathway and launched in the U.S. in December 2024 for the treatment of adults with previously treated, unresectable or metastatic HER2-positive (IHC 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Modeyso™ (dordaviprone)</w:t>
      </w:r>
      <w:r>
        <w:rPr>
          <w:rFonts w:ascii="Times New Roman;serif" w:hAnsi="Times New Roman;serif"/>
          <w:b w:val="false"/>
          <w:color w:val="000000"/>
          <w:sz w:val="20"/>
        </w:rPr>
        <w:t xml:space="preserve">, a product approved by FDA in August 2025 under FDA's accelerated approval pathway for the treatment of adult and pediatric patients 1 year of age and older with diffuse midline glioma harboring an H3 K27M mutation with progressive disease following prior therapy.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2025, we acquired Chimerix for a total cash consideration of $944.2 million. For further information regarding the Chimerix Acquisition, please see Note 2.</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GAAP can be condensed or omitted. The information included in this Quarterly Report on Form 10</w:t>
        <w:noBreakHyphen/>
        <w:t>Q should be read in conjunction with our annual audited consolidated financial statements and accompanying notes included in our Annual Report on Form 10</w:t>
        <w:noBreakHyphen/>
        <w:t xml:space="preserve">K for the year ended December 31,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nine months ended September 30, 2025, are not necessarily indicative of the results to be expected for the year ending December 31, 2025, for any other interim period or for any future period.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have not changed substantially from those previously described in our Annual Report on Form 10</w:t>
        <w:noBreakHyphen/>
        <w:t xml:space="preserve">K for the year ended December 31,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the accounts of Jazz Pharmaceuticals plc and our subsidiaries, and intercompany transactions and balances have been eliminated.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performance and decides how to allocate resources for the segment based on net income (loss) and measure of segment assets which is reported on the condensed consolidated statements of income (loss) and condensed consolidated balance sheet.</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The amendments are effective on a prospective basis, with the option to apply it retrospectively, for fiscal years beginning after December 15, 2024. The adoption of ASU 2023-09 will expand our income tax disclosures in our Annual Report on Form 10-K, but will have no impact on reported income tax (benefit) expense or related tax assets or liabilities.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Significant Risks and Uncertainties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results of operations and growth prospects are also dependent on our ability to maintain or increase sales of our commercialized products, which is subject to many risks and there is no guarantee that we will be able to continue to successfully commercialize those products for their approved indications. In that regard, we expect that our business will continue to meaningfully depend on oxybate revenues; however,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including a generic version of high-sodium oxybate from Amneal approved in September 2025,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by physicians and patients. A significant decline in oxybate revenues could cause us to reduce our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 seek to raise additional funds and would have a material adverse effect on our business, financial condition, results of operations and growth prospects, including on our ability to acquire, in-license or develop new products to grow our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specifically to Xywav and Epidiolex/Epidyolex,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pharmaceutical product development, ongoing clinical research activity and related outcomes; obtaining regulatory approval of our late-stage product candidates; effectively commercializing our approved products such as Rylaze, Zepzelca, Ziihera and Modeyso;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Ziihera and Modeyso, at the expected levels, with the expected costs and within the expected timeframe; the challenges of protecting and enhancing our intellectual property rights; complying with applicable regulatory requirements; the impact of new or increased tariffs and escalating trade tensions; and possible restrictions on our ability and flexibility to pursue certain future opportunities as a result of our substantial outstanding debt obligations.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2025 and December 31, 2024, we had foreign exchange forward contracts with notional amounts totaling $398.0 million and $461.2 million, respectively. As of September 30, 2025 and December 31, 2024, the outstanding foreign exchange forward contracts had a net liability fair value of $2.9 million and $7.9 million, respectively. As of September 30, 2025 and December 31, 2024, we had interest rate swap contracts with notional amounts totaling $500.0 million. As of September 30, 2025 and December 31, 2024, these outstanding interest rate swap contracts had a net liability fair value of $0.4 million and a net asset fair value of $1.0 million, respectively. The counterparties to these contracts are large multinational commercial banks, and we believe the risk of nonperformance is not significant.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2025 and December 31, 2024, allowances on receivables were not material. As of September 30, 2025, five customers accounted for 83% of gross accounts receivable, including ESSDS, which accounted for 41% of gross accounts receivable, ASD, which accounted for 16% of gross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 xml:space="preserve">receivable and McKesson, which accounted for 12% of gross accounts receivable. As of December 31, 2024, five customers accounted for 80% of gross accounts receivable, including </w:t>
      </w:r>
      <w:r>
        <w:rPr>
          <w:rFonts w:ascii="Times New Roman;serif" w:hAnsi="Times New Roman;serif"/>
          <w:b w:val="false"/>
          <w:color w:val="000000"/>
          <w:sz w:val="20"/>
          <w:shd w:fill="FFFFFF" w:val="clear"/>
        </w:rPr>
        <w:t xml:space="preserve">ESSDS, which accounted for 39% of gross accounts receivable, ASD, which accounted for 15% of gross accounts receivable and McKesson, which accounted for 13% of gross accounts receivable.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 which is certified to produce Xyrem and Xywav.</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The amendments are effective on a prospective basis, with the option to apply them retrospectively, for fiscal years beginning after December 15, 2025. We are currently evaluating the impact of adopting this new accounting guidance.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ASU 2025-06 is effective for the Company for annual reporting periods beginning with the fiscal year ending December 15, 2027 and for interim reporting periods beginning in that fiscal year. We are currently evaluating the impact that this update may have on our consolidated financial statements.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License Agreement and Asset Acquisition</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License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August 2025, we entered into a global license agreement with Saniona to obtain exclusive worldwide rights to develop SAN2355, a highly differentiated, subtype-selective Kv7.2/Kv7.3 activator in preclinical development for epilepsy and other potential indications, designed to overcome the limitations of non-selective Kv7-targeting compounds. Under the terms of the agreement, we made an upfront payment of $42.5 million to Saniona, which was recorded as acquired IPR&amp;D expense in our consolidated statements of income (loss) for the three and nine months ended September 30, 2025. Saniona is eligible to receive development, regulatory and commercial milestone payments of up to $992.5 million and, if SAN2355 is approved, a tiered, mid-single digit to low-double digit royalty on our net sales of SAN2355.</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Asset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2025, we acquired the entire issued share capital of Chimerix at a price of $8.55 per share, payable in cash at closing, representing a total cash consideration of $944.2 million, funded with our cash and cash equivalents. As a result of this, Chimerix became an indirect wholly owned subsidiary of the Company. The acquisition of Chimerix was accounted for as an asset acquisition because it did not meet the definition of a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total consideration paid and the allocation to assets acquired and liabilities assumed was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6920" w:type="dxa"/>
        <w:jc w:val="left"/>
        <w:tblInd w:w="0" w:type="dxa"/>
        <w:tblLayout w:type="fixed"/>
        <w:tblCellMar>
          <w:top w:w="28" w:type="dxa"/>
          <w:left w:w="28" w:type="dxa"/>
          <w:bottom w:w="28" w:type="dxa"/>
          <w:right w:w="28" w:type="dxa"/>
        </w:tblCellMar>
      </w:tblPr>
      <w:tblGrid>
        <w:gridCol w:w="2073"/>
        <w:gridCol w:w="1826"/>
        <w:gridCol w:w="1830"/>
        <w:gridCol w:w="211"/>
        <w:gridCol w:w="826"/>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to acquire Chimerix’s outstanding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for Chimerix’s outstanding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consideration paid to Chimerix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 and Liabilities Assumed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value attributed to in-process research and development related to Modeyso and was expensed as it was determined to have no alternative future use at the time of the acquisition.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Cash and Available-for-Sale Securities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Cash, cash equivalents and investments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619"/>
        <w:gridCol w:w="544"/>
        <w:gridCol w:w="555"/>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9"/>
        <w:gridCol w:w="544"/>
        <w:gridCol w:w="555"/>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and </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w:t>
      </w:r>
      <w:r>
        <w:rPr>
          <w:rFonts w:ascii="Times New Roman;serif" w:hAnsi="Times New Roman;serif"/>
          <w:b w:val="false"/>
          <w:color w:val="000000"/>
          <w:sz w:val="20"/>
          <w:shd w:fill="FFFFFF" w:val="clear"/>
        </w:rPr>
        <w:t xml:space="preserve">Interest income from available-for-sale securities was $18.6 million and </w:t>
      </w:r>
      <w:r>
        <w:rPr>
          <w:rFonts w:ascii="Times New Roman;serif" w:hAnsi="Times New Roman;serif"/>
          <w:b w:val="false"/>
          <w:color w:val="000000"/>
          <w:sz w:val="20"/>
        </w:rPr>
        <w:t>$65.3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three and nine months ended September 30, 2025, respectively, and $26.0 million and $74.6 million in the three and nine months ended September 30, 2024, respectively.</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summarizes, by major security type, our available-for-sale securities and derivative contracts as of September 30, 2025 and December 31, 2024, that were measured at fair value on a recurring basis and were categorized using the fair value hierarchy (in thousands):</w:t>
      </w:r>
      <w:r>
        <w:rPr>
          <w:color w:val="000000"/>
        </w:rPr>
        <w:t> </w:t>
      </w:r>
    </w:p>
    <w:tbl>
      <w:tblPr>
        <w:tblW w:w="11018" w:type="dxa"/>
        <w:jc w:val="left"/>
        <w:tblInd w:w="0" w:type="dxa"/>
        <w:tblLayout w:type="fixed"/>
        <w:tblCellMar>
          <w:top w:w="28" w:type="dxa"/>
          <w:left w:w="28" w:type="dxa"/>
          <w:bottom w:w="28" w:type="dxa"/>
          <w:right w:w="28" w:type="dxa"/>
        </w:tblCellMar>
      </w:tblPr>
      <w:tblGrid>
        <w:gridCol w:w="569"/>
        <w:gridCol w:w="502"/>
        <w:gridCol w:w="505"/>
        <w:gridCol w:w="211"/>
        <w:gridCol w:w="82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886" w:type="dxa"/>
            <w:gridSpan w:val="8"/>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the different levels of the fair value hierarchy in 2025 or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estimated fair values of the 2026 Notes, the 2030 Notes, the Secured Notes and the Tranche B-2 Dollar Term Loans were $1.1 billion, $1.2 billion, $1.5 billion and $1.9 billion, respectively. As of December 31, 2024, the estimated fair values of the 2026 Notes, the 2030 Notes, the Secured Notes and the Tranche B-2 Dollar Term Loans were $1.0 billion, $1.1 billion, $1.4 billion and $2.7 billion, respectively. The fair values of each of these debt facilities was estimated using quoted market prices obtained from brokers (Level 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Derivative Instruments and Hedging Activities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w:t>
      </w:r>
      <w:r>
        <w:rPr>
          <w:rFonts w:ascii="Times New Roman;serif" w:hAnsi="Times New Roman;serif"/>
          <w:b w:val="false"/>
          <w:color w:val="000000"/>
          <w:sz w:val="20"/>
          <w:shd w:fill="FFFFFF" w:val="clear"/>
        </w:rPr>
        <w:t xml:space="preserve">As of September 30, 2025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December 31, 2024, the notional amount of foreign exchange contracts where hedge accounting is not applied was $398.0 million</w:t>
      </w:r>
      <w:r>
        <w:rPr>
          <w:color w:val="000000"/>
        </w:rPr>
        <w:t xml:space="preserve"> </w:t>
      </w:r>
      <w:r>
        <w:rPr>
          <w:rFonts w:ascii="Times New Roman;serif" w:hAnsi="Times New Roman;serif"/>
          <w:b w:val="false"/>
          <w:color w:val="000000"/>
          <w:sz w:val="20"/>
        </w:rPr>
        <w:t>and $461.2 million,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foreign exchange gain (loss) in our condensed consolidated statements of income (loss) included the following gains (losses) associated with foreign exchange contracts not designated as hedging instruments (in thousands):</w:t>
      </w:r>
    </w:p>
    <w:tbl>
      <w:tblPr>
        <w:tblW w:w="9540" w:type="dxa"/>
        <w:jc w:val="left"/>
        <w:tblInd w:w="0" w:type="dxa"/>
        <w:tblLayout w:type="fixed"/>
        <w:tblCellMar>
          <w:top w:w="28" w:type="dxa"/>
          <w:left w:w="28" w:type="dxa"/>
          <w:bottom w:w="28" w:type="dxa"/>
          <w:right w:w="28" w:type="dxa"/>
        </w:tblCellMar>
      </w:tblPr>
      <w:tblGrid>
        <w:gridCol w:w="1621"/>
        <w:gridCol w:w="1429"/>
        <w:gridCol w:w="1435"/>
        <w:gridCol w:w="211"/>
        <w:gridCol w:w="69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Foreign Exchange Forward Contracts: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foreign exchange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To achieve a desired mix of floating and fixed interest rates on our variable rate debt, we entered into interest rate swap agreements in April 2023, which are effective until April 2026. These agreements hedge contractual term loan interest rates.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the interest rate swap agreements had a notional amount of $500.0 million. As a result of these agreements, the interest rate on a portion of our term loan borrowings is fixed at 3.9086%, plus the borrowing spread, until April 30,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impact on accumulated other comprehensive loss and earnings from derivative instruments that qualified as cash flow hedges was as follows (in thousands):</w:t>
      </w:r>
    </w:p>
    <w:tbl>
      <w:tblPr>
        <w:tblW w:w="10205" w:type="dxa"/>
        <w:jc w:val="left"/>
        <w:tblInd w:w="0" w:type="dxa"/>
        <w:tblLayout w:type="fixed"/>
        <w:tblCellMar>
          <w:top w:w="28" w:type="dxa"/>
          <w:left w:w="28" w:type="dxa"/>
          <w:bottom w:w="28" w:type="dxa"/>
          <w:right w:w="28" w:type="dxa"/>
        </w:tblCellMar>
      </w:tblPr>
      <w:tblGrid>
        <w:gridCol w:w="2107"/>
        <w:gridCol w:w="1797"/>
        <w:gridCol w:w="1764"/>
        <w:gridCol w:w="211"/>
        <w:gridCol w:w="466"/>
        <w:gridCol w:w="109"/>
        <w:gridCol w:w="109"/>
        <w:gridCol w:w="109"/>
        <w:gridCol w:w="109"/>
        <w:gridCol w:w="211"/>
        <w:gridCol w:w="673"/>
        <w:gridCol w:w="109"/>
        <w:gridCol w:w="109"/>
        <w:gridCol w:w="109"/>
        <w:gridCol w:w="109"/>
        <w:gridCol w:w="213"/>
        <w:gridCol w:w="472"/>
        <w:gridCol w:w="109"/>
        <w:gridCol w:w="109"/>
        <w:gridCol w:w="109"/>
        <w:gridCol w:w="109"/>
        <w:gridCol w:w="211"/>
        <w:gridCol w:w="616"/>
        <w:gridCol w:w="156"/>
      </w:tblGrid>
      <w:tr>
        <w:trPr/>
        <w:tc>
          <w:tcPr>
            <w:tcW w:w="210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 Contracts: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6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accumulated other comprehensive loss, 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accumulated other comprehensive loss to interest expense, net of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Assuming no change in the Term SOFR based interest rates from market rates as of September 30, 2025, $0.3 million of losses, net of tax, recognized in accumulated other comprehensive loss will be reclassified to earnings over the next 12 months.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cash flow effects of our derivative contracts for the nine months ended September 30, 2025 and 2024 are included within net cash provided by operating activities in the condensed consolidated statements of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fair value of outstanding derivatives (in thousands):</w:t>
      </w:r>
    </w:p>
    <w:tbl>
      <w:tblPr>
        <w:tblW w:w="8933" w:type="dxa"/>
        <w:jc w:val="left"/>
        <w:tblInd w:w="0" w:type="dxa"/>
        <w:tblLayout w:type="fixed"/>
        <w:tblCellMar>
          <w:top w:w="28" w:type="dxa"/>
          <w:left w:w="28" w:type="dxa"/>
          <w:bottom w:w="28" w:type="dxa"/>
          <w:right w:w="28" w:type="dxa"/>
        </w:tblCellMar>
      </w:tblPr>
      <w:tblGrid>
        <w:gridCol w:w="1544"/>
        <w:gridCol w:w="1359"/>
        <w:gridCol w:w="1371"/>
        <w:gridCol w:w="684"/>
        <w:gridCol w:w="684"/>
        <w:gridCol w:w="686"/>
        <w:gridCol w:w="257"/>
        <w:gridCol w:w="750"/>
        <w:gridCol w:w="132"/>
        <w:gridCol w:w="109"/>
        <w:gridCol w:w="109"/>
        <w:gridCol w:w="109"/>
        <w:gridCol w:w="221"/>
        <w:gridCol w:w="757"/>
        <w:gridCol w:w="161"/>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asset instruments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liability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tbl>
      <w:tblPr>
        <w:tblW w:w="10205" w:type="dxa"/>
        <w:jc w:val="left"/>
        <w:tblInd w:w="0" w:type="dxa"/>
        <w:tblLayout w:type="fixed"/>
        <w:tblCellMar>
          <w:top w:w="28" w:type="dxa"/>
          <w:left w:w="28" w:type="dxa"/>
          <w:bottom w:w="28" w:type="dxa"/>
          <w:right w:w="28" w:type="dxa"/>
        </w:tblCellMar>
      </w:tblPr>
      <w:tblGrid>
        <w:gridCol w:w="390"/>
        <w:gridCol w:w="343"/>
        <w:gridCol w:w="348"/>
        <w:gridCol w:w="287"/>
        <w:gridCol w:w="838"/>
        <w:gridCol w:w="148"/>
        <w:gridCol w:w="109"/>
        <w:gridCol w:w="109"/>
        <w:gridCol w:w="109"/>
        <w:gridCol w:w="422"/>
        <w:gridCol w:w="813"/>
        <w:gridCol w:w="220"/>
        <w:gridCol w:w="109"/>
        <w:gridCol w:w="109"/>
        <w:gridCol w:w="109"/>
        <w:gridCol w:w="372"/>
        <w:gridCol w:w="1090"/>
        <w:gridCol w:w="195"/>
        <w:gridCol w:w="109"/>
        <w:gridCol w:w="109"/>
        <w:gridCol w:w="109"/>
        <w:gridCol w:w="259"/>
        <w:gridCol w:w="769"/>
        <w:gridCol w:w="129"/>
        <w:gridCol w:w="115"/>
        <w:gridCol w:w="115"/>
        <w:gridCol w:w="115"/>
        <w:gridCol w:w="364"/>
        <w:gridCol w:w="565"/>
        <w:gridCol w:w="146"/>
        <w:gridCol w:w="115"/>
        <w:gridCol w:w="115"/>
        <w:gridCol w:w="115"/>
        <w:gridCol w:w="235"/>
        <w:gridCol w:w="429"/>
        <w:gridCol w:w="17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2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Financial Instruments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Collateral Received (Pledged)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9"/>
        <w:gridCol w:w="342"/>
        <w:gridCol w:w="347"/>
        <w:gridCol w:w="285"/>
        <w:gridCol w:w="833"/>
        <w:gridCol w:w="147"/>
        <w:gridCol w:w="109"/>
        <w:gridCol w:w="109"/>
        <w:gridCol w:w="109"/>
        <w:gridCol w:w="420"/>
        <w:gridCol w:w="808"/>
        <w:gridCol w:w="218"/>
        <w:gridCol w:w="109"/>
        <w:gridCol w:w="109"/>
        <w:gridCol w:w="109"/>
        <w:gridCol w:w="369"/>
        <w:gridCol w:w="1080"/>
        <w:gridCol w:w="193"/>
        <w:gridCol w:w="109"/>
        <w:gridCol w:w="109"/>
        <w:gridCol w:w="109"/>
        <w:gridCol w:w="258"/>
        <w:gridCol w:w="766"/>
        <w:gridCol w:w="129"/>
        <w:gridCol w:w="114"/>
        <w:gridCol w:w="114"/>
        <w:gridCol w:w="114"/>
        <w:gridCol w:w="358"/>
        <w:gridCol w:w="567"/>
        <w:gridCol w:w="145"/>
        <w:gridCol w:w="114"/>
        <w:gridCol w:w="114"/>
        <w:gridCol w:w="114"/>
        <w:gridCol w:w="221"/>
        <w:gridCol w:w="490"/>
        <w:gridCol w:w="175"/>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w:t>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2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Financial Instruments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Collateral Received (Pledged)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Inventories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Inventories consisted of the following (in thousands):</w:t>
      </w:r>
      <w:r>
        <w:rPr>
          <w:color w:val="000000"/>
        </w:rPr>
        <w:t> </w:t>
      </w:r>
    </w:p>
    <w:tbl>
      <w:tblPr>
        <w:tblW w:w="4178"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inventories included $95.2 million and $191.2 million, respectively, related to the purchase accounting inventory fair value step-up on inventory acquired as part of our GW Acquisition.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Goodwill and Intangible Assets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gross carrying amount of goodwill was as follows (in thousands):</w:t>
      </w:r>
    </w:p>
    <w:tbl>
      <w:tblPr>
        <w:tblW w:w="3981" w:type="dxa"/>
        <w:jc w:val="left"/>
        <w:tblInd w:w="0" w:type="dxa"/>
        <w:tblLayout w:type="fixed"/>
        <w:tblCellMar>
          <w:top w:w="28" w:type="dxa"/>
          <w:left w:w="28" w:type="dxa"/>
          <w:bottom w:w="28" w:type="dxa"/>
          <w:right w:w="28" w:type="dxa"/>
        </w:tblCellMar>
      </w:tblPr>
      <w:tblGrid>
        <w:gridCol w:w="956"/>
        <w:gridCol w:w="839"/>
        <w:gridCol w:w="845"/>
        <w:gridCol w:w="211"/>
        <w:gridCol w:w="97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gross carrying amounts and net book values of our intangible assets were as follows (in thousands):</w:t>
      </w:r>
      <w:r>
        <w:rPr>
          <w:color w:val="000000"/>
        </w:rPr>
        <w:t> </w:t>
      </w:r>
    </w:p>
    <w:tbl>
      <w:tblPr>
        <w:tblW w:w="12365" w:type="dxa"/>
        <w:jc w:val="left"/>
        <w:tblInd w:w="0" w:type="dxa"/>
        <w:tblLayout w:type="fixed"/>
        <w:tblCellMar>
          <w:top w:w="28" w:type="dxa"/>
          <w:left w:w="28" w:type="dxa"/>
          <w:bottom w:w="28" w:type="dxa"/>
          <w:right w:w="28" w:type="dxa"/>
        </w:tblCellMar>
      </w:tblPr>
      <w:tblGrid>
        <w:gridCol w:w="589"/>
        <w:gridCol w:w="373"/>
        <w:gridCol w:w="374"/>
        <w:gridCol w:w="405"/>
        <w:gridCol w:w="405"/>
        <w:gridCol w:w="406"/>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Weighted-</w:t>
              <w:br/>
              <w:t>Average Useful</w:t>
              <w:br/>
              <w:t>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technologies</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contracts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4,755,695 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the gross carrying amount of intangible assets as of September 30, 2025, compared to December 31, 2024, primarily relates to the positive impact of foreign currency translation adjustments primarily due to the strengthening of sterling against the U.S. dollar.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Based on finite-lived intangible assets recorded as of September 30, 2025, and assuming the underlying assets will not be impaired and that we will not change the expected lives of the assets, future amortization expenses were estimated as follows (in thousands):</w:t>
      </w:r>
      <w:r>
        <w:rPr>
          <w:color w:val="000000"/>
        </w:rPr>
        <w:t> </w:t>
      </w:r>
    </w:p>
    <w:tbl>
      <w:tblPr>
        <w:tblW w:w="4588" w:type="dxa"/>
        <w:jc w:val="left"/>
        <w:tblInd w:w="0" w:type="dxa"/>
        <w:tblLayout w:type="fixed"/>
        <w:tblCellMar>
          <w:top w:w="28" w:type="dxa"/>
          <w:left w:w="28" w:type="dxa"/>
          <w:bottom w:w="28" w:type="dxa"/>
          <w:right w:w="28" w:type="dxa"/>
        </w:tblCellMar>
      </w:tblPr>
      <w:tblGrid>
        <w:gridCol w:w="748"/>
        <w:gridCol w:w="659"/>
        <w:gridCol w:w="662"/>
        <w:gridCol w:w="396"/>
        <w:gridCol w:w="1834"/>
        <w:gridCol w:w="289"/>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Amortization Expense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671,723 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663,324 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640,152 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638,418 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4,565,737 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Certain Balance Sheet Items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(in thousands):</w:t>
      </w:r>
    </w:p>
    <w:tbl>
      <w:tblPr>
        <w:tblW w:w="6713" w:type="dxa"/>
        <w:jc w:val="left"/>
        <w:tblInd w:w="0" w:type="dxa"/>
        <w:tblLayout w:type="fixed"/>
        <w:tblCellMar>
          <w:top w:w="28" w:type="dxa"/>
          <w:left w:w="28" w:type="dxa"/>
          <w:bottom w:w="28" w:type="dxa"/>
          <w:right w:w="28" w:type="dxa"/>
        </w:tblCellMar>
      </w:tblPr>
      <w:tblGrid>
        <w:gridCol w:w="1467"/>
        <w:gridCol w:w="1288"/>
        <w:gridCol w:w="1294"/>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 and machinery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978" w:type="dxa"/>
        <w:jc w:val="left"/>
        <w:tblInd w:w="0" w:type="dxa"/>
        <w:tblLayout w:type="fixed"/>
        <w:tblCellMar>
          <w:top w:w="28" w:type="dxa"/>
          <w:left w:w="28" w:type="dxa"/>
          <w:bottom w:w="28" w:type="dxa"/>
          <w:right w:w="28" w:type="dxa"/>
        </w:tblCellMar>
      </w:tblPr>
      <w:tblGrid>
        <w:gridCol w:w="1147"/>
        <w:gridCol w:w="1007"/>
        <w:gridCol w:w="1010"/>
        <w:gridCol w:w="211"/>
        <w:gridCol w:w="97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and other 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settlement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 accruals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Inventory-related accruals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accruals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construction-in-progress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collaboration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milestones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Debt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our indebtedness (in thousands):</w:t>
      </w:r>
    </w:p>
    <w:tbl>
      <w:tblPr>
        <w:tblW w:w="5829" w:type="dxa"/>
        <w:jc w:val="left"/>
        <w:tblInd w:w="0" w:type="dxa"/>
        <w:tblLayout w:type="fixed"/>
        <w:tblCellMar>
          <w:top w:w="28" w:type="dxa"/>
          <w:left w:w="28" w:type="dxa"/>
          <w:bottom w:w="28" w:type="dxa"/>
          <w:right w:w="28" w:type="dxa"/>
        </w:tblCellMar>
      </w:tblPr>
      <w:tblGrid>
        <w:gridCol w:w="1035"/>
        <w:gridCol w:w="908"/>
        <w:gridCol w:w="922"/>
        <w:gridCol w:w="211"/>
        <w:gridCol w:w="976"/>
        <w:gridCol w:w="109"/>
        <w:gridCol w:w="109"/>
        <w:gridCol w:w="109"/>
        <w:gridCol w:w="109"/>
        <w:gridCol w:w="211"/>
        <w:gridCol w:w="976"/>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Notes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Secured Notes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current portion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In January 2025, we made a voluntary repayment on the Tranche B-2 Dollar Term Loan totaling $750.0 million.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Balance as of September 30, 2025 includes the 2026 Notes since they mature in June 2026.</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Exchangeable Senior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Exchangeable Senior Notes were issued by Jazz Investments,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2024, Jazz Investments completed a private placement of $1.0 billion aggregate principal amount of the 2030 Notes. The 2030 Notes are accounted for as a single liability measured at its amortized cost. The total liability is reflected net of issuance costs of $19.2 million which will be amortized over the term of the 2030 Notes. The effective interest rate of the 2030 Notes is 3.47%. During the three months ended September 30, 2025, we recognized interest expense of $8.7 million, of which $7.8 million related to the contractual coupon rate and $0.9 million related to the amortization of debt issuance costs. During the nine months ended September 30, 2025, we recognized interest expense of $25.7 million, of which $23.4 million related to the contractual coupon rate and $2.3 million related to the amortization of debt issuance costs. During the three and nine months ended September 30, 2024, we recognized interest expense of $2.3 million, of which $2.2 million related to the contractual coupon rate and $0.1 million related to the amortization of debt issuance costs.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total liability of the 2026 Notes is reflected net of issuance costs of $15.3 million which will be amortized over the term of the 2026 Notes. The effective interest rate of the 2026 Notes is 2.26%. During the three months ended September 30, 2025 and 2024, we recognized interest expense of $5.7 million, of which $5.0 million related to the contractual coupon rate and $0.7 million related to the amortization of debt issuance costs. During the nine months ended September 30, 2025 and 2024, we recognized interest expense of $16.8 million, of which $15.0 million related to the contractual coupon rate and $1.8 million related to the amortization of debt issuance costs.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15, 2024, the maturity date for the 2024 Notes, we repaid the $575.0 million aggregate principal amount, plus accrued and unpaid interest thereon. The effective interest rate of the 2024 Notes was 1.79%. During the three months ended September 30, 2024, we recognized interest expense of $1.3 million, of which $1.0 million related to the contractual coupon rate and $0.3 million related to the amortization of debt issuance costs. During the nine months ended September 30, 2024,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recognized interest expense of $6.4 million, of which $5.3 million related to the contractual coupon rate and $1.1 million related to the amortization of debt issuance costs.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Maturities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Scheduled maturities with respect to our long-term debt principal balances outstanding as of September 30, 2025 were as follows (in thousands): </w:t>
      </w:r>
    </w:p>
    <w:tbl>
      <w:tblPr>
        <w:tblW w:w="4994" w:type="dxa"/>
        <w:jc w:val="center"/>
        <w:tblInd w:w="0" w:type="dxa"/>
        <w:tblLayout w:type="fixed"/>
        <w:tblCellMar>
          <w:top w:w="28" w:type="dxa"/>
          <w:left w:w="28" w:type="dxa"/>
          <w:bottom w:w="28" w:type="dxa"/>
          <w:right w:w="28" w:type="dxa"/>
        </w:tblCellMar>
      </w:tblPr>
      <w:tblGrid>
        <w:gridCol w:w="748"/>
        <w:gridCol w:w="659"/>
        <w:gridCol w:w="662"/>
        <w:gridCol w:w="460"/>
        <w:gridCol w:w="2129"/>
        <w:gridCol w:w="336"/>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Scheduled Long-Term Debt Maturities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5,418,250 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w:t>
      </w:r>
      <w:r>
        <w:rPr>
          <w:color w:val="000000"/>
        </w:rPr>
        <w:t xml:space="preserve"> </w:t>
      </w:r>
      <w:r>
        <w:rPr>
          <w:rFonts w:ascii="Times New Roman;serif" w:hAnsi="Times New Roman;serif"/>
          <w:b w:val="false"/>
          <w:color w:val="000000"/>
          <w:sz w:val="20"/>
        </w:rPr>
        <w:t>Accordingly, we did not recognize any liabilities relating to these obligations as of September 30, 2025 and December 31, 2024. No assurances can be given that the covering insurers will not attempt to dispute the validity, applicability, or amount of coverage w</w:t>
      </w:r>
      <w:r>
        <w:rPr>
          <w:rFonts w:ascii="Times New Roman;serif" w:hAnsi="Times New Roman;serif"/>
          <w:b w:val="false"/>
          <w:color w:val="000000"/>
          <w:sz w:val="20"/>
          <w:shd w:fill="FFFFFF" w:val="clear"/>
        </w:rPr>
        <w:t>ithout expensive litigation against these insurers, in which case we may incur substantial liabilities as a result of these indemnification obligations.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involved in legal proceedings, including the following matters: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Xyrem Antitrust Litigation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From June 2020 to May 2022, the Xyrem Antitrust Litigation was filed on behalf of purported direct and indirect Xyrem purchasers, alleging that the patent litigation settlement agreements we entered with generic drug manufacturers who had filed ANDAs violate state and federal antitrust and consumer protection laws. The Xyrem Antitrust Litigation was </w:t>
      </w:r>
      <w:r>
        <w:rPr>
          <w:rFonts w:ascii="Times New Roman;serif" w:hAnsi="Times New Roman;serif"/>
          <w:b w:val="false"/>
          <w:color w:val="000000"/>
          <w:sz w:val="20"/>
        </w:rPr>
        <w:t>consolidated for multi-district litigation in the United States District Court for the Northern District of California (the “Court”), as previously disclosed in the notes to our consolidated financial statements for the year ended December 31, 2024 included in our Annual Report on Form 10-K for the year ended December 31, 2024, and the notes to our unaudited condensed consolidated financial statements for the quarters ended March 31, 2025 and June 30, 2025 included in our Quarterly Reports on Form 10-Q for the quarters ended March 31, 2025 and June 30, 2025, respectively. As of the date of this filing, pursuant to the settlement agreements described below, we have resolved the entirety of the Xyrem Antitrust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7, 2025, Jazz Pharmaceuticals Ireland Limited, our wholly-owned subsidiary, entered into a class settlement agreement with the class of indirect Xyrem purchasers to settle all claims of participating class members against the Company with respect to our actions leading up to, and entering into, patent litigation settlement agreements with the ANDA filers.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Pursuant to the class settlement agreement, which was entered into with counsel representing the class representatives, we agreed to pay a total of $145.0 million in a lump sum. The class settlement agreement, in which we deny all alleged wrongdoing, also includes specified releases by class members of Jazz and its past, present and future affiliates, directors, officers, employees and other related parties, for all conduct concerning any of the matters alleged, or that could have been alleged, in the lawsuit. Plaintiffs who affirmatively opt out of the class will not be bound by the release and will not receive any settlement proceeds. Additionally, the class settlement agreement grants us the right to rescind the settlement agreement in the event an agreed upon percentage based on Xyrem purchases or payments made by potential class members that opt out. This settlement, if finalized on the agreed-upon terms, will resolve the majority of claims at issue in the </w:t>
      </w:r>
      <w:r>
        <w:rPr>
          <w:rFonts w:ascii="Times New Roman;serif" w:hAnsi="Times New Roman;serif"/>
          <w:b w:val="false"/>
          <w:color w:val="000000"/>
          <w:sz w:val="20"/>
          <w:shd w:fill="FFFFFF" w:val="clear"/>
        </w:rPr>
        <w:t>multidistrict litigation</w:t>
      </w:r>
      <w:r>
        <w:rPr>
          <w:rFonts w:ascii="Times New Roman;serif" w:hAnsi="Times New Roman;serif"/>
          <w:b w:val="false"/>
          <w:color w:val="000000"/>
          <w:sz w:val="20"/>
        </w:rPr>
        <w:t>. If we terminate the class settlement agreement, we intend to defend against these claims vigorously. We also remain confident in our defenses to the other claims brought by plaintiffs described above, including that the patent settlement agreements at issue were and are pro-competitive, and intend to continue to vigorously defend against these claims.</w:t>
      </w:r>
      <w:r>
        <w:rPr>
          <w:color w:val="000000"/>
          <w:shd w:fill="FFFFFF" w:val="clear"/>
        </w:rPr>
        <w:t xml:space="preserve">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The Court held a preliminary approval hearing regarding the class settlement agreement on May 15, 2025, and granted the motion for preliminary approval on May 16, 2025.</w:t>
      </w:r>
      <w:r>
        <w:rPr>
          <w:color w:val="000000"/>
        </w:rPr>
        <w:t xml:space="preserve"> </w:t>
      </w:r>
      <w:r>
        <w:rPr>
          <w:rFonts w:ascii="Times New Roman;serif" w:hAnsi="Times New Roman;serif"/>
          <w:b w:val="false"/>
          <w:color w:val="000000"/>
          <w:sz w:val="20"/>
          <w:shd w:fill="FFFFFF" w:val="clear"/>
        </w:rPr>
        <w:t>The Court held a final approval hearing regarding the class settlement on October 23, 2025 and approved the class settlement agreement on October 27, 2025.</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On May 20, 2025, Jazz Pharmaceuticals Ireland Limited entered into a settlement agreement with United Healthcare to settle all of United Healthcare’s claims against us with respect to our actions leading up to, and entering into, patent litigation settlement agreements with the ANDA filers.</w:t>
      </w:r>
      <w:r>
        <w:rPr>
          <w:color w:val="000000"/>
        </w:rPr>
        <w:t xml:space="preserve"> </w:t>
      </w:r>
      <w:r>
        <w:rPr>
          <w:rFonts w:ascii="Times New Roman;serif" w:hAnsi="Times New Roman;serif"/>
          <w:b w:val="false"/>
          <w:color w:val="000000"/>
          <w:sz w:val="20"/>
          <w:shd w:fill="FFFFFF" w:val="clear"/>
        </w:rPr>
        <w:t>Pursuant to that settlement agreement, on June 23, 2025, United Healthcare filed a motion for voluntary dismissal with prejudice of its claims against us.</w:t>
      </w:r>
      <w:r>
        <w:rPr>
          <w:color w:val="000000"/>
        </w:rPr>
        <w:t xml:space="preserve"> </w:t>
      </w:r>
      <w:r>
        <w:rPr>
          <w:rFonts w:ascii="Times New Roman;serif" w:hAnsi="Times New Roman;serif"/>
          <w:b w:val="false"/>
          <w:color w:val="000000"/>
          <w:sz w:val="20"/>
        </w:rPr>
        <w:t>The Court granted United Healthcare’s motion on July</w:t>
      </w:r>
      <w:r>
        <w:rPr>
          <w:color w:val="000000"/>
        </w:rPr>
        <w:t> </w:t>
      </w:r>
      <w:r>
        <w:rPr>
          <w:rFonts w:ascii="Times New Roman;serif" w:hAnsi="Times New Roman;serif"/>
          <w:b w:val="false"/>
          <w:color w:val="000000"/>
          <w:sz w:val="20"/>
        </w:rPr>
        <w:t xml:space="preserve">16, 2025. </w:t>
      </w:r>
      <w:r>
        <w:rPr>
          <w:rFonts w:ascii="Times New Roman;serif" w:hAnsi="Times New Roman;serif"/>
          <w:b w:val="false"/>
          <w:color w:val="000000"/>
          <w:sz w:val="20"/>
          <w:shd w:fill="FFFFFF" w:val="clear"/>
        </w:rPr>
        <w:t>The terms of the settlement between Jazz Pharmaceuticals Ireland Limited and United Healthcare are confidential.</w:t>
      </w:r>
      <w:r>
        <w:rPr>
          <w:color w:val="000000"/>
        </w:rPr>
        <w:t xml:space="preserve">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On August 29, 2025, Jazz Pharmaceuticals Ireland entered into a settlement agreement with the Federal Opt-Out Plaintiffs and Aetna Inc. to settle all of the Federal Opt-Out Plaintiffs’ and Aetna's claims against us with respect to our actions leading up to, and entering into, patent litigation settlement agreements with the ANDA filers.</w:t>
      </w:r>
      <w:r>
        <w:rPr>
          <w:color w:val="000000"/>
        </w:rPr>
        <w:t xml:space="preserve"> </w:t>
      </w:r>
      <w:r>
        <w:rPr>
          <w:rFonts w:ascii="Times New Roman;serif" w:hAnsi="Times New Roman;serif"/>
          <w:b w:val="false"/>
          <w:color w:val="000000"/>
          <w:sz w:val="20"/>
          <w:shd w:fill="FFFFFF" w:val="clear"/>
        </w:rPr>
        <w:t>Pursuant to the settlement agreement, on September 29, 2025, Aetna filed a Request for Dismissal with prejudice of its claims against us.</w:t>
      </w:r>
      <w:r>
        <w:rPr>
          <w:color w:val="000000"/>
        </w:rPr>
        <w:t xml:space="preserve"> </w:t>
      </w:r>
      <w:r>
        <w:rPr>
          <w:rFonts w:ascii="Times New Roman;serif" w:hAnsi="Times New Roman;serif"/>
          <w:b w:val="false"/>
          <w:color w:val="000000"/>
          <w:sz w:val="20"/>
          <w:shd w:fill="FFFFFF" w:val="clear"/>
        </w:rPr>
        <w:t>On September</w:t>
      </w:r>
      <w:r>
        <w:rPr>
          <w:color w:val="000000"/>
          <w:shd w:fill="FFFFFF" w:val="clear"/>
        </w:rPr>
        <w:t> </w:t>
      </w:r>
      <w:r>
        <w:rPr>
          <w:rFonts w:ascii="Times New Roman;serif" w:hAnsi="Times New Roman;serif"/>
          <w:b w:val="false"/>
          <w:color w:val="000000"/>
          <w:sz w:val="20"/>
          <w:shd w:fill="FFFFFF" w:val="clear"/>
        </w:rPr>
        <w:t>30, 2025, the Court dismissed Aetna’s claims.</w:t>
      </w:r>
      <w:r>
        <w:rPr>
          <w:color w:val="000000"/>
        </w:rPr>
        <w:t xml:space="preserve"> </w:t>
      </w:r>
      <w:r>
        <w:rPr>
          <w:rFonts w:ascii="Times New Roman;serif" w:hAnsi="Times New Roman;serif"/>
          <w:b w:val="false"/>
          <w:color w:val="000000"/>
          <w:sz w:val="20"/>
          <w:shd w:fill="FFFFFF" w:val="clear"/>
        </w:rPr>
        <w:t>On September 30, 2025, the Federal Opt-Out Plaintiffs filed a motion for voluntary dismissal with prejudice of their claims against us.</w:t>
      </w:r>
      <w:r>
        <w:rPr>
          <w:color w:val="000000"/>
        </w:rPr>
        <w:t xml:space="preserve"> </w:t>
      </w:r>
      <w:r>
        <w:rPr>
          <w:rFonts w:ascii="Times New Roman;serif" w:hAnsi="Times New Roman;serif"/>
          <w:b w:val="false"/>
          <w:color w:val="000000"/>
          <w:sz w:val="20"/>
          <w:shd w:fill="FFFFFF" w:val="clear"/>
        </w:rPr>
        <w:t>The Court granted the Federal Opt-Out Plaintiffs’ motion on September 30, 2025.</w:t>
      </w:r>
      <w:r>
        <w:rPr>
          <w:color w:val="000000"/>
        </w:rPr>
        <w:t xml:space="preserve"> </w:t>
      </w:r>
      <w:r>
        <w:rPr>
          <w:rFonts w:ascii="Times New Roman;serif" w:hAnsi="Times New Roman;serif"/>
          <w:b w:val="false"/>
          <w:color w:val="000000"/>
          <w:sz w:val="20"/>
          <w:shd w:fill="FFFFFF" w:val="clear"/>
        </w:rPr>
        <w:t>On October 7, 2025, we, Hikma, and Aetna filed a stipulation for voluntary dismissal of Aetna’s pending appeal to the Ninth Circuit.</w:t>
      </w:r>
      <w:r>
        <w:rPr>
          <w:color w:val="000000"/>
        </w:rPr>
        <w:t xml:space="preserve"> </w:t>
      </w:r>
      <w:r>
        <w:rPr>
          <w:rFonts w:ascii="Times New Roman;serif" w:hAnsi="Times New Roman;serif"/>
          <w:b w:val="false"/>
          <w:color w:val="000000"/>
          <w:sz w:val="20"/>
          <w:shd w:fill="FFFFFF" w:val="clear"/>
        </w:rPr>
        <w:t>On October 10, 2025, the Ninth Circuit dismissed Aetna’s appeal.</w:t>
      </w:r>
      <w:r>
        <w:rPr>
          <w:color w:val="000000"/>
        </w:rPr>
        <w:t xml:space="preserve"> </w:t>
      </w:r>
      <w:r>
        <w:rPr>
          <w:rFonts w:ascii="Times New Roman;serif" w:hAnsi="Times New Roman;serif"/>
          <w:b w:val="false"/>
          <w:color w:val="000000"/>
          <w:sz w:val="20"/>
          <w:shd w:fill="FFFFFF" w:val="clear"/>
        </w:rPr>
        <w:t>The terms of the settlement agreement between Jazz Pharmaceuticals Ireland Limited and the Federal Opt-Out Plaintiffs and Aetna are confidential.</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During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three and nine months ended September 30, 2025, we recognized expenses of $61.5 million and $233.5 million, respectively, within selling, general and administrative expenses in our condensed consolidated statements of income (loss) for charges related to the resolution of the Xyrem Antitrust Litigation, including the class settlement.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Patent Infringement Litigation</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Avadel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previously disclosed in the notes to our consolidated financial statements for the year ended December 31, 2024 included in our Annual Report on Form 10-K for the year ended December 31, 2024, and the notes to our unaudited condensed consolidated financial statements for the quarters ended March 31, 2025 and June 30, 2025 included in our Quarterly Reports on Form 10-Q for the quarters ended March 31, 2025 and June 30, 2025, respectively, we are a party to certain legal proceedings against Avadel. From May 2021 to July 2022, we filed a number of patent infringement suits against Avadel, and several of its corporate affiliates in the United States District Court for the District of Delaware, alleging that Avadel’s Lumryz infringes a number of our patents. In response, Avadel filed a series of counterclaims, including counterclaims asserting that we engaged in unlawful monopolization in violation of the Sherman Act, and in April 2022, Avadel sued us in the District Court alleging that we misappropriated trade secrets and breached certain contracts between the parties. Additionally, from December 2024 through April 2025, Avadel filed a series of patent infringement suits against us in the United States District Court for the District of Delaware, alleging that Jazz’s sales of Xywav infringe on certain newly-issued Avadel patents.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2025, we entered into a global settlement agreement (the “Settlement Agreement”) with Avadel CNS Pharmaceuticals LLC and Flamel Ireland Limited, subsidiaries of Avadel Pharmaceuticals plc (collectively, “Avadel”) to settle all claims relating to all disputes between the parties, including the Company’s previously disclosed ongoing patent infringement litigation against Avadel in the U.S. District Court for the District of Delaware (the “Court”) and Avadel’s counterclaims alleging anticompetitive conduct by us and other alleged conduct related to Avadel trade secrets and contracts between the parties, as well as Avadel’s ongoing patent infringement litigation in the Court against us. Pursuant to the Settlement Agreement, we agreed to (a) grant a license to Avadel, effective immediately to any past, present, or future patents that could be asserted by us against Avadel’s Lumryz product for use in indications currently approved by the U.S. Food and Drug Administration (the “FDA” and such indications, the “Narcolepsy Indications”), and (b) grant a license to Avadel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effective March 1, 2028 to any past, present, or future patents that could be asserted by us against Avadel’s Lumryz products for any other indications or uses not currently approved by the FDA (the “Non-Narcolepsy Indications”), including all present and future indications, strengths, conditions of use, dosages, doses, dosage forms, and presentations. Pursuant to the Settlement Agreement, Avadel has agreed to pay royalties to us of 3.85% (subject to a potential reduction to 3.75%) on net sales of its Lumryz product for Narcolepsy Indications commencing October 1, 2025, and beginning March 1, 2028, to pay royalties to us of 10% (subject to a potential reduction to 9.5%) on net sales of its Lumryz product for Non-Narcolepsy Indications. Avadel has also agreed not to market, offer for sale, take orders for, distribute, promote, or provide patient support services with respect to Avadel Licensed Products for Non-Narcolepsy Indications before March 1, 2028, and to pay royalties to us of 80% of such unpermitted net sales of its Lumryz product for Non-Narcolepsy Indications from October 1, 2025 through February 29, 2028. Pursuant to the Settlement Agreement, Avadel grants us a covenant not to sue for infringement of any past, present or future patents that could be asserted against the Xywav or Xyrem products, including all present and future indications, strengths, conditions of use, dosages, doses, dosage forms, and presentations. We have not agreed to waive or otherwise consent to the “breaking” of the Orphan Drug Exclusivity for Xywav in idiopathic hypersomnia as part of this settlement. Pursuant to the Settlement Agreement, we agreed to (a) pay a total of $90.0 million in a lump sum in settlement of Avadel’s pending claims against us and (b) waive our right to receive certain royalties the Court previously ordered Avadel to pay us on sales of Avadel’s Lumryz product through September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Settlement Agreement obligated the parties to promptly file stipulations of dismissal with the Court or otherwise abandon the pending legal proceedings, and as of October 27, 2025, the Court dismissed all relevant matters with prejudice. The Settlement Agreement, in which we deny all alleged wrongdoing, also includes releases by us, on the one hand, and Avadel, on the other hand, and each of their past, present and future affiliates, directors, officers, employees and other related parties, for all conduct concerning any of the matters alleged, or that could have been alleged, in the lawsuit.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recorded an accrual of $90.0 million within accrued liabilities in our condensed consolidated balance sheets, for charges related to the resolution of the Avadel litigation. The related expense is included within selling, general and administrative expenses in our condensed consolidated statements of income (loss) for the three and nine months ended September 30, 2025. </w:t>
      </w:r>
    </w:p>
    <w:p>
      <w:pPr>
        <w:pStyle w:val="TextBody"/>
        <w:bidi w:val="0"/>
        <w:spacing w:lineRule="auto" w:line="288" w:before="120" w:after="12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Xywav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w:t>
      </w:r>
      <w:r>
        <w:rPr>
          <w:color w:val="000000"/>
          <w:shd w:fill="FFFFFF" w:val="clear"/>
        </w:rPr>
        <w:t> </w:t>
      </w:r>
      <w:r>
        <w:rPr>
          <w:rFonts w:ascii="Times New Roman;serif" w:hAnsi="Times New Roman;serif"/>
          <w:b w:val="false"/>
          <w:color w:val="000000"/>
          <w:sz w:val="20"/>
        </w:rPr>
        <w:t>4,</w:t>
      </w:r>
      <w:r>
        <w:rPr>
          <w:color w:val="000000"/>
          <w:shd w:fill="FFFFFF" w:val="clear"/>
        </w:rPr>
        <w:t> </w:t>
      </w:r>
      <w:r>
        <w:rPr>
          <w:rFonts w:ascii="Times New Roman;serif" w:hAnsi="Times New Roman;serif"/>
          <w:b w:val="false"/>
          <w:color w:val="000000"/>
          <w:sz w:val="20"/>
        </w:rPr>
        <w:t>2021, Lupin filed an answer to the complaint and counterclaims asserting that the patents are invalid or not enforceable, and that its product, if approved, will not infringe our patents.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November 2022, we received notice from Lupin that it had filed a paragraph IV certification regarding a newly-issued patent listed in the Orange Book for Xywav. On January</w:t>
      </w:r>
      <w:r>
        <w:rPr>
          <w:color w:val="000000"/>
          <w:shd w:fill="FFFFFF" w:val="clear"/>
        </w:rPr>
        <w:t> </w:t>
      </w:r>
      <w:r>
        <w:rPr>
          <w:rFonts w:ascii="Times New Roman;serif" w:hAnsi="Times New Roman;serif"/>
          <w:b w:val="false"/>
          <w:color w:val="000000"/>
          <w:sz w:val="20"/>
        </w:rPr>
        <w:t>19,</w:t>
      </w:r>
      <w:r>
        <w:rPr>
          <w:color w:val="000000"/>
          <w:shd w:fill="FFFFFF" w:val="clear"/>
        </w:rPr>
        <w:t> </w:t>
      </w:r>
      <w:r>
        <w:rPr>
          <w:rFonts w:ascii="Times New Roman;serif" w:hAnsi="Times New Roman;serif"/>
          <w:b w:val="false"/>
          <w:color w:val="000000"/>
          <w:sz w:val="20"/>
        </w:rPr>
        <w:t>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w:t>
      </w:r>
      <w:r>
        <w:rPr>
          <w:color w:val="000000"/>
          <w:shd w:fill="FFFFFF" w:val="clear"/>
        </w:rPr>
        <w:t> </w:t>
      </w:r>
      <w:r>
        <w:rPr>
          <w:rFonts w:ascii="Times New Roman;serif" w:hAnsi="Times New Roman;serif"/>
          <w:b w:val="false"/>
          <w:color w:val="000000"/>
          <w:sz w:val="20"/>
        </w:rPr>
        <w:t>15,</w:t>
      </w:r>
      <w:r>
        <w:rPr>
          <w:color w:val="000000"/>
          <w:shd w:fill="FFFFFF" w:val="clear"/>
        </w:rPr>
        <w:t> </w:t>
      </w:r>
      <w:r>
        <w:rPr>
          <w:rFonts w:ascii="Times New Roman;serif" w:hAnsi="Times New Roman;serif"/>
          <w:b w:val="false"/>
          <w:color w:val="000000"/>
          <w:sz w:val="20"/>
        </w:rPr>
        <w:t>2023, the Court consolidated the new lawsuit with the two suits we previously filed against Lupin. No trial date has been set in the consolidated case against Lupin.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erif" w:hAnsi="Times New Roman;serif"/>
          <w:b w:val="false"/>
          <w:color w:val="000000"/>
          <w:sz w:val="20"/>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w:t>
      </w:r>
      <w:r>
        <w:rPr>
          <w:color w:val="000000"/>
          <w:shd w:fill="FFFFFF" w:val="clear"/>
        </w:rPr>
        <w:t> </w:t>
      </w:r>
      <w:r>
        <w:rPr>
          <w:rFonts w:ascii="Times New Roman;serif" w:hAnsi="Times New Roman;serif"/>
          <w:b w:val="false"/>
          <w:color w:val="000000"/>
          <w:sz w:val="20"/>
        </w:rPr>
        <w:t>23,</w:t>
      </w:r>
      <w:r>
        <w:rPr>
          <w:color w:val="000000"/>
          <w:shd w:fill="FFFFFF" w:val="clear"/>
        </w:rPr>
        <w:t> </w:t>
      </w:r>
      <w:r>
        <w:rPr>
          <w:rFonts w:ascii="Times New Roman;serif" w:hAnsi="Times New Roman;serif"/>
          <w:b w:val="false"/>
          <w:color w:val="000000"/>
          <w:sz w:val="20"/>
        </w:rPr>
        <w:t xml:space="preserve">2023, Teva filed an answer to the complaint and counterclaims asserting that the patents are invalid or not enforceable, and that its product, if approved, will not infringe our patents.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December 15, 2023, based on a stipulation between all parties, the Court consolidated the Lupin lawsuits and the Teva lawsuit for all purposes. No trial date has been set in the consolidated case.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we received notices from Lupin and Teva that they had each filed a paragraph IV certification regarding a newly-issued patent listed in the Orange Book for Xywav. On August 27, 2024, we filed an additional lawsuit in the United States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2025, we received notice from Granules India Limited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August 2025, we filed a patent infringement suit against Granules in the United States District Court for the District of New Jersey. The complaint alleges that by filing its ANDA, Granules has infringed fourteen of our Orange Book-listed patents. We are seeking a permanent injunction to prevent Granules from introducing a generic version of Xywav that would infringe our patents. As a result of this lawsuit, we expect that a stay of approval of up to 30 months will be imposed by FDA on Granules’ ANDA.</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Zepzelca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and August 2024,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Jazz is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2024, we and PharmaMar filed a patent infringement suit against the Zepzelca ANDA Filers in the United States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26, 2025, we and Sandoz stipulated to the dismissal of our lawsuit against Sandoz without prejudice.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12, 2024, we and PharmaMar filed a patent infringement suit against RK Pharma, in the United States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United States District Court for the District of Delaware. RK Pharma remains a defendant in the litigation referenced above in the United States District Court for the District of New Jersey.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we received notice from InvaGen Pharmaceuticals, Inc. that it had filed a paragraph IV certification regarding a newly-issued patent listed in the Orange Book for Zepzelca. On September 4, 2025, we filed an additional lawsuit in the United States District Court for the District of New Jersey against each of the Zepzelca ANDA Filers, alleging that, by filing its ANDA, each party infringed the newly-issued patent related to a method of treatment using Zepzelca. The suit seeks orders that the effective date of FDA approval for each defendant’s application shall be no earlier than the expiration of the newly-issued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Defitelio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United States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FDA Litigation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On June</w:t>
      </w:r>
      <w:r>
        <w:rPr>
          <w:color w:val="000000"/>
          <w:shd w:fill="FFFFFF" w:val="clear"/>
        </w:rPr>
        <w:t> </w:t>
      </w:r>
      <w:r>
        <w:rPr>
          <w:rFonts w:ascii="Times New Roman;serif" w:hAnsi="Times New Roman;serif"/>
          <w:b w:val="false"/>
          <w:color w:val="000000"/>
          <w:sz w:val="20"/>
        </w:rPr>
        <w:t>22,</w:t>
      </w:r>
      <w:r>
        <w:rPr>
          <w:color w:val="000000"/>
          <w:shd w:fill="FFFFFF" w:val="clear"/>
        </w:rPr>
        <w:t> </w:t>
      </w:r>
      <w:r>
        <w:rPr>
          <w:rFonts w:ascii="Times New Roman;serif" w:hAnsi="Times New Roman;serif"/>
          <w:b w:val="false"/>
          <w:color w:val="000000"/>
          <w:sz w:val="20"/>
        </w:rPr>
        <w:t>2023, we filed a complaint in the United States District Court for the District of Columbia seeking a declaration that FDA’s approval on May 1, 2023, of the NDA for Avadel's Lumryz was unlawful. In the complaint, we alleged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Court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pStyle w:val="TextBody"/>
        <w:bidi w:val="0"/>
        <w:spacing w:lineRule="auto" w:line="288" w:before="120" w:after="283"/>
        <w:ind w:left="0" w:right="0" w:firstLine="495"/>
        <w:jc w:val="left"/>
        <w:rPr/>
      </w:pPr>
      <w:r>
        <w:rPr>
          <w:rFonts w:ascii="Times New Roman;serif" w:hAnsi="Times New Roman;serif"/>
          <w:b w:val="false"/>
          <w:color w:val="000000"/>
          <w:sz w:val="20"/>
        </w:rPr>
        <w:t>On September</w:t>
      </w:r>
      <w:r>
        <w:rPr>
          <w:color w:val="000000"/>
          <w:shd w:fill="FFFFFF" w:val="clear"/>
        </w:rPr>
        <w:t> </w:t>
      </w:r>
      <w:r>
        <w:rPr>
          <w:rFonts w:ascii="Times New Roman;serif" w:hAnsi="Times New Roman;serif"/>
          <w:b w:val="false"/>
          <w:color w:val="000000"/>
          <w:sz w:val="20"/>
        </w:rPr>
        <w:t>15,</w:t>
      </w:r>
      <w:r>
        <w:rPr>
          <w:color w:val="000000"/>
          <w:shd w:fill="FFFFFF" w:val="clear"/>
        </w:rPr>
        <w:t> </w:t>
      </w:r>
      <w:r>
        <w:rPr>
          <w:rFonts w:ascii="Times New Roman;serif" w:hAnsi="Times New Roman;serif"/>
          <w:b w:val="false"/>
          <w:color w:val="000000"/>
          <w:sz w:val="20"/>
        </w:rPr>
        <w:t>2023, we filed a motion for summary judgment. On October</w:t>
      </w:r>
      <w:r>
        <w:rPr>
          <w:color w:val="000000"/>
          <w:shd w:fill="FFFFFF" w:val="clear"/>
        </w:rPr>
        <w:t> </w:t>
      </w:r>
      <w:r>
        <w:rPr>
          <w:rFonts w:ascii="Times New Roman;serif" w:hAnsi="Times New Roman;serif"/>
          <w:b w:val="false"/>
          <w:color w:val="000000"/>
          <w:sz w:val="20"/>
        </w:rPr>
        <w:t>20,</w:t>
      </w:r>
      <w:r>
        <w:rPr>
          <w:color w:val="000000"/>
          <w:shd w:fill="FFFFFF" w:val="clear"/>
        </w:rPr>
        <w:t> </w:t>
      </w:r>
      <w:r>
        <w:rPr>
          <w:rFonts w:ascii="Times New Roman;serif" w:hAnsi="Times New Roman;serif"/>
          <w:b w:val="false"/>
          <w:color w:val="000000"/>
          <w:sz w:val="20"/>
        </w:rPr>
        <w:t xml:space="preserve">2023, Avadel and FDA filed cross motions for summary judgment. Oral argument on these motions was held on May 10, 2024 and on October 30, 2024, the District Court issued an order denying Jazz’s motion for summary judgment and granting Avadel’s and FDA’s cross-motions for summary judgment. Jazz appealed the matter to the United States Court of Appeals for the District of Columbia Circuit. We filed our opening appeal brief on January 31, 2025 and the D.C. Circuit held oral argument on the appeal on May 5, 2025. On June 27, 2025, the D.C. Circuit affirmed District Court’s ruling. </w:t>
      </w:r>
    </w:p>
    <w:p>
      <w:pPr>
        <w:pStyle w:val="TextBody"/>
        <w:bidi w:val="0"/>
        <w:spacing w:lineRule="auto" w:line="288" w:before="120" w:after="283"/>
        <w:ind w:left="0" w:right="0" w:firstLine="495"/>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Qui tam matter</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 The Court set a deadline of September 1, 2024, for the plaintiff to file an amended complaint, and December 2, 2024, for us to file a motion to dismiss the amended complaint.</w:t>
      </w:r>
      <w:r>
        <w:rPr>
          <w:color w:val="000000"/>
        </w:rPr>
        <w:t xml:space="preserve"> </w:t>
      </w:r>
      <w:r>
        <w:rPr>
          <w:rFonts w:ascii="Times New Roman;serif" w:hAnsi="Times New Roman;serif"/>
          <w:b w:val="false"/>
          <w:color w:val="000000"/>
          <w:sz w:val="20"/>
        </w:rPr>
        <w:t>The p</w:t>
      </w:r>
      <w:r>
        <w:rPr>
          <w:rFonts w:ascii="Times New Roman;serif" w:hAnsi="Times New Roman;serif"/>
          <w:b w:val="false"/>
          <w:color w:val="000000"/>
          <w:sz w:val="20"/>
          <w:shd w:fill="FFFFFF" w:val="clear"/>
        </w:rPr>
        <w:t>laintiff filed the amended complaint on September 1, 2024.</w:t>
      </w:r>
      <w:r>
        <w:rPr>
          <w:color w:val="000000"/>
        </w:rPr>
        <w:t xml:space="preserve"> </w:t>
      </w:r>
      <w:r>
        <w:rPr>
          <w:rFonts w:ascii="Times New Roman;serif" w:hAnsi="Times New Roman;serif"/>
          <w:b w:val="false"/>
          <w:color w:val="000000"/>
          <w:sz w:val="20"/>
        </w:rPr>
        <w:t>We filed our motion to dismiss on December 2, 2024. The Court held oral argument on the motion to dismiss on April 2, 2025. On September 23, 2025, the Court granted our motion and dismissed the plaintiff’s federal claims with prejudice and state-law claims without prejudice.</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Chimerix Acquisition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21, 2025, Chimerix filed a Recommendation Statement with the SEC in relation to the proposed acquisition of Chimerix by Jazz. Also on March 21, 2025, Jazz disseminated a Tender Offer Statement to Chimerix shareholders in relation to the proposed transaction.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Following filing of the filing and dissemination of the Tender Offer Documents, Jazz Pharmaceuticals plc, its wholly-owned subsidiary Pinetree Acquisition Sub, Inc., Chimerix Inc., the Chimerix Board of Directors, Centerview Partners LLC, were named as defendants in the Rosenthal Lawsuit in the Supreme Court of the State of New York, County of Chemung. In addition to the Rosenthal Lawsuit, the Chimerix Shareholder Litigation was filed in the Supreme Court of the State of New York, County of New York. Collectively, in the Chimerix Transaction Litigation, the plaintiffs alleged that the Tender Offer Documents omitted material information and contained misrepresentations, in violation of various New York and North Carolina laws. The plaintiffs in the Chimerix Transaction Litigation sought various remedies, including injunctive relief to prevent the consummation of the Chimerix Acquisition unless certain allegedly material information was disclosed, or in the alternative, rescission or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7, 2025, Chimerix filed an amended Recommendation Statement and Jazz filed an amended Tender Offer Document, each containing supplemental disclosures related to the Chimerix Acquisition. Pursuant to a memorandum of understanding between the parties, the Rosenthal Lawsuit was dismissed on April 7, 2025. The remaining lawsuits in the Chimerix Transaction Litigation were dismissed on June 26,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Shareholders’ Equity</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months ended September 30, 2025, no shares were repurchased. During the nine months ended September 30, 2025, we spent a total of $125.0 million to repurchase 1.1 million of our ordinary shares, all under the New Repurchase Program, at a purchase price, including commissions, of $109.52 per share.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2024, we spent a total of $150.0 million to repurchase 1.4 million of our ordinary shares, all under the New Repurchase Program, at a purchase price, including commissions, of $109.32 per share. The repurchases during the three months ended September 30, 2024, were effected in privately negotiated transactions with or through one of the initial purchasers of the 2030 Notes concurrently with the pricing of the offering of the 2030 Notes. During the nine months ended September 30, 2024, we spent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remaining amount authorized for repurchases under the New Repurchase Program was $225.0 million, exclusive of any brokerage commissions.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as of September 30, 2025 and December 31, 2024 were as follows (in thousands): </w:t>
      </w:r>
    </w:p>
    <w:tbl>
      <w:tblPr>
        <w:tblW w:w="9995" w:type="dxa"/>
        <w:jc w:val="left"/>
        <w:tblInd w:w="0" w:type="dxa"/>
        <w:tblLayout w:type="fixed"/>
        <w:tblCellMar>
          <w:top w:w="28" w:type="dxa"/>
          <w:left w:w="28" w:type="dxa"/>
          <w:bottom w:w="28" w:type="dxa"/>
          <w:right w:w="28" w:type="dxa"/>
        </w:tblCellMar>
      </w:tblPr>
      <w:tblGrid>
        <w:gridCol w:w="1960"/>
        <w:gridCol w:w="1722"/>
        <w:gridCol w:w="1732"/>
        <w:gridCol w:w="375"/>
        <w:gridCol w:w="871"/>
        <w:gridCol w:w="194"/>
        <w:gridCol w:w="109"/>
        <w:gridCol w:w="109"/>
        <w:gridCol w:w="109"/>
        <w:gridCol w:w="211"/>
        <w:gridCol w:w="901"/>
        <w:gridCol w:w="109"/>
        <w:gridCol w:w="109"/>
        <w:gridCol w:w="109"/>
        <w:gridCol w:w="109"/>
        <w:gridCol w:w="211"/>
        <w:gridCol w:w="901"/>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 xml:space="preserve">Gain (Loss) From </w:t>
              <w:b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other comprehensive income (loss) primarily reflects foreign currency translation adjustments, primarily due to the strengthening of sterling against the U.S. dollar.</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(Loss) per Ordinary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ordinary share were computed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777"/>
        <w:gridCol w:w="1379"/>
        <w:gridCol w:w="1382"/>
        <w:gridCol w:w="211"/>
        <w:gridCol w:w="826"/>
        <w:gridCol w:w="109"/>
        <w:gridCol w:w="109"/>
        <w:gridCol w:w="109"/>
        <w:gridCol w:w="109"/>
        <w:gridCol w:w="211"/>
        <w:gridCol w:w="826"/>
        <w:gridCol w:w="109"/>
        <w:gridCol w:w="109"/>
        <w:gridCol w:w="109"/>
        <w:gridCol w:w="109"/>
        <w:gridCol w:w="211"/>
        <w:gridCol w:w="880"/>
        <w:gridCol w:w="109"/>
        <w:gridCol w:w="109"/>
        <w:gridCol w:w="109"/>
        <w:gridCol w:w="109"/>
        <w:gridCol w:w="211"/>
        <w:gridCol w:w="826"/>
        <w:gridCol w:w="157"/>
      </w:tblGrid>
      <w:tr>
        <w:trPr/>
        <w:tc>
          <w:tcPr>
            <w:tcW w:w="17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interest on assumed conversions of the 2026 Notes,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for dilutive net income (loss) per ordinary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and purchase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the 2026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potential issue of ordinary shares upon exchange of the 2026 Notes was anti-dilutive and had no impact on diluted net income (loss) per ordinary share for the three and nine months ended September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The average market price of our ordinary shares for the three and nine months ended September 30, 2025 did not exceed the conversion price of the 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weighted-average ordinary shares that were excluded from the calculation of diluted net income (loss) per ordinary share for the periods presented because including them would have an anti-dilutive effect (in thousands):</w:t>
      </w:r>
    </w:p>
    <w:tbl>
      <w:tblPr>
        <w:tblW w:w="8490" w:type="dxa"/>
        <w:jc w:val="left"/>
        <w:tblInd w:w="0" w:type="dxa"/>
        <w:tblLayout w:type="fixed"/>
        <w:tblCellMar>
          <w:top w:w="28" w:type="dxa"/>
          <w:left w:w="28" w:type="dxa"/>
          <w:bottom w:w="28" w:type="dxa"/>
          <w:right w:w="28" w:type="dxa"/>
        </w:tblCellMar>
      </w:tblPr>
      <w:tblGrid>
        <w:gridCol w:w="1415"/>
        <w:gridCol w:w="1246"/>
        <w:gridCol w:w="1254"/>
        <w:gridCol w:w="308"/>
        <w:gridCol w:w="308"/>
        <w:gridCol w:w="178"/>
        <w:gridCol w:w="178"/>
        <w:gridCol w:w="178"/>
        <w:gridCol w:w="178"/>
        <w:gridCol w:w="308"/>
        <w:gridCol w:w="308"/>
        <w:gridCol w:w="178"/>
        <w:gridCol w:w="109"/>
        <w:gridCol w:w="109"/>
        <w:gridCol w:w="109"/>
        <w:gridCol w:w="308"/>
        <w:gridCol w:w="308"/>
        <w:gridCol w:w="165"/>
        <w:gridCol w:w="165"/>
        <w:gridCol w:w="165"/>
        <w:gridCol w:w="165"/>
        <w:gridCol w:w="308"/>
        <w:gridCol w:w="308"/>
        <w:gridCol w:w="23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equity incentive and purchase plans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Revenues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(in thousands):</w:t>
      </w:r>
      <w:r>
        <w:rPr>
          <w:color w:val="000000"/>
        </w:rPr>
        <w:t> </w:t>
      </w:r>
    </w:p>
    <w:tbl>
      <w:tblPr>
        <w:tblW w:w="10170" w:type="dxa"/>
        <w:jc w:val="left"/>
        <w:tblInd w:w="0" w:type="dxa"/>
        <w:tblLayout w:type="fixed"/>
        <w:tblCellMar>
          <w:top w:w="28" w:type="dxa"/>
          <w:left w:w="28" w:type="dxa"/>
          <w:bottom w:w="28" w:type="dxa"/>
          <w:right w:w="28" w:type="dxa"/>
        </w:tblCellMar>
      </w:tblPr>
      <w:tblGrid>
        <w:gridCol w:w="1273"/>
        <w:gridCol w:w="1120"/>
        <w:gridCol w:w="113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Sativex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Neuroscience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Oncology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attributed to geographic sources (in thousands):</w:t>
      </w:r>
      <w:r>
        <w:rPr>
          <w:color w:val="000000"/>
        </w:rPr>
        <w:t> </w:t>
      </w:r>
    </w:p>
    <w:tbl>
      <w:tblPr>
        <w:tblW w:w="7529" w:type="dxa"/>
        <w:jc w:val="left"/>
        <w:tblInd w:w="0" w:type="dxa"/>
        <w:tblLayout w:type="fixed"/>
        <w:tblCellMar>
          <w:top w:w="28" w:type="dxa"/>
          <w:left w:w="28" w:type="dxa"/>
          <w:bottom w:w="28" w:type="dxa"/>
          <w:right w:w="28" w:type="dxa"/>
        </w:tblCellMar>
      </w:tblPr>
      <w:tblGrid>
        <w:gridCol w:w="479"/>
        <w:gridCol w:w="419"/>
        <w:gridCol w:w="42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2,980,777 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the percentage of total revenues from customers that represented more than 10% of our total revenues:</w:t>
      </w:r>
      <w:r>
        <w:rPr>
          <w:color w:val="000000"/>
        </w:rPr>
        <w:t> </w:t>
      </w:r>
    </w:p>
    <w:tbl>
      <w:tblPr>
        <w:tblW w:w="4871" w:type="dxa"/>
        <w:jc w:val="left"/>
        <w:tblInd w:w="0" w:type="dxa"/>
        <w:tblLayout w:type="fixed"/>
        <w:tblCellMar>
          <w:top w:w="28" w:type="dxa"/>
          <w:left w:w="28" w:type="dxa"/>
          <w:bottom w:w="28" w:type="dxa"/>
          <w:right w:w="28" w:type="dxa"/>
        </w:tblCellMar>
      </w:tblPr>
      <w:tblGrid>
        <w:gridCol w:w="353"/>
        <w:gridCol w:w="310"/>
        <w:gridCol w:w="313"/>
        <w:gridCol w:w="180"/>
        <w:gridCol w:w="181"/>
        <w:gridCol w:w="333"/>
        <w:gridCol w:w="134"/>
        <w:gridCol w:w="134"/>
        <w:gridCol w:w="134"/>
        <w:gridCol w:w="180"/>
        <w:gridCol w:w="181"/>
        <w:gridCol w:w="333"/>
        <w:gridCol w:w="109"/>
        <w:gridCol w:w="109"/>
        <w:gridCol w:w="109"/>
        <w:gridCol w:w="180"/>
        <w:gridCol w:w="181"/>
        <w:gridCol w:w="313"/>
        <w:gridCol w:w="126"/>
        <w:gridCol w:w="126"/>
        <w:gridCol w:w="126"/>
        <w:gridCol w:w="180"/>
        <w:gridCol w:w="181"/>
        <w:gridCol w:w="36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Financing and payment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payment terms vary by the type and location of our customer but payment is generally required in a term ranging from 30 to 65 days.</w:t>
      </w:r>
    </w:p>
    <w:p>
      <w:pPr>
        <w:pStyle w:val="TextBody"/>
        <w:bidi w:val="0"/>
        <w:spacing w:before="12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Share-Based Compensation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Share-based compensation expense related to RSUs, PRSUs, share options and grants under our ESPP was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741"/>
        <w:gridCol w:w="1529"/>
        <w:gridCol w:w="153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4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pre-tax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15. Income Taxes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income tax benefit was $242.4 million and $277.4 million for the three and nine months ended September 30, 2025, respectively, and arose primarily due to the reversal of a valuation allowance against certain U.S. federal and state deferred tax assets acquired through the Chimerix Acquisition. This compared to an income tax benefit of $14.5 million and $33.5 million for the same periods in 2024. Apart from the reversal of the valuation allowance, the income tax benefits related to tax arising on income or losses in Ireland, the U.K., the U.S. and certain other foreign jurisdictions and Pillar Two top-up taxes, offset by deductions on subsidiary equity, patent box and foreign derived intangible income benefits and tax credits.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deferred tax asset comprises U.S. federal and state tax credits, U.S. federal and state and foreign net operating loss carryforwards and other temporary differences and is net of deferred tax liabilities primarily related to acquired intangible assets. We maintain a valuation allowance against certain deferred tax assets. Each reporting period, we evaluate the need for a valuation allowance on our deferred tax assets by jurisdiction and adjust our estimates as more information becomes available. The FDA approval of Modeyso and its commercial launch, in August 2025, has provided sufficient positive evidence to support a change in judgment regarding the realizability of the deferred tax assets acquired through the Chimerix Acquisition. The Company concluded it is more-likely-than-not that the assets will be realized through related future income. Accordingly, the valuation allowance recorded at the acquisition date was released during the third quarter, and the Company recognized a deferred tax asset of $205.9 million on the balance sheet, with a corresponding credit to income tax benefit in the income statement for the three and nine months ended September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2020.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Certain of our subsidiaries are under examination by the Italian tax authorities for the years ended December 31, 2019, 2023, 2024 and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Government of Ireland, the jurisdiction in which Jazz Pharmaceuticals Plc is incorporated, transposed the Global Minimum Tax Pillar Two rules into domestic legislation as part of the Finance Act. The Finance Act closely follows the EU Minimum Tax Directive and certain OECD Guidance released to date. The Company is within the scope of these rules, which took effect from January 1, 2024. Under the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benefit for the nine months ended September 30, 2025 includes an amount for forecasted Pillar Two top-up taxes, as required under the applicable rules.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Sativex Disposition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31, 2025, we completed the sale of Sativex to CNX Therapeutics, in a simultaneous sign-and-close transaction, for total cash consideration of $39.6 million, including payment for acquired inventory. Under the terms of the agreement, CNX Therapeutics will acquire the rights to Sativex in all of the existing territories available to us. The assets subject to sale were classified as held and used as of September 30, 2025, as the criteria for classification as held for sale was not met at the balance sheet date. This divestiture is not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noBreakHyphen/>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w:t>
      </w:r>
      <w:r>
        <w:rPr>
          <w:color w:val="000000"/>
        </w:rPr>
        <w:t> </w:t>
      </w:r>
      <w:r>
        <w:rPr>
          <w:rFonts w:ascii="Times New Roman;serif" w:hAnsi="Times New Roman;serif"/>
          <w:b w:val="false"/>
          <w:i/>
          <w:color w:val="000000"/>
          <w:sz w:val="20"/>
        </w:rPr>
        <w:t>10-K for the year ended December</w:t>
      </w:r>
      <w:r>
        <w:rPr>
          <w:color w:val="000000"/>
        </w:rPr>
        <w:t> </w:t>
      </w:r>
      <w:r>
        <w:rPr>
          <w:rFonts w:ascii="Times New Roman;serif" w:hAnsi="Times New Roman;serif"/>
          <w:b w:val="false"/>
          <w:i/>
          <w:color w:val="000000"/>
          <w:sz w:val="20"/>
        </w:rPr>
        <w:t>31,</w:t>
      </w:r>
      <w:r>
        <w:rPr>
          <w:color w:val="000000"/>
        </w:rPr>
        <w:t> </w:t>
      </w:r>
      <w:r>
        <w:rPr>
          <w:rFonts w:ascii="Times New Roman;serif" w:hAnsi="Times New Roman;serif"/>
          <w:b w:val="false"/>
          <w:i/>
          <w:color w:val="000000"/>
          <w:sz w:val="20"/>
        </w:rPr>
        <w:t>2024, as supplemented by the risks and uncertainties described in "Risk Factors" Item 1A. Risk Factors in Part II of this Quarterly Report on Form</w:t>
      </w:r>
      <w:r>
        <w:rPr>
          <w:color w:val="000000"/>
        </w:rPr>
        <w:t> </w:t>
      </w:r>
      <w:r>
        <w:rPr>
          <w:rFonts w:ascii="Times New Roman;serif" w:hAnsi="Times New Roman;serif"/>
          <w:b w:val="false"/>
          <w:i/>
          <w:color w:val="000000"/>
          <w:sz w:val="20"/>
        </w:rPr>
        <w:t>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noBreakHyphen/>
        <w:t>Q (unless another date is indicated), and we undertake no obligation to update or revise these statements in light of future developments.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seek to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strategy to deliver sustainable growth and enhanced value continues to be focused 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Strong commercial execution to drive diversified revenue growth and address unmet medical needs of our patients across our product portfolio, which focuses on neuroscience and oncology medicines;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Expanding and advancing our pipeline to achieve a valuable portfolio of durable, highly differentiated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Continuing to build a flexible, efficient and productive development engine for targeted therapeutic areas to identify and progress early-, mid- and late-stage assets;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Identifying and acquiring novel product candidates and approved therapies to complement our existing pipeline and commercial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Investing in an efficient, scalable operating model and differentiated capabilities to enable growth;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Unlocking further value through indication expansion and entry into global markets.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2025, consistent with our strategy, we are continuing to focus on research and development activities within our neuroscience and oncology therapeutic areas.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lead marketed products, listed below, are approved in countries around the world to improve patient care.</w:t>
      </w:r>
    </w:p>
    <w:tbl>
      <w:tblPr>
        <w:tblW w:w="10205" w:type="dxa"/>
        <w:jc w:val="left"/>
        <w:tblInd w:w="0" w:type="dxa"/>
        <w:tblLayout w:type="fixed"/>
        <w:tblCellMar>
          <w:top w:w="28" w:type="dxa"/>
          <w:left w:w="28" w:type="dxa"/>
          <w:bottom w:w="28" w:type="dxa"/>
          <w:right w:w="28" w:type="dxa"/>
        </w:tblCellMar>
      </w:tblPr>
      <w:tblGrid>
        <w:gridCol w:w="909"/>
        <w:gridCol w:w="500"/>
        <w:gridCol w:w="506"/>
        <w:gridCol w:w="2214"/>
        <w:gridCol w:w="1596"/>
        <w:gridCol w:w="1600"/>
        <w:gridCol w:w="395"/>
        <w:gridCol w:w="357"/>
        <w:gridCol w:w="359"/>
        <w:gridCol w:w="684"/>
        <w:gridCol w:w="444"/>
        <w:gridCol w:w="641"/>
      </w:tblGrid>
      <w:tr>
        <w:trPr/>
        <w:tc>
          <w:tcPr>
            <w:tcW w:w="9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w:t>
            </w:r>
          </w:p>
        </w:tc>
        <w:tc>
          <w:tcPr>
            <w:tcW w:w="5410"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Indications</w:t>
            </w:r>
          </w:p>
        </w:tc>
        <w:tc>
          <w:tcPr>
            <w:tcW w:w="1111"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Initial Approval Date</w:t>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Markets</w:t>
            </w:r>
          </w:p>
        </w:tc>
      </w:tr>
      <w:tr>
        <w:trPr/>
        <w:tc>
          <w:tcPr>
            <w:tcW w:w="10205" w:type="dxa"/>
            <w:gridSpan w:val="12"/>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NEUROSCIENCE</w:t>
            </w:r>
          </w:p>
        </w:tc>
      </w:tr>
      <w:tr>
        <w:trPr/>
        <w:tc>
          <w:tcPr>
            <w:tcW w:w="1915"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w:t>
            </w:r>
          </w:p>
        </w:tc>
        <w:tc>
          <w:tcPr>
            <w:tcW w:w="541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or EDS in patients seven years of age and older with narcolepsy.</w:t>
            </w:r>
          </w:p>
        </w:tc>
        <w:tc>
          <w:tcPr>
            <w:tcW w:w="111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2020</w:t>
            </w:r>
          </w:p>
        </w:tc>
        <w:tc>
          <w:tcPr>
            <w:tcW w:w="176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15"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41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IH in adults.</w:t>
            </w:r>
          </w:p>
        </w:tc>
        <w:tc>
          <w:tcPr>
            <w:tcW w:w="111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2021</w:t>
            </w:r>
          </w:p>
        </w:tc>
        <w:tc>
          <w:tcPr>
            <w:tcW w:w="176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15"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41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in patients with narcolepsy.</w:t>
            </w:r>
          </w:p>
        </w:tc>
        <w:tc>
          <w:tcPr>
            <w:tcW w:w="111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w:t>
            </w:r>
          </w:p>
        </w:tc>
        <w:tc>
          <w:tcPr>
            <w:tcW w:w="176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1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w:t>
            </w:r>
          </w:p>
        </w:tc>
        <w:tc>
          <w:tcPr>
            <w:tcW w:w="5410"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seizures associated with LGS, DS, or TSC in patients 1 year of age and older.</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2018</w:t>
            </w:r>
          </w:p>
        </w:tc>
        <w:tc>
          <w:tcPr>
            <w:tcW w:w="1769"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Israel</w:t>
            </w:r>
          </w:p>
        </w:tc>
      </w:tr>
      <w:tr>
        <w:trPr/>
        <w:tc>
          <w:tcPr>
            <w:tcW w:w="1915"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Epidyolex® (cannabidiol)</w:t>
            </w:r>
          </w:p>
        </w:tc>
        <w:tc>
          <w:tcPr>
            <w:tcW w:w="5410"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 adjunctive therapy of seizures associated with LGS or DS, in conjunction with clobazam, for patients 2 years of age and older.</w:t>
            </w:r>
            <w:r>
              <w:rPr>
                <w:rFonts w:ascii="Times New Roman;serif" w:hAnsi="Times New Roman;serif"/>
                <w:b w:val="false"/>
                <w:color w:val="000000"/>
                <w:sz w:val="13"/>
              </w:rPr>
              <w:t>1</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1769"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Great Britain, EEA, Switzerland, Australia, other markets</w:t>
            </w:r>
          </w:p>
        </w:tc>
      </w:tr>
      <w:tr>
        <w:trPr/>
        <w:tc>
          <w:tcPr>
            <w:tcW w:w="1915"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5410"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TSC for patients 2 years of age and older.</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2021</w:t>
            </w:r>
          </w:p>
        </w:tc>
        <w:tc>
          <w:tcPr>
            <w:tcW w:w="1769"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Great Britain, EEA and Switzerland</w:t>
            </w:r>
          </w:p>
        </w:tc>
      </w:tr>
      <w:tr>
        <w:trPr/>
        <w:tc>
          <w:tcPr>
            <w:tcW w:w="191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w:t>
            </w:r>
          </w:p>
        </w:tc>
        <w:tc>
          <w:tcPr>
            <w:tcW w:w="5410"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LGS, DS or TSC for patients 2 years of age and older.</w:t>
            </w:r>
          </w:p>
        </w:tc>
        <w:tc>
          <w:tcPr>
            <w:tcW w:w="1111"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2023</w:t>
            </w:r>
          </w:p>
        </w:tc>
        <w:tc>
          <w:tcPr>
            <w:tcW w:w="1769" w:type="dxa"/>
            <w:gridSpan w:val="3"/>
            <w:tcBorders>
              <w:top w:val="single" w:sz="8" w:space="0" w:color="B6B6B6"/>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0205" w:type="dxa"/>
            <w:gridSpan w:val="12"/>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ONCOLOGY</w:t>
            </w:r>
          </w:p>
        </w:tc>
      </w:tr>
      <w:tr>
        <w:trPr/>
        <w:tc>
          <w:tcPr>
            <w:tcW w:w="191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w:t>
              <w:br/>
              <w:t>rywn)</w:t>
            </w:r>
          </w:p>
        </w:tc>
        <w:tc>
          <w:tcPr>
            <w:tcW w:w="5410"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or older who have developed hypersensitivity to E. coli-derived asparaginase.</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2021</w:t>
            </w:r>
          </w:p>
        </w:tc>
        <w:tc>
          <w:tcPr>
            <w:tcW w:w="1769"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1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(crisantaspase recombinant)</w:t>
            </w:r>
          </w:p>
        </w:tc>
        <w:tc>
          <w:tcPr>
            <w:tcW w:w="5410"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adults and pediatric patients 1 year or older who have developed hypersensitivity to</w:t>
              <w:br/>
              <w:t>E. coli-derived asparaginase.</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1769"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15"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Enrylaze® (recombinant crisantaspase)</w:t>
            </w:r>
          </w:p>
        </w:tc>
        <w:tc>
          <w:tcPr>
            <w:tcW w:w="5410"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and older) who have developed hypersensitivity or silent inactivation to E. coli-derived asparaginase.</w:t>
            </w:r>
          </w:p>
        </w:tc>
        <w:tc>
          <w:tcPr>
            <w:tcW w:w="1111"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2023</w:t>
            </w:r>
          </w:p>
        </w:tc>
        <w:tc>
          <w:tcPr>
            <w:tcW w:w="1769" w:type="dxa"/>
            <w:gridSpan w:val="3"/>
            <w:tcBorders>
              <w:top w:val="single" w:sz="8" w:space="0" w:color="929292"/>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Great Britain, Switzerland, other markets</w:t>
            </w:r>
          </w:p>
        </w:tc>
      </w:tr>
      <w:tr>
        <w:trPr/>
        <w:tc>
          <w:tcPr>
            <w:tcW w:w="1915" w:type="dxa"/>
            <w:gridSpan w:val="3"/>
            <w:vMerge w:val="restart"/>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c>
          <w:tcPr>
            <w:tcW w:w="541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 patients with metastatic SCLC, with disease progression on or after platinum-based chemotherapy.</w:t>
            </w:r>
          </w:p>
        </w:tc>
        <w:tc>
          <w:tcPr>
            <w:tcW w:w="111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2020</w:t>
            </w:r>
          </w:p>
        </w:tc>
        <w:tc>
          <w:tcPr>
            <w:tcW w:w="176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PharmaMar)</w:t>
            </w:r>
            <w:r>
              <w:rPr>
                <w:rFonts w:ascii="Times New Roman;serif" w:hAnsi="Times New Roman;serif"/>
                <w:b w:val="false"/>
                <w:color w:val="000000"/>
                <w:sz w:val="13"/>
              </w:rPr>
              <w:t>2</w:t>
            </w:r>
          </w:p>
        </w:tc>
      </w:tr>
      <w:tr>
        <w:trPr/>
        <w:tc>
          <w:tcPr>
            <w:tcW w:w="1915"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541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Stage III or metastatic SCLC who have progressed on or after platinum-containing therapy.</w:t>
            </w:r>
          </w:p>
        </w:tc>
        <w:tc>
          <w:tcPr>
            <w:tcW w:w="111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1769"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Canada (licensed from PharmaMar)</w:t>
            </w:r>
            <w:r>
              <w:rPr>
                <w:rFonts w:ascii="Times New Roman;serif" w:hAnsi="Times New Roman;serif"/>
                <w:b w:val="false"/>
                <w:color w:val="000000"/>
                <w:sz w:val="13"/>
              </w:rPr>
              <w:t>3</w:t>
            </w:r>
          </w:p>
        </w:tc>
      </w:tr>
      <w:tr>
        <w:trPr/>
        <w:tc>
          <w:tcPr>
            <w:tcW w:w="1915"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5410"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combination with atezolizumab or atezolizumab and hyaluronidase-tqjs for the maintenance treatment of adult patients with extensive-stage SCLC whose disease has not progressed after first-line induction therapy with atezolizumab or atezolizumab and hyaluronidase-tqjs, carboplatin and etoposide.</w:t>
            </w:r>
          </w:p>
        </w:tc>
        <w:tc>
          <w:tcPr>
            <w:tcW w:w="111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1769"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(licensed from PharmaMar)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5"/>
        <w:gridCol w:w="437"/>
        <w:gridCol w:w="442"/>
        <w:gridCol w:w="1892"/>
        <w:gridCol w:w="1892"/>
        <w:gridCol w:w="1910"/>
        <w:gridCol w:w="437"/>
        <w:gridCol w:w="417"/>
        <w:gridCol w:w="418"/>
        <w:gridCol w:w="498"/>
        <w:gridCol w:w="498"/>
        <w:gridCol w:w="719"/>
      </w:tblGrid>
      <w:tr>
        <w:trPr/>
        <w:tc>
          <w:tcPr>
            <w:tcW w:w="64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w:t>
            </w:r>
          </w:p>
        </w:tc>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Indications</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Initial Approval Date</w:t>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Markets</w:t>
            </w:r>
          </w:p>
        </w:tc>
      </w:tr>
      <w:tr>
        <w:trPr/>
        <w:tc>
          <w:tcPr>
            <w:tcW w:w="1524"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c>
          <w:tcPr>
            <w:tcW w:w="569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previously treated, unresectable or metastatic HER2-positive (IHC 3+) BTC, as detected by an FDA-approved test.</w:t>
            </w:r>
          </w:p>
        </w:tc>
        <w:tc>
          <w:tcPr>
            <w:tcW w:w="127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171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Zymeworks)</w:t>
            </w:r>
            <w:r>
              <w:rPr>
                <w:rFonts w:ascii="Times New Roman;serif" w:hAnsi="Times New Roman;serif"/>
                <w:b w:val="false"/>
                <w:color w:val="000000"/>
                <w:sz w:val="13"/>
              </w:rPr>
              <w:t>2</w:t>
            </w:r>
          </w:p>
        </w:tc>
      </w:tr>
      <w:tr>
        <w:trPr/>
        <w:tc>
          <w:tcPr>
            <w:tcW w:w="1524"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5694"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unresectable locally advanced or metastatic HER2-positive (IHC3+) BTC previously treated with at least one prior line of systemic therapy.</w:t>
            </w:r>
          </w:p>
        </w:tc>
        <w:tc>
          <w:tcPr>
            <w:tcW w:w="127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171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 (licensed from Zymeworks)</w:t>
            </w:r>
            <w:r>
              <w:rPr>
                <w:rFonts w:ascii="Times New Roman;serif" w:hAnsi="Times New Roman;serif"/>
                <w:b w:val="false"/>
                <w:color w:val="000000"/>
                <w:sz w:val="13"/>
              </w:rPr>
              <w:t>4</w:t>
            </w:r>
          </w:p>
        </w:tc>
      </w:tr>
      <w:tr>
        <w:trPr/>
        <w:tc>
          <w:tcPr>
            <w:tcW w:w="1524" w:type="dxa"/>
            <w:gridSpan w:val="3"/>
            <w:tcBorders>
              <w:top w:val="single" w:sz="8" w:space="0" w:color="929292"/>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Modeyso™ (dordaviprone) </w:t>
            </w:r>
          </w:p>
        </w:tc>
        <w:tc>
          <w:tcPr>
            <w:tcW w:w="5694"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Treatment of adult and pediatric patients 1 year of age and older with diffuse midline glioma harboring an H3 K27M mutation with progressive disease following prior therapy. </w:t>
            </w:r>
          </w:p>
        </w:tc>
        <w:tc>
          <w:tcPr>
            <w:tcW w:w="1272"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1715"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w:t>
            </w:r>
            <w:r>
              <w:rPr>
                <w:rFonts w:ascii="Times New Roman;serif" w:hAnsi="Times New Roman;serif"/>
                <w:b w:val="false"/>
                <w:color w:val="000000"/>
                <w:sz w:val="13"/>
              </w:rPr>
              <w:t>2</w:t>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clobazam restriction limited to EU and Great Britain</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Accelerated approval received from FDA</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Conditional approval received from Health Canada</w:t>
      </w:r>
    </w:p>
    <w:p>
      <w:pPr>
        <w:pStyle w:val="TextBody"/>
        <w:bidi w:val="0"/>
        <w:spacing w:lineRule="auto" w:line="288" w:before="20" w:after="283"/>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Conditional marketing authorization granted by EC</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Neuroscience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the global leader in the development and commercialization of oxybate therapy for patients with sleep disorders. Xyrem was approved by FDA in 2002, and is indicated for the treatment of cataplexy or EDS in patients seven years of age and older with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there is no cure for narcolepsy and long-term disease management is needed, we believe that Xywav represents an important therapeutic option for patients with this sleep disorder. 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2021, FDA recognized seven years of ODE for Xywav in narcolepsy. ODE extends through January 2028. Nevertheless, Lumryz, a fixed-dose, high-sodium oxybate, was approved by FDA on May 1, 2023, for the treatment of cataplexy or EDS in adults with narcolepsy and was launched in the U.S. market by Avadel.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12, 2021, FDA approved Xywav for the treatment of IH in adults. Xywav remains the first and only FDA-approved therapy to treat IH. We initiated the U.S. commercial launch of Xywav for the treatment of IH in adults in November 2021. In January 2022, the company announced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seen strong adoption of Xywav in narcolepsy since its launch in November 2020, and increasing adoption in IH since its launch in November 2021. Exiting the third quarter of 2025, there were approximately 15,675 patients taking Xywav, including approximately 10,725 patients with narcolepsy and approximately 4,950 patients with IH.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acquired Epidiolex (Epidyolex in certain markets outside the U.S.) in May 2021 as part of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remains ongoing following EC approval in September 2019 for use as adjunctive therapy of seizures associated with LGS or DS, in conjunction with clobazam, for patients two years of age and older. The clobazam restriction is limited to the EU and Great Britain. Epidyolex is launched in all five key European markets: United Kingdom, Germany, Italy, Spain and France.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October 2025, we divested Sativex to CNX Therapeutics, who will assume responsibility for Sativex in all countries it is approved. Jazz's existing partnerships will transition to CNX Therapeutics and it will take responsibility for commercialization in those markets previously owned by Jazz. We will continue to manufacture Sativex during the transition period given the complexity of the product and all external growing partnerships will transition to CNX Therapeutics.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Oncology</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mg/m2 every 48 hours. In November 2022, FDA approved an sBLA for a Monday/Wednesday/Friday 25/25/50 mg/m2 IM dosing schedule. In September 2023, the EC granted marketing authorization for JZP458 under the trade name Enrylaze</w:t>
      </w:r>
      <w:r>
        <w:rPr>
          <w:rFonts w:ascii="null;sans-serif" w:hAnsi="null;sans-serif"/>
          <w:b w:val="false"/>
          <w:color w:val="000000"/>
          <w:sz w:val="20"/>
        </w:rPr>
        <w:t>®</w:t>
      </w:r>
      <w:r>
        <w:rPr>
          <w:rFonts w:ascii="Times New Roman;serif" w:hAnsi="Times New Roman;serif"/>
          <w:b w:val="false"/>
          <w:color w:val="000000"/>
          <w:sz w:val="20"/>
        </w:rPr>
        <w:t>. This product has also been approved in Great Britain, Canada, Switzerland and Australia.</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Roche, we have an ongoing Phase 3 pivotal clinical trial of Zepzelca for use as maintenance therapy in first-line extensive-stage SCLC in combination with atezolizumab following induction therapy with carboplatin, etoposide and atezolizumab. In October 2024, we announced positive top-line results from the trial showing a statistically significant and clinically meaningful progression-free survival and overall survival benefit for Zepzelca and atezolizumab in combination in the first-line maintenance setting. In June</w:t>
      </w:r>
      <w:r>
        <w:rPr>
          <w:color w:val="000000"/>
        </w:rPr>
        <w:t> </w:t>
      </w:r>
      <w:r>
        <w:rPr>
          <w:rFonts w:ascii="Times New Roman;serif" w:hAnsi="Times New Roman;serif"/>
          <w:b w:val="false"/>
          <w:color w:val="000000"/>
          <w:sz w:val="20"/>
        </w:rPr>
        <w:t xml:space="preserve">2025, the supplemental NDA submission for the combination of Zepzelca with atezolizumab or atezolizumab and hyaluronidase-tqjs was granted Priority Review by the FDA and subsequently approved in October 2025 as a maintenance treatment for adults with extensive-stage SCLC whose disease has not progressed after first-line induction therapy with atezolizumab, or atezolizumab and hyaluronidase-tqjs carboplatin and etoposide.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acquired exclusive development and commercialization rights to Ziihera in 2022 through an exclusive licensing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 3+) BTC, as detected by an FDA-approved test. Continued approval for this indication may be contingent upon verification and description of clinical benefit in the Phase 3 HERIZON-BTC-302 confirmatory trial. In June 2025, the EC granted conditional marketing authorization for Ziihera for the treatment of adults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unresectable locally advanced or metastatic HER2-positive (IHC3+) BTC previously treated with at least one prior line of systemic therapy.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completed the acquisition of Chimerix in April 2025, adding Modeyso (dordaviprone), a protease activator of the mitochondrial caseinolytic protease P (ClpP) that also inhibits dopamine D2 receptor (DRD2), to our oncology portfolio. In August 2025, Modeyso was granted accelerated approval by the FDA for the treatment of adult and pediatric patients 1 year of age and older with diffuse midline glioma harboring an H3 K27M mutation with progressive disease following prior therapy. Modeyso is the first and only treatment option approved by the FDA for this ultra-rare and aggressive brain tumor that mainly affects children and young adults. Continued approval for this indication may be contingent upon verification and description of clinical benefit in the Phase 3 ACTION confirmatory trial.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Defitelio is the first and only approved treatment for patients with VOD, sVOD, or VOD with renal or pulmonary dysfunction following HSCT by regulatory authorities in the U.S., Europe, Japan and other markets. Utilization of Defitelio is in part driven by evolving treatment practices in HSCT, and we are continuing to educate healthcare professionals on the clinical profile of Defitelio and its role in treating VOD and/or sVOD following HSCT.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 markets. In the U.S., with ongoing trends towards lower-intensity treatments and away from intensive chemotherapy regimens for AML, we have seen increasing competition from other therapeutic options.</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Research and Development Progress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Within our oncology R&amp;D program, in October 2022, we announced an exclusive licensing and collaboration agreement with Zymeworks providing us the right to acquire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 Zanidatamab is currently being evaluated in multiple clinical trials as a treatment for patients with HER2-expressing cancers: a Phase 2 DiscovHER-Pan-206 trial evaluating zanidatamab monotherapy in previously-treated patients with various HER2-positive (IHC 3+) cancers, a Phase 2 EmpowHER-BC-208 trial to evaluate zanidatamab in patients with HER2-positive neoadjuvant and adjuvant breast cancer, a Phase 3 trial EmpowHER-BC-303 to evaluate zanidatamab plus chemotherapy or trastuzumab plus chemotherapy in patients with HER2-positive breast cancer whose disease has progressed on previous T-DXd treatment, and a Phase 3 confirmatory trial examining zanidatamab in first-line patients with HER2-positive BTC.</w:t>
      </w:r>
    </w:p>
    <w:p>
      <w:pPr>
        <w:pStyle w:val="TextBody"/>
        <w:bidi w:val="0"/>
        <w:spacing w:lineRule="auto" w:line="288" w:before="120" w:after="283"/>
        <w:ind w:left="0" w:right="0" w:firstLine="495"/>
        <w:jc w:val="left"/>
        <w:rPr/>
      </w:pPr>
      <w:r>
        <w:rPr>
          <w:rFonts w:ascii="Times New Roman;serif" w:hAnsi="Times New Roman;serif"/>
          <w:b w:val="false"/>
          <w:color w:val="000000"/>
          <w:sz w:val="20"/>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approval for this BLA in November 2024. In April</w:t>
      </w:r>
      <w:r>
        <w:rPr>
          <w:color w:val="000000"/>
        </w:rPr>
        <w:t> </w:t>
      </w:r>
      <w:r>
        <w:rPr>
          <w:rFonts w:ascii="Times New Roman;serif" w:hAnsi="Times New Roman;serif"/>
          <w:b w:val="false"/>
          <w:color w:val="000000"/>
          <w:sz w:val="20"/>
        </w:rPr>
        <w:t xml:space="preserve">2025, we announced that CHMP adopted a positive opinion recommending the conditional marketing authorization of zanidatamab in 2L BTC. In June 2025, the EC granted conditional marketing authorization for Ziihera for the treatment of adults with unresectable locally advanced or metastatic HER2-positive (IHC3+) BTC previously treated with at least one prior line of systemic therapy.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development plan for Zepzelca continues to progress. We are collaborating with Roche on a Phase 3 clinical trial evaluating Zepzelca in combination with atezolizumab for use as maintenance therapy in first-line extensive-stage SCLC. In October 2024, we announced positive top-line results from the trial showing a statistically significant and clinically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progression-free survival and overall survival benefit for Zepzelca and atezolizumab in combination in the first-line maintenance setting. In April 2025, we announced the submission of an sNDA to support this combination in the first-line maintenance setting. In June 2025, the FDA granted Priority Review of the sNDA and we subsequently received FDA approval in October 2025 for the combination as a maintenance treatment of adult patients with extensive-stage SCLC whose disease has not progressed after first-line induction therapy with atezolizumab or atezolizumab and hyaluronidase-tqjs, carboplatin and etoposide. In December 2021, our licensor PharmaMar initiated a confirmatory trial in second-line SCLC. This ongoing three-arm trial is comparing Zepzelca as either monotherapy or in combination with irinotecan to investigator's choice of irinotecan or topotecan.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an ongoing Phase 4 observational study to collect real world safety and outcome data in adult Zepzelca monotherapy patients with SCLC who progress on or after prior platinum-containing chemotherapy. Preliminary findings from this study presented at the 2024 WCLC demonstrated Zepzelca provided clinical benefit when administered as second-line SCLC therapy. Updated results were presented at the 2025 WCLC that showed Zepzelca demonstrated clinically meaningful effectiveness across subgroups, including those with platinum-resistant disease and those with CNS metastases. The safety and tolerability profile observed in this Phase 4 study was consistent with prior findings, with no new safety signals reported.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2022, we announced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2022, we announced that we had entered into a licensing and collaboration agreement with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provides us with an opportunity to expand into immuno-oncology. JZP898 is a differentiated, conditionally-activated IFNα INDUKINE™ molecule. We initiated a Phase 1 clinical trial of JZP898 in late 2023.</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2025, we completed the acquisition of Chimerix, Inc. for $944.2 million in cash, and Chimerix is now a wholly owned subsidiary of Jazz. The lead clinical asset acquired from Chimerix is Modeyso (dordaviprone), a novel first-in-class small molecule that is a protease activator of the mitochondrial caseinolytic protease P (ClpP) that also inhibits dopamine D2 receptor (DRD2). In August 2025, Modeyso was granted accelerated approval by the FDA for the treatment of adult and pediatric patients 1 year of age and older with diffuse midline glioma harboring an H3 K27M mutation with progressive disease following prior therapy. Modeyso is the first and only treatment option approved by the FDA for this ultra-rare and aggressive brain tumor that mainly affects children and young adults. Continued approval for this indication may be contingent upon verification and description of clinical benefit in the Phase 3 ACTION confirmatory trial. The ongoing Phase 3 ACTION trial is evaluating Modeyso in newly diagnosed, non-recurrent H3 K27M-mutant diffuse glioma patients following radiation treatment, potentially extending this treatment option into the front-line setting.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neuroscience R&amp;D efforts include an ongoing Phase 3 trial of Epidyolex for LGS, DS and TSC in Japan. In August 2024, we announced top-line results from the trial. 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JNDA.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also pursuing early-stage activities related to the development of JZP324, an extended-release low sodium, oxybate formulation that we believe could provide a clinically meaningful option for narcolepsy patients.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we announced that we had entered into a licensing agreement with Sumitomo to acquire exclusive development and commercialization rights in the U.S., Europe and other territories for JZP441, also known as DSP-0187, a potent, highly selective oral orexin-2 receptor agonist with potential application for the treatment of narcolepsy, IH and other sleep disorders. Under the terms of the agreement, we made an upfront payment of $50.0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MWT. At that time, we also noted the program was being paused as we analyzed safety findings related to visual disturbances and cardiovascular effects; no liver toxicity signals were observed. Following additional review of the trial findings and input from FDA, we initiated a small Phase 1b trial of JZP441 in narcolepsy Type 1 patients in 2025.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from this trial will further our understanding of JZP441 and orexin-2 receptor agonism, providing learnings that could inform future development efforts.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August 2025, we announced that we entered a global license agreement with Saniona to obtain exclusive worldwide rights to develop SAN2355 for epilepsy and other potential indications. SAN2355 is a preclinical, selective small molecule activator of Kv7.2/Kv7.3 potassium channels, a mechanism validated for seizure suppression. Under the terms of the agreement, we made an upfront payment to Saniona of $42.5 million. Saniona is eligible to receive up to $192.5 million in development and regulatory milestones, up to $800 million in commercial milestone payments and tiered royalties ranging from mid-single digits to low-double digits on net sales of commercial products resulting from the development of SAN2355. This transaction further expands our early-stage neuroscience pipeline building on our existing expertise in the treatment of epilepsy.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Below is a summary of our key ongoing and planned development projects related to our products and pipeline and their corresponding current stages of development:</w:t>
      </w:r>
    </w:p>
    <w:tbl>
      <w:tblPr>
        <w:tblW w:w="10205" w:type="dxa"/>
        <w:jc w:val="left"/>
        <w:tblInd w:w="0" w:type="dxa"/>
        <w:tblLayout w:type="fixed"/>
        <w:tblCellMar>
          <w:top w:w="28" w:type="dxa"/>
          <w:left w:w="28" w:type="dxa"/>
          <w:bottom w:w="28" w:type="dxa"/>
          <w:right w:w="28" w:type="dxa"/>
        </w:tblCellMar>
      </w:tblPr>
      <w:tblGrid>
        <w:gridCol w:w="841"/>
        <w:gridCol w:w="667"/>
        <w:gridCol w:w="672"/>
        <w:gridCol w:w="2658"/>
        <w:gridCol w:w="2215"/>
        <w:gridCol w:w="3152"/>
      </w:tblGrid>
      <w:tr>
        <w:trPr/>
        <w:tc>
          <w:tcPr>
            <w:tcW w:w="84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 Candidates</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ONCOLOGY</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3</w:t>
            </w:r>
          </w:p>
        </w:tc>
        <w:tc>
          <w:tcPr>
            <w:tcW w:w="8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GEA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BTC (ongoing confirmatory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treated HER2-positive breast cancer in patients whose disease has progressed on previous T-DXd treatment (EmpowHER-BC-303)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Dordaviprone</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H3 K27M-mutant diffuse glioma (ACTION trial) (ongoing confirmatory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Newly diagnosed adults with standard- and high-risk AML (AMLSG 30-18) (cooperative group study) (ongoing trial) </w:t>
              <w:br/>
              <w:t>Newly diagnosed pediatric patients with AML (AAML 1831)(COG cooperative group study)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2</w:t>
            </w:r>
          </w:p>
        </w:tc>
        <w:tc>
          <w:tcPr>
            <w:tcW w:w="8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Basket trial including HER2-positive solid tumors (DiscovHER-Pan-206)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Neoadjuvant and adjuvant breast cancer (EmpowHER-BC-208) (ongoing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High-risk MDS (PALOMA) (cooperative group study) (ongoing trial)</w:t>
              <w:br/>
              <w:t>Newly diagnosed untreated patients with high-risk AML (MyeloMATCH Tier SWOG) (cooperative group study) (ongoing trial)</w:t>
              <w:br/>
              <w:t>De novo intermediate or adverse risk AML stratified by genomics (ALFA2101) (collaboration study)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 + other approved therapies</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R/R AML or post-hypomethylating agent failure high-risk MDS (MD Anderson collaboration study) (ongoing trial) </w:t>
              <w:br/>
              <w:t>De novo or R/R AML (MD Anderson collaboration study) (ongoing trial)</w:t>
              <w:br/>
              <w:t>AML or high-risk MDS that has IDH1 mutation (MD Anderson collaboration study) (ongoing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2a</w:t>
            </w:r>
          </w:p>
        </w:tc>
        <w:tc>
          <w:tcPr>
            <w:tcW w:w="8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treated HER2+ HR+ breast cancer in combination with palbociclib (ongoing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1b/2</w:t>
            </w:r>
          </w:p>
        </w:tc>
        <w:tc>
          <w:tcPr>
            <w:tcW w:w="8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breast cancer and GEA (BeiGene trial) (ongoing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HER2-expressing breast cancer in combination with ALX148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1</w:t>
            </w:r>
          </w:p>
        </w:tc>
        <w:tc>
          <w:tcPr>
            <w:tcW w:w="8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JZP815</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Raf and Ras mutant tumors (acquired from Redx)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treated metastatic HER2-expressing cancers in combination with select antineoplastic therapies (cooperative group study) (ongoing trial)</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JZP898</w:t>
            </w:r>
          </w:p>
        </w:tc>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Conditionally-activated IFNα INDUKINE™ molecule in solid tumors (ongoing trial)</w:t>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 intensity dosing for higher risk MDS (MD Anderson collaboration study) (ongoing trial)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tbl>
      <w:tblPr>
        <w:tblW w:w="8579" w:type="dxa"/>
        <w:jc w:val="left"/>
        <w:tblInd w:w="0" w:type="dxa"/>
        <w:tblLayout w:type="fixed"/>
        <w:tblCellMar>
          <w:top w:w="28" w:type="dxa"/>
          <w:left w:w="28" w:type="dxa"/>
          <w:bottom w:w="28" w:type="dxa"/>
          <w:right w:w="28" w:type="dxa"/>
        </w:tblCellMar>
      </w:tblPr>
      <w:tblGrid>
        <w:gridCol w:w="717"/>
        <w:gridCol w:w="629"/>
        <w:gridCol w:w="634"/>
        <w:gridCol w:w="1928"/>
        <w:gridCol w:w="1928"/>
        <w:gridCol w:w="2743"/>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 Candidates</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JZP3507*</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central nervous system tumors (acquired from Chimerix) (ongoing trial)</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Preclinical</w:t>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JZP3508**</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KRAS inhibitor targets</w:t>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G12D selective and pan-KRAS molecules (acquired from Redx)</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Hematology/oncology exploratory activities</w:t>
            </w:r>
          </w:p>
        </w:tc>
      </w:tr>
      <w:tr>
        <w:trPr/>
        <w:tc>
          <w:tcPr>
            <w:tcW w:w="85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NEUROSCIENCE</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3</w:t>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Epidyolex</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LGS, TSC and DS (ongoing trial in Japan)</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1</w:t>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JZP324</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Oxybate extended-release formulation (planned trial)</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JZP441***</w:t>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 highly selective oral orexin-2 receptor agonist (ongoing trial)</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Preclinical</w:t>
            </w:r>
          </w:p>
        </w:tc>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SAN2355</w:t>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br/>
              <w:t>Epilepsy</w:t>
              <w:br/>
              <w:t>Other Neuroscience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*Also known as ONC206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**Also known as ONC212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***Also known as DSP-0187</w:t>
      </w:r>
    </w:p>
    <w:p>
      <w:pPr>
        <w:pStyle w:val="TextBody"/>
        <w:bidi w:val="0"/>
        <w:spacing w:lineRule="auto" w:line="288" w:before="280" w:after="283"/>
        <w:ind w:left="0" w:right="0" w:firstLine="225"/>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Challenges, Risks and Trends Related to Our Business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Historically and in the third quarter of 2025, Xywav revenues meaningfully contributed to our business. Our current 2025 operating plan assumes that Xywav, with 92% lower sodium compared to high-sodium oxybates (depending on the dose), a dosing titration option and an absence of a sodium warning, will remain </w:t>
      </w:r>
      <w:r>
        <w:rPr>
          <w:rFonts w:ascii="Times New Roman;serif" w:hAnsi="Times New Roman;serif"/>
          <w:b w:val="false"/>
          <w:color w:val="000000"/>
          <w:sz w:val="20"/>
          <w:shd w:fill="FFFFFF" w:val="clear"/>
        </w:rPr>
        <w:t>the #1 branded oxybate treatment for narcolepsy; the position it held based on revenue in the third quarter of 2025</w:t>
      </w:r>
      <w:r>
        <w:rPr>
          <w:rFonts w:ascii="Times New Roman;serif" w:hAnsi="Times New Roman;serif"/>
          <w:b w:val="false"/>
          <w:color w:val="000000"/>
          <w:sz w:val="20"/>
        </w:rPr>
        <w:t xml:space="preserve">.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Xywav and Xyrem face competition from Avadel’s Lumryz, a branded product for treatment of cataplexy and/or EDS in narcolepsy, which was launched in the U.S. market in June 2023. In addition, in January 2023, our oxybate products began to face competition from an AG version of high-sodium oxybate pursuant to a settlement agreement we entered into with an ANDA filer. In July 2023, a volume-limited ANDA filer launched an additional AG version of high-sodium oxybate. These AG products have negatively impacted and are expected to continue to negatively impact Xyrem and Xywav sales for patients with narcolepsy. Specifically, a wholly owned subsidiary of Hikma launched its AG version of sodium oxybate in January 2023 and Amneal launched its AG version of sodium oxybate in July 2023. Hikma elected to continue to sell the Hikma AG product, with royalties to be paid to us, for a total of up to four years beginning in January 2024, which election may be terminated by Hikma in accordance with the notice provisions in the agreements between the parties.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amendments to our AG agreement with Hikma, effective January 1, 2026, we have extended the period during which Hikma is permitted to sell the Hikma AG product until December 31, 2029. Either Hikma or Jazz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is fixed through the end of 2025 and then subject to specified reductions as set forth in our agreements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any event, 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neuroscience products and product candidates, we are commercializing a portfolio of oncology products, including Rylaze, Zepzelca, Ziihera, Modeyso, Defitelio and Vyxeos. An inability to effectively commercialize Rylaze, Zepzelca, Ziihera, Modeyso, Defitelio and Vyxeos and to maximize their potential where possible through successful research and development activities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anticipated revenue from our product candidates would be negatively affected, which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and our recent acquisition of Chimerix, could have a material adverse effect on our business, results of operations and financial condition.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in May 2025, the White House issued an Executive Order directing federal agencies to pursue “Most Favored Nation” pricing for certain prescription drugs, under which U.S. prices would be indexed to the lowest prices available in select OECD countries and on September 30, 2025, the current administration announced the first agreement (of several agreements) with a major pharmaceutical company that requires the drug manufacturer to offer, through a direct to consumer platform, U.S. patients and Medicaid programs prescription drug “Most Favored Nation” pricing equal to or lower than those paid in other developed nations, with additional mandates for direct-to-patient discounts and repatriation of foreign revenues. The White House is currently seeking voluntary pricing concessions from certain manufacturers, with the potential for administrative action to follow if companies do not engage constructively, creating uncertainty around future pricing and reimbursement that could negatively impact our U.S. revenues and overall business performance.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as well as a class settlement agreement with respect thereto and other legal matters, see Note 10, Commitments and Contingencies-Legal Proceedings of the Notes to Consolidated Financial Statements, included in Part I, Item 1 of this Quarterly Report on Form 10</w:t>
        <w:noBreakHyphen/>
        <w:t xml:space="preserve">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our strategy. Any of the foregoing risks and uncertainties could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Finally,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China.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While we cannot at this time predict the ultimate impact of such tariffs, we anticipate that our margins could be adversely affected beginning as early as fiscal 2026,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and could be significant. See “Global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 in Part II, Item 1A of this Quarterly Report on Form 10-Q.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risks and uncertainties are discussed in greater detail, along with other risks and uncertainties, in “Risk Factors” in Part I, Item 1A of our Annual Report on Form 10-K for the year ended December 31, 2024, as supplemented by the risks and uncertainties described in "Risk Factors" in Part II, Item 1A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our revenues and expenses (in thousands, except percentages):</w:t>
      </w:r>
      <w:r>
        <w:rPr>
          <w:color w:val="000000"/>
        </w:rPr>
        <w:t> </w:t>
      </w:r>
    </w:p>
    <w:tbl>
      <w:tblPr>
        <w:tblW w:w="10205" w:type="dxa"/>
        <w:jc w:val="left"/>
        <w:tblInd w:w="0" w:type="dxa"/>
        <w:tblLayout w:type="fixed"/>
        <w:tblCellMar>
          <w:top w:w="28" w:type="dxa"/>
          <w:left w:w="28" w:type="dxa"/>
          <w:bottom w:w="28" w:type="dxa"/>
          <w:right w:w="28" w:type="dxa"/>
        </w:tblCellMar>
      </w:tblPr>
      <w:tblGrid>
        <w:gridCol w:w="936"/>
        <w:gridCol w:w="383"/>
        <w:gridCol w:w="385"/>
        <w:gridCol w:w="211"/>
        <w:gridCol w:w="976"/>
        <w:gridCol w:w="109"/>
        <w:gridCol w:w="109"/>
        <w:gridCol w:w="109"/>
        <w:gridCol w:w="109"/>
        <w:gridCol w:w="211"/>
        <w:gridCol w:w="826"/>
        <w:gridCol w:w="109"/>
        <w:gridCol w:w="109"/>
        <w:gridCol w:w="109"/>
        <w:gridCol w:w="109"/>
        <w:gridCol w:w="248"/>
        <w:gridCol w:w="237"/>
        <w:gridCol w:w="453"/>
        <w:gridCol w:w="109"/>
        <w:gridCol w:w="109"/>
        <w:gridCol w:w="109"/>
        <w:gridCol w:w="211"/>
        <w:gridCol w:w="976"/>
        <w:gridCol w:w="109"/>
        <w:gridCol w:w="109"/>
        <w:gridCol w:w="109"/>
        <w:gridCol w:w="109"/>
        <w:gridCol w:w="211"/>
        <w:gridCol w:w="976"/>
        <w:gridCol w:w="109"/>
        <w:gridCol w:w="109"/>
        <w:gridCol w:w="109"/>
        <w:gridCol w:w="109"/>
        <w:gridCol w:w="195"/>
        <w:gridCol w:w="185"/>
        <w:gridCol w:w="514"/>
      </w:tblGrid>
      <w:tr>
        <w:trPr/>
        <w:tc>
          <w:tcPr>
            <w:tcW w:w="9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(1)Comparison to prior period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product sales, royalties and contract revenues, and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709"/>
        <w:gridCol w:w="463"/>
        <w:gridCol w:w="467"/>
        <w:gridCol w:w="211"/>
        <w:gridCol w:w="976"/>
        <w:gridCol w:w="109"/>
        <w:gridCol w:w="109"/>
        <w:gridCol w:w="109"/>
        <w:gridCol w:w="109"/>
        <w:gridCol w:w="211"/>
        <w:gridCol w:w="976"/>
        <w:gridCol w:w="109"/>
        <w:gridCol w:w="109"/>
        <w:gridCol w:w="109"/>
        <w:gridCol w:w="109"/>
        <w:gridCol w:w="197"/>
        <w:gridCol w:w="189"/>
        <w:gridCol w:w="457"/>
        <w:gridCol w:w="109"/>
        <w:gridCol w:w="109"/>
        <w:gridCol w:w="109"/>
        <w:gridCol w:w="211"/>
        <w:gridCol w:w="976"/>
        <w:gridCol w:w="109"/>
        <w:gridCol w:w="109"/>
        <w:gridCol w:w="109"/>
        <w:gridCol w:w="109"/>
        <w:gridCol w:w="211"/>
        <w:gridCol w:w="976"/>
        <w:gridCol w:w="109"/>
        <w:gridCol w:w="109"/>
        <w:gridCol w:w="109"/>
        <w:gridCol w:w="109"/>
        <w:gridCol w:w="198"/>
        <w:gridCol w:w="188"/>
        <w:gridCol w:w="518"/>
      </w:tblGrid>
      <w:tr>
        <w:trPr/>
        <w:tc>
          <w:tcPr>
            <w:tcW w:w="7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Sativex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Neuroscience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Oncology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(1)Comparison to prior period not meaningful.</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Xywav product sales increased in the three and nine months ended September 30, 2025, compared to the same periods in 2024, primarily due to increased sales volumes of 14% in both periods and, to a lesser extent, a higher selling price, partially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10,725 patients taking Xywav for narcolepsy and 4,950 taking Xywav for IH, an increase of approximately 6% and 39%, respectively, compared to the same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Xyrem product sales decreased in the three and nine months ended September 30, 2025, compared to the same periods in 2024, primarily due to decreased sales volumes of 27% and 35% in the respective periods, due to high-sodium oxybate competition and the adoption of Xywav by existing patients, and higher gross to net deductions, partially offset by a higher selling price. Epidiolex/Epidyolex product sales increased in the three months ended September 30, 2025, compared to the same period in 2024, primarily due to increased sales volumes of 10%, driven by increased demand, lower gross to net deductions, driven by a release of reserves following refinement of certain accrual rates in the U.S., and to a lesser extent, a higher average selling price. Epidiolex/Epidyolex product sales increased in the nine months ended September 30, 2025, compared to the same period in 2024, primarily due to increased sales volumes of 8%, due to increased demand and a higher average selling price.</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Rylaze/Enrylaze product sales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three months ended September 30, 2025 were broadly in line with the same period in</w:t>
      </w:r>
      <w:r>
        <w:rPr>
          <w:color w:val="000000"/>
        </w:rPr>
        <w:t xml:space="preserve">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 xml:space="preserve">Rylaze/Enrylaze product sales decreased </w:t>
      </w:r>
      <w:r>
        <w:rPr>
          <w:rFonts w:ascii="Times New Roman;serif" w:hAnsi="Times New Roman;serif"/>
          <w:b w:val="false"/>
          <w:color w:val="000000"/>
          <w:sz w:val="20"/>
        </w:rPr>
        <w:t xml:space="preserve">in the nine months ended September 30, 2025, compared to the same period in 2024, primarily due to decreased sales volumes of 2% and higher gross to net deductions, offset by a higher average selling price. Following updates to pediatric treatment protocols for ALL which have been broadly adopted, pediatric asparaginase use as a class remains below levels seen prior to protocol implementation in the second half of 2024. Rylaze use within the asparaginase class remains broadly stable. </w:t>
      </w:r>
      <w:r>
        <w:rPr>
          <w:rFonts w:ascii="Times New Roman;serif" w:hAnsi="Times New Roman;serif"/>
          <w:b w:val="false"/>
          <w:color w:val="000000"/>
          <w:sz w:val="20"/>
          <w:shd w:fill="FFFFFF" w:val="clear"/>
        </w:rPr>
        <w:t>Zepzelca product sales decreased in the</w:t>
      </w:r>
      <w:r>
        <w:rPr>
          <w:color w:val="000000"/>
        </w:rPr>
        <w:t xml:space="preserve"> </w:t>
      </w:r>
      <w:r>
        <w:rPr>
          <w:rFonts w:ascii="Times New Roman;serif" w:hAnsi="Times New Roman;serif"/>
          <w:b w:val="false"/>
          <w:color w:val="000000"/>
          <w:sz w:val="20"/>
        </w:rPr>
        <w:t>three and 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same periods in 2024, primarily due to decreased sales volumes, offset by a higher selling price and lower gross to net deductions. Zepzelca product sales have been impacted by increased competition in second-line SCLC and treatment protocol updates delaying progression of first-line limited-stage SCLC patients to the second-line setting. In October, </w:t>
      </w:r>
      <w:r>
        <w:rPr>
          <w:rFonts w:ascii="Times New Roman;serif" w:hAnsi="Times New Roman;serif"/>
          <w:b w:val="false"/>
          <w:color w:val="000000"/>
          <w:sz w:val="20"/>
        </w:rPr>
        <w:t>Zepzelca and atezolizumab combination was approved as a maintenance treatment for adults with ES-SCLC whose disease has not progressed after first-line induction therapy with atezolizumab, carboplatin and etoposide.</w:t>
      </w:r>
      <w:r>
        <w:rPr>
          <w:color w:val="000000"/>
          <w:shd w:fill="FFFFFF" w:val="clear"/>
        </w:rPr>
        <w:t xml:space="preserve"> </w:t>
      </w:r>
      <w:r>
        <w:rPr>
          <w:rFonts w:ascii="Times New Roman;serif" w:hAnsi="Times New Roman;serif"/>
          <w:b w:val="false"/>
          <w:color w:val="000000"/>
          <w:sz w:val="20"/>
          <w:shd w:fill="FFFFFF" w:val="clear"/>
        </w:rPr>
        <w:t xml:space="preserve">Defitelio/defibrotide product sales decreased in the </w:t>
      </w:r>
      <w:r>
        <w:rPr>
          <w:rFonts w:ascii="Times New Roman;serif" w:hAnsi="Times New Roman;serif"/>
          <w:b w:val="false"/>
          <w:color w:val="000000"/>
          <w:sz w:val="20"/>
        </w:rPr>
        <w:t>three and nine months ended September 30, 2025</w:t>
      </w:r>
      <w:r>
        <w:rPr>
          <w:rFonts w:ascii="Times New Roman;serif" w:hAnsi="Times New Roman;serif"/>
          <w:b w:val="false"/>
          <w:color w:val="000000"/>
          <w:sz w:val="20"/>
          <w:shd w:fill="FFFFFF" w:val="clear"/>
        </w:rPr>
        <w:t xml:space="preserve">, compared to the same periods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primarily due to decreased sales volumes, partially offset by a higher average selling price. Vyxeos product sales increased in the three months ended September 30, 2025, compared to the same period in 2024, due to a higher average selling price due to regional mix and the positive impact of foreign exchange rates, partially offset by a decrease in sales volumes. Vyxeos product sales increased in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compared to the same period in 2024, primarily due to an increase in sales volumes and the positive impact of foreign exchange rates, offset by a lower average selling price due to regional mix.</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Royalties</w:t>
      </w:r>
      <w:r>
        <w:rPr>
          <w:color w:val="000000"/>
          <w:shd w:fill="FFFFFF" w:val="clear"/>
        </w:rPr>
        <w:t xml:space="preserve"> </w:t>
      </w:r>
      <w:r>
        <w:rPr>
          <w:rFonts w:ascii="Times New Roman;serif" w:hAnsi="Times New Roman;serif"/>
          <w:b w:val="false"/>
          <w:color w:val="000000"/>
          <w:sz w:val="20"/>
          <w:shd w:fill="FFFFFF" w:val="clear"/>
        </w:rPr>
        <w:t xml:space="preserve">and contract revenues decreased in the </w:t>
      </w:r>
      <w:r>
        <w:rPr>
          <w:rFonts w:ascii="Times New Roman;serif" w:hAnsi="Times New Roman;serif"/>
          <w:b w:val="false"/>
          <w:color w:val="000000"/>
          <w:sz w:val="20"/>
        </w:rPr>
        <w:t xml:space="preserve">three and nine months ended September 30, 2025, </w:t>
      </w:r>
      <w:r>
        <w:rPr>
          <w:rFonts w:ascii="Times New Roman;serif" w:hAnsi="Times New Roman;serif"/>
          <w:b w:val="false"/>
          <w:color w:val="000000"/>
          <w:sz w:val="20"/>
          <w:shd w:fill="FFFFFF" w:val="clear"/>
        </w:rPr>
        <w:t xml:space="preserve">compared to the same periods in 2024, </w:t>
      </w:r>
      <w:r>
        <w:rPr>
          <w:rFonts w:ascii="Times New Roman;serif" w:hAnsi="Times New Roman;serif"/>
          <w:b w:val="false"/>
          <w:color w:val="000000"/>
          <w:sz w:val="20"/>
        </w:rPr>
        <w:t>primarily due to a decrease in royalty revenue received from Hikma</w:t>
      </w:r>
      <w:r>
        <w:rPr>
          <w:color w:val="000000"/>
          <w:shd w:fill="FFFFFF" w:val="clear"/>
        </w:rPr>
        <w:t xml:space="preserve"> </w:t>
      </w:r>
      <w:r>
        <w:rPr>
          <w:rFonts w:ascii="Times New Roman;serif" w:hAnsi="Times New Roman;serif"/>
          <w:b w:val="false"/>
          <w:color w:val="000000"/>
          <w:sz w:val="20"/>
          <w:shd w:fill="FFFFFF" w:val="clear"/>
        </w:rPr>
        <w:t>on net sales of their high sodium oxybate AG</w:t>
      </w:r>
      <w:r>
        <w:rPr>
          <w:rFonts w:ascii="Times New Roman;serif" w:hAnsi="Times New Roman;serif"/>
          <w:b w:val="false"/>
          <w:color w:val="000000"/>
          <w:sz w:val="2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total revenues will increase in 2025 over 2024, primarily driven by growth across our commercial portfolio, offset by a decrease in sales of Xyrem due to the impact of high-sodium oxybate competition.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Sales </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product sales increased in the three months ended September 30, 2025, compared to the same period in 2024, primarily due to increased inventory provisions, a higher fair value step-up expense of $5.3 million and changes in product mix. Cost of product sales increased in the nine months ended September 30, 2025, compared to the same period in 2024, primarily due to changes in product mix, a higher fair value step-up expense of $10.1 million and increased inventory provisions. Gross margin as a percentage of net product sales was 87.9% for both the three and nine months ended September 30, 2025, compared to 88.7% for the same periods in 2024. We expect our cost of product sales to increase in 2025 compared to 2024, primarily driven by changes in product mix.</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Selling, general and administrative expenses increased in the three months ended September 30, 2025, compared to the same period in 2024, primarily due to the Avadel litigation settlement of $90.0 million and a Xyrem antitrust litigation settlement of $61.5 million, an increase in compensation-related expenses of $37.6 million, primarily driven by increased share-based compensation expense and higher headcount, increased investment in sales and marketing of $16.3 million in support of our commercial portfolio and included integration expenses related to the Chimerix Acquisition of $9.3 million. Selling, general and administrative expenses increased in the nine months ended September 30, 2025, compared to the same period in 2024, primarily due to Xyrem antitrust litigation settlements of $233.5 million, the Avadel litigation settlement of $90.0 million and an increase in compensation-related expenses of $65.1 million, primarily driven by higher headcount and increased share-based compensation expense, and included integration expenses related to the Chimerix Acquisition of $16.4</w:t>
      </w:r>
      <w:r>
        <w:rPr>
          <w:color w:val="000000"/>
        </w:rPr>
        <w:t> </w:t>
      </w:r>
      <w:r>
        <w:rPr>
          <w:rFonts w:ascii="Times New Roman;serif" w:hAnsi="Times New Roman;serif"/>
          <w:b w:val="false"/>
          <w:color w:val="000000"/>
          <w:sz w:val="20"/>
        </w:rPr>
        <w:t xml:space="preserve">million.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selling, general and administrative expenses in 2025 to increase compared to 2024, primarily due to litigation settlement expenses, t</w:t>
      </w:r>
      <w:bookmarkStart w:id="0" w:name="i9f5692f6a88c4e4cad794fae1b5b8e4d_17301"/>
      <w:bookmarkEnd w:id="0"/>
      <w:r>
        <w:rPr>
          <w:rFonts w:ascii="Times New Roman;serif" w:hAnsi="Times New Roman;serif"/>
          <w:b w:val="false"/>
          <w:color w:val="000000"/>
          <w:sz w:val="20"/>
        </w:rPr>
        <w:t xml:space="preserve">he inclusion of costs relating to Chimerix, investment in our commercial portfolio, including the launch of Ziihera, along with increased compensation-related expenses. </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Research and Development Expenses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research and development expenses by major categories of expense (in thousands):</w:t>
      </w:r>
    </w:p>
    <w:tbl>
      <w:tblPr>
        <w:tblW w:w="8684" w:type="dxa"/>
        <w:jc w:val="left"/>
        <w:tblInd w:w="0" w:type="dxa"/>
        <w:tblLayout w:type="fixed"/>
        <w:tblCellMar>
          <w:top w:w="28" w:type="dxa"/>
          <w:left w:w="28" w:type="dxa"/>
          <w:bottom w:w="28" w:type="dxa"/>
          <w:right w:w="28" w:type="dxa"/>
        </w:tblCellMar>
      </w:tblPr>
      <w:tblGrid>
        <w:gridCol w:w="1114"/>
        <w:gridCol w:w="976"/>
        <w:gridCol w:w="9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studies and outside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$1.7 million and $74.7 million in the three and nine months ended September 30, 2025, compared to the same periods in 2024, driven by a reduction in clinical studies and outside services costs, primarily due to lower costs related zanidatamab, as a result of timing of clinical trial activities, JZP385 (essential tremor) following discontinuation of this program and lower costs relating to JZP258 (XYLO/DUET) due to the completion of this trial in the first half of 2025, partially offset by the addition of costs relating to Modeyso following the Chimerix Acquisition. Other research and development expenses in the three and nine months ended September 30, 2025 included integration expenses related to the Chimerix Acquisition of $6.5 million and $8.7 million, respectively.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2025, we expect that our research and development expenses will decrease compared to 2024, primarily driven by a reduction in clinical studies and outside services costs relating to zanidatamab, JZP385 and continued portfolio prioritization, partially offset by the inclusion of costs associated with the development of Modeyso.</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Intangible Asset Amortization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increased in the three and nine months ended September 30, 2025, compared with the same periods in 2024, primarily due to the impact of foreign currency translation on our sterling denominated assets.</w:t>
      </w:r>
    </w:p>
    <w:p>
      <w:pPr>
        <w:pStyle w:val="TextBody"/>
        <w:bidi w:val="0"/>
        <w:spacing w:lineRule="auto" w:line="288" w:before="280" w:after="283"/>
        <w:jc w:val="left"/>
        <w:rPr/>
      </w:pPr>
      <w:r>
        <w:rPr>
          <w:rFonts w:ascii="Times New Roman;serif" w:hAnsi="Times New Roman;serif"/>
          <w:b w:val="false"/>
          <w:i/>
          <w:color w:val="000000"/>
          <w:sz w:val="20"/>
          <w:shd w:fill="FFFFFF" w:val="clear"/>
        </w:rPr>
        <w:t>Acquired</w:t>
      </w:r>
      <w:r>
        <w:rPr>
          <w:color w:val="000000"/>
        </w:rPr>
        <w:t xml:space="preserve"> </w:t>
      </w:r>
      <w:r>
        <w:rPr>
          <w:rFonts w:ascii="Times New Roman;serif" w:hAnsi="Times New Roman;serif"/>
          <w:b w:val="false"/>
          <w:i/>
          <w:color w:val="000000"/>
          <w:sz w:val="20"/>
        </w:rPr>
        <w:t>In-Process Research and Development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Acquired IPR&amp;D expense in the three and nine months ended September 30, 2025 includes the upfront payment made in connection with our global license agreement with Saniona. Additionally, acquired IPR&amp;D expense in the nine months ended September 30, 2025 includes the value allocated to Modeyso in the Chimerix Acquisition.</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by $10.1 million and $37.2 million in the three and nine months ended September 30, 2025, respectively, compared to the same periods in 2024, primarily due to lower interest expense on the Tranche B-2 Dollar Term Loans, partially offset by the inclusion of interest expense on the 2030 Notes and lower interest income as a result of lower cash reserves due to the Chimerix Acquisition and reduced interest rates.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Benefit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income tax benefit was $242.4 million and $277.4 million for the three and nine months ended September 30, 2025, respectively, and arose primarily due to the reversal of a valuation allowance against certain U.S. federal and state deferred tax assets acquired through the Chimerix Acquisition. This compared to an income tax benefit of $14.5 million and $33.5 million for the same periods in 2024. Apart from the reversal of the valuation allowance, the income tax benefits related to tax arising on income or losses in Ireland, the U.K., the U.S. and certain other foreign jurisdictions and Pillar Two top-up taxes, offset by deductions on subsidiary equity, patent box and foreign derived intangible income benefits and tax credits.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cash equivalents and investments of $2.0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aggregate principal amount of the 2026 Notes, and $1.0 billion aggregate principal amount of the 2030 Notes. We generated cash flows from operations of $993.3 million during the nine months ended September 30, 2025, and we expect to continue to generate positive cash flows from operations which will enable us to operate our business and de-lever our balance sheet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erif" w:hAnsi="Times New Roman;serif"/>
          <w:b w:val="false"/>
          <w:color w:val="000000"/>
          <w:sz w:val="20"/>
        </w:rPr>
        <w:t>Since the closing of the acquisition of GW in May 2021, we have fully repaid our Euro Term Loan. With respect to our Tranche B-2 Dollar Term Loans, we have made voluntary repayments of $1.1 billion</w:t>
      </w:r>
      <w:r>
        <w:rPr>
          <w:rFonts w:ascii="Times New Roman;serif" w:hAnsi="Times New Roman;serif"/>
          <w:b w:val="false"/>
          <w:color w:val="000000"/>
          <w:sz w:val="20"/>
          <w:shd w:fill="FFFFFF" w:val="clear"/>
        </w:rPr>
        <w:t xml:space="preserve">, $300.0 million in September 2022 and $750.0 million in January 2025, along with mandatory repayments </w:t>
      </w:r>
      <w:r>
        <w:rPr>
          <w:rFonts w:ascii="Times New Roman;serif" w:hAnsi="Times New Roman;serif"/>
          <w:b w:val="false"/>
          <w:color w:val="000000"/>
          <w:sz w:val="20"/>
        </w:rPr>
        <w:t>$131.8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August 2024, we repaid the $575.0 million aggregate principal amount of our 2024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 significant amount of debt outstanding on a consolidated basis. For further information, including details relating to our scheduled maturities with respect to our long-term debt, see Note 9, Debt, of the Notes to Condensed Consolidated Financial Statements, included in Part I, Item 1 of this Quarterly Report on Form 10</w:t>
        <w:noBreakHyphen/>
        <w:t>Q. This substantial level of debt could have important consequences to our business, including, but not limited to the factors set forth in “Risk Factors” of our Annual Report on Form 10-K for the year ended December 31, 2024, under the heading “We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investments balances, cash we expect to generate from operations and funds available under our Amended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2024, as supplemented by the risks described in “Risk Factors" under the heading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this Quarterly Report on Form 10-Q, as well as those factors set forth in “Risk Factors" under the heading and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months ended September 30, 2025, no shares were repurchased. During the nine months ended September 30, 2025, we spent a total of $125.0 million to repurchase 1.1 million of our ordinary shares, all under the New Repurchase Program, at a purchase price, including commissions, of $109.52 per share. During the three months ended September 30, 2024, we spent a total of $150.0 million to repurchase 1.4 million of our ordinary shares, all under the New Repurchase Program, at a purchase price, including commissions, of $109.32 per share. The repurchases during the three months ended September 30, 2024, were effected in privately negotiated transactions with or through one of the initial purchasers of the 2030 Notes concurrently with the pricing of the offering of the 2030 Notes. During the nine months ended September 30, 2024, we spent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As of September 30, 2025, the remaining amount authorized for repurchases under the New Repurchase Program was $225.0 million, exclusive of any brokerage commissions.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cash flows for the periods indicated (in thousands): </w:t>
      </w:r>
    </w:p>
    <w:tbl>
      <w:tblPr>
        <w:tblW w:w="7344" w:type="dxa"/>
        <w:jc w:val="left"/>
        <w:tblInd w:w="0" w:type="dxa"/>
        <w:tblLayout w:type="fixed"/>
        <w:tblCellMar>
          <w:top w:w="28" w:type="dxa"/>
          <w:left w:w="28" w:type="dxa"/>
          <w:bottom w:w="28" w:type="dxa"/>
          <w:right w:w="28" w:type="dxa"/>
        </w:tblCellMar>
      </w:tblPr>
      <w:tblGrid>
        <w:gridCol w:w="1612"/>
        <w:gridCol w:w="1420"/>
        <w:gridCol w:w="1423"/>
        <w:gridCol w:w="211"/>
        <w:gridCol w:w="1051"/>
        <w:gridCol w:w="109"/>
        <w:gridCol w:w="109"/>
        <w:gridCol w:w="109"/>
        <w:gridCol w:w="109"/>
        <w:gridCol w:w="211"/>
        <w:gridCol w:w="826"/>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pPr>
      <w:r>
        <w:rPr>
          <w:rFonts w:ascii="Times New Roman;serif" w:hAnsi="Times New Roman;serif"/>
          <w:b w:val="false"/>
          <w:i/>
          <w:color w:val="000000"/>
          <w:sz w:val="20"/>
        </w:rPr>
        <w:t>Operating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the nine months ended September 30, 2025 is broadly in line with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pPr>
      <w:r>
        <w:rPr>
          <w:rFonts w:ascii="Times New Roman;serif" w:hAnsi="Times New Roman;serif"/>
          <w:b w:val="false"/>
          <w:i/>
          <w:color w:val="000000"/>
          <w:sz w:val="20"/>
        </w:rPr>
        <w:t>Investing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$822.8 million in the nine months ended September 30, 2025, compared to the same period in 2024,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$858.1 million outflow related to the net cash paid for the Chimerix Acquisition;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$55.0 million increase in acquisition of intangible assets related to the milestone payments following FDA approval of Modeyso and Ziihera in BTC;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$32.5 million increase in upfront payments for acquired IPR&amp;D driven by the $42.5 million payment to Saniona in the nine months ended September 30, 2025, offset by the $10.0 million payment to Redx in the nine months ended September 30, 2024;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$140.0 million net increase in the proceeds from maturity of investments, driven by time deposits.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decreased by $977.6 million in the nine months ended September 30, 2025, compared to the same period in 2024, primarily due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$750.0 million voluntary repayment on the Tranche B-2 Dollar Term Loan in January 2025;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proceeds from the issuance of the 2030 Notes of $980.8 million in the nine months ended September 30, 2024;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repayment of the 2024 Notes of $575.0 million in the nine months ended September 30, 2024;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of $186.4 million in share repurchases.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summary of our outstanding indebtedness and scheduled maturities with respect to our long-term debt principal balances is included in Note 9, Debt, of the Notes to Condensed Consolidated Financial Statements included in Part I, Item 1 of this Quarterly Report on Form 10-Q. In January 2025, we made a voluntary repayment on the Tranche B-2 Dollar Term Loans totaling $750.0 million.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other changes to our financing arrangements, as set forth in Note 11, Debt, of the Notes to Consolidated Financial Statements included in our Annual Report on Form 10-K for the year ended December 31,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there were no material changes to our contractual obligations as set forth in Part II, Item 7 “Management’s Discussion and Analysis of Financial Condition and Results of Operations” in our Annual Report on Form 10-K for the year ended December 31, 2024 other than the assumption of potential future milestone payments, totaling $312.0 million, and royalty obligations in the Chimerix Acquisition, as well as potential future milestone payments, totaling $992.5 million, and royalty obligations related to the Saniona license agreement.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significant estimates are detailed in our Annual Report on Form 10</w:t>
        <w:noBreakHyphen/>
        <w:t>K for the year ended December 31, 2024. Our critical accounting policies and significant estimates have not changed substantially from those previously disclosed in our Annual Report on Form 10</w:t>
        <w:noBreakHyphen/>
        <w:t>K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This Quarterly Report on Form 10</w:t>
        <w:noBreakHyphen/>
        <w:t xml:space="preserve">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t>
      </w:r>
      <w:r>
        <w:rPr>
          <w:rFonts w:ascii="Times New Roman;serif" w:hAnsi="Times New Roman;serif"/>
          <w:b w:val="false"/>
          <w:color w:val="000000"/>
          <w:sz w:val="20"/>
          <w:shd w:fill="FFFFFF" w:val="clear"/>
        </w:rPr>
        <w:t>These known and unknown risks, uncertainties and other factors include, without limitation: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inability to maintain revenues from our oxybate franchise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introduction of new products in the U.S. market that compete with, or otherwise disrupt the market for, our oxybate products has adversely affected and may continue to adversely affect sales of our oxybate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maintain or increase sales of Epidiolex/Epidyolex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While we expect Xywav and Epidiolex/Epidyolex to remain our largest products, our success also depends on our ability to effectively commercialize our other existing products and potential future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face substantial competition from other companies, including companies with larger sales organizations and more experience working with large and diverse product portfolios, and competition from generic drugs.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addition to access, coverage and reimbursement, the commercial success of our products depends upon their market acceptance by physicians, patients, third party payors and the medical community.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may not realize the anticipated benefits from our acquisition of Chimerix.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success depends on our ability to successfully obtain and maintain regulatory approvals for our late-stage product candidates and, if approved, to successfully launch and commercialize those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Conducting clinical trials is costly and time-consuming, and the outcomes are uncertain. A failure to prove that our product candidates are safe and effective in clinical trials, or to generate data in clinical trials to support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therapeutic uses for our existing products, could materially and adversely affect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It is difficult and costly to protect our proprietary rights, and we may not be able to ensure their protection.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disruptions of information technology systems or data security incidents could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subject to significant ongoing regulatory obligations and oversight, which may subject us to civil or criminal proceedings, investigations, or penalties and may result in significant additional expense and limit our ability to commercialize our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continue to grow our business, we will need to commit substantial resources, which could result in future losses or otherwise limit our opportunities or affect our ability to operate and grow our business.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If we fail to attract, retain and motivate members of our executive management team and key personnel, our operations and our future growth may be adversely affected.</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discussion of the risks, uncertainties and other factors described above, as well as other risks material to our business, can be found under “Risk Factors” in Part I, Item 1A of our Annual Report on Form 10-K for the year ended December 31, 2024, as supplemented by the risks and uncertainties described in "Risk Factors" Part II, Item 1A. in this Quarterly Report on Form 10-Q.</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noBreakHyphen/>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 xml:space="preserve">Item 3.Quantitative and Qualitative Disclosures About Market Risk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material changes to our market risk disclosures as set forth in Part II, Item 7A “Quantitative and Qualitative Disclosures About Market Risk” in our Annual Report on Form 10-K for the year ended December 31, 2024.</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We have carried out an evaluation under the supervision and with the participation of management, including our principal executive officer and principal financial officer, of our disclosure controls and procedures (as defined in Rule 13a-15(e) and 15d-15(e) of the Exchange Act) as of the end of the period covered by this Quarterly Report on Form 10</w:t>
        <w:noBreakHyphen/>
        <w:t>Q. Based on their evaluation, our principal executive officer and principal financial officer concluded that our disclosure controls and procedures were effective as of September 30, 2025.</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Limitations on the Effectiveness of Controls</w:t>
      </w:r>
      <w:r>
        <w:rPr>
          <w:rFonts w:ascii="Times New Roman;serif" w:hAnsi="Times New Roman;serif"/>
          <w:b w:val="false"/>
          <w:color w:val="000000"/>
          <w:sz w:val="20"/>
        </w:rPr>
        <w:t xml:space="preserve">.  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were effective to provide reasonable assurance that the objectives of our disclosure control system were met.</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During the quarter ended September 30, 2025, there were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set forth under this Item 1 is incorporated by reference to Note 10, Commitments and Contingencies—Legal Proceedings of the Notes to Condensed Consolidated Financial Statements included in Part I, Item 1 of this Quarterly Report on Form 10</w:t>
        <w:noBreakHyphen/>
        <w:t>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2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1A.Risk Factors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Below we are providing, in supplemental form, changes to our risk factors from those previously disclosed in </w:t>
      </w:r>
      <w:r>
        <w:rPr>
          <w:rFonts w:ascii="Times New Roman;serif" w:hAnsi="Times New Roman;serif"/>
          <w:b w:val="false"/>
          <w:color w:val="000000"/>
          <w:sz w:val="20"/>
          <w:shd w:fill="FFFFFF" w:val="clear"/>
        </w:rPr>
        <w:t xml:space="preserve">Part I, Item 1A </w:t>
      </w:r>
      <w:r>
        <w:rPr>
          <w:rFonts w:ascii="Times New Roman;serif" w:hAnsi="Times New Roman;serif"/>
          <w:b w:val="false"/>
          <w:color w:val="000000"/>
          <w:sz w:val="20"/>
        </w:rPr>
        <w:t xml:space="preserve">of our Annual Report on Form 10-K for the year ended December 31, 2024. Our risk factors disclosed in </w:t>
      </w:r>
      <w:r>
        <w:rPr>
          <w:rFonts w:ascii="Times New Roman;serif" w:hAnsi="Times New Roman;serif"/>
          <w:b w:val="false"/>
          <w:color w:val="000000"/>
          <w:sz w:val="20"/>
          <w:shd w:fill="FFFFFF" w:val="clear"/>
        </w:rPr>
        <w:t xml:space="preserve">Part I, Item 1A </w:t>
      </w:r>
      <w:r>
        <w:rPr>
          <w:rFonts w:ascii="Times New Roman;serif" w:hAnsi="Times New Roman;serif"/>
          <w:b w:val="false"/>
          <w:color w:val="000000"/>
          <w:sz w:val="20"/>
        </w:rPr>
        <w:t xml:space="preserve">of our Annual Report on Form 10-K for the year ended December 31, 2024, provide additional discussion regarding these supplemental risks and we encourage you to read and carefully consider all of the risk factors disclosed in </w:t>
      </w:r>
      <w:r>
        <w:rPr>
          <w:rFonts w:ascii="Times New Roman;serif" w:hAnsi="Times New Roman;serif"/>
          <w:b w:val="false"/>
          <w:color w:val="000000"/>
          <w:sz w:val="20"/>
          <w:shd w:fill="FFFFFF" w:val="clear"/>
        </w:rPr>
        <w:t xml:space="preserve">Part I, Item 1A </w:t>
      </w:r>
      <w:r>
        <w:rPr>
          <w:rFonts w:ascii="Times New Roman;serif" w:hAnsi="Times New Roman;serif"/>
          <w:b w:val="false"/>
          <w:color w:val="000000"/>
          <w:sz w:val="20"/>
        </w:rPr>
        <w:t>of our Annual Report on Form 10-K for the year ended December 31, 2024, together with the below, for a more complete understanding of the risks and uncertainties material to our business.</w:t>
      </w:r>
    </w:p>
    <w:p>
      <w:pPr>
        <w:pStyle w:val="TextBody"/>
        <w:bidi w:val="0"/>
        <w:spacing w:lineRule="auto" w:line="288" w:before="120" w:after="120"/>
        <w:jc w:val="left"/>
        <w:rPr/>
      </w:pPr>
      <w:r>
        <w:rPr>
          <w:rFonts w:ascii="Times New Roman;serif" w:hAnsi="Times New Roman;serif"/>
          <w:b/>
          <w:i/>
          <w:color w:val="000000"/>
          <w:sz w:val="20"/>
        </w:rPr>
        <w:t>Our inability to maintain revenues from our oxybate franchise</w:t>
      </w:r>
      <w:r>
        <w:rPr>
          <w:color w:val="000000"/>
          <w:shd w:fill="FFFFFF" w:val="clear"/>
        </w:rPr>
        <w:t xml:space="preserve"> </w:t>
      </w:r>
      <w:r>
        <w:rPr>
          <w:rFonts w:ascii="Times New Roman;serif" w:hAnsi="Times New Roman;serif"/>
          <w:b/>
          <w:i/>
          <w:color w:val="000000"/>
          <w:sz w:val="20"/>
        </w:rPr>
        <w:t>would have a material adverse effect on our business, financial condition, results of operations and growth prospects.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Historically, our business was substantially dependent on Xyrem, and our financial results were significantly influenced by sales of Xyrem. Our current 2025 operating plan assumes that Xywav, </w:t>
      </w:r>
      <w:r>
        <w:rPr>
          <w:rFonts w:ascii="Times New Roman;serif" w:hAnsi="Times New Roman;serif"/>
          <w:b w:val="false"/>
          <w:color w:val="000000"/>
          <w:sz w:val="20"/>
        </w:rPr>
        <w:t xml:space="preserve">with 92% lower sodium compared to high-sodium oxybates (depending on the dose) and absence of a sodium warning, </w:t>
      </w:r>
      <w:r>
        <w:rPr>
          <w:rFonts w:ascii="Times New Roman;serif" w:hAnsi="Times New Roman;serif"/>
          <w:b w:val="false"/>
          <w:color w:val="000000"/>
          <w:sz w:val="20"/>
          <w:shd w:fill="FFFFFF" w:val="clear"/>
        </w:rPr>
        <w:t>will remain the #1 branded oxybate treatment for narcolepsy; the position it held based on revenue in the third quarter of 2025.</w:t>
      </w:r>
      <w:r>
        <w:rPr>
          <w:color w:val="000000"/>
        </w:rPr>
        <w:t xml:space="preserve"> </w:t>
      </w:r>
      <w:r>
        <w:rPr>
          <w:rFonts w:ascii="Times New Roman;serif" w:hAnsi="Times New Roman;serif"/>
          <w:b w:val="false"/>
          <w:color w:val="000000"/>
          <w:sz w:val="20"/>
          <w:shd w:fill="FFFFFF" w:val="clear"/>
        </w:rPr>
        <w:t xml:space="preserve">While we expect that our business will continue to be meaningfully dependent on oxybate revenues, </w:t>
      </w:r>
      <w:r>
        <w:rPr>
          <w:rFonts w:ascii="Times New Roman;serif" w:hAnsi="Times New Roman;serif"/>
          <w:b w:val="false"/>
          <w:color w:val="000000"/>
          <w:sz w:val="20"/>
        </w:rPr>
        <w:t>there is no guarantee that oxybate revenues will remain at current levels. In this regard, o</w:t>
      </w:r>
      <w:r>
        <w:rPr>
          <w:rFonts w:ascii="Times New Roman;serif" w:hAnsi="Times New Roman;serif"/>
          <w:b w:val="false"/>
          <w:color w:val="000000"/>
          <w:sz w:val="20"/>
          <w:shd w:fill="FFFFFF" w:val="clear"/>
        </w:rPr>
        <w:t xml:space="preserve">ur ability to maintain oxybate revenues and realize the anticipated benefits from our investment in Xywav are subject to a number of risks and uncertainties as discussed in greater detail below, including: those related to the </w:t>
      </w:r>
      <w:r>
        <w:rPr>
          <w:rFonts w:ascii="Times New Roman;serif" w:hAnsi="Times New Roman;serif"/>
          <w:b w:val="false"/>
          <w:color w:val="000000"/>
          <w:sz w:val="20"/>
        </w:rPr>
        <w:t>commercialization of Xywav for the treatment of IH in adults and adoption in that indication; competition from</w:t>
      </w:r>
      <w:r>
        <w:rPr>
          <w:color w:val="000000"/>
          <w:shd w:fill="FFFFFF" w:val="clear"/>
        </w:rPr>
        <w:t xml:space="preserve"> </w:t>
      </w:r>
      <w:r>
        <w:rPr>
          <w:rFonts w:ascii="Times New Roman;serif" w:hAnsi="Times New Roman;serif"/>
          <w:b w:val="false"/>
          <w:color w:val="000000"/>
          <w:sz w:val="20"/>
        </w:rPr>
        <w:t xml:space="preserve">the introduction of AG versions of high-sodium oxybate and branded products, such as Avadel’s once-nightly dose, high-sodium oxybate branded product Lumryz, for treatment of cataplexy and/or </w:t>
      </w:r>
      <w:r>
        <w:rPr>
          <w:rFonts w:ascii="Times New Roman;serif" w:hAnsi="Times New Roman;serif"/>
          <w:b w:val="false"/>
          <w:color w:val="000000"/>
          <w:sz w:val="20"/>
          <w:shd w:fill="FFFFFF" w:val="clear"/>
        </w:rPr>
        <w:t>EDS</w:t>
      </w:r>
      <w:r>
        <w:rPr>
          <w:color w:val="000000"/>
        </w:rPr>
        <w:t xml:space="preserve"> </w:t>
      </w:r>
      <w:r>
        <w:rPr>
          <w:rFonts w:ascii="Times New Roman;serif" w:hAnsi="Times New Roman;serif"/>
          <w:b w:val="false"/>
          <w:color w:val="000000"/>
          <w:sz w:val="20"/>
        </w:rPr>
        <w:t>in adults with narcolepsy in the U.S. market, as well as potential future competition from additional AG and generic versions of high-sodium oxybate, including a generic version of high-sodium oxybate from Amneal approved in September 2025, and from other competitors</w:t>
      </w:r>
      <w:r>
        <w:rPr>
          <w:rFonts w:ascii="Times New Roman;serif" w:hAnsi="Times New Roman;serif"/>
          <w:b w:val="false"/>
          <w:color w:val="000000"/>
          <w:sz w:val="20"/>
          <w:shd w:fill="FFFFFF" w:val="clear"/>
        </w:rPr>
        <w:t xml:space="preserve">; increased pricing pressure from, changes in policies by, or restrictions on reimbursement imposed by, third party payors, </w:t>
      </w:r>
      <w:r>
        <w:rPr>
          <w:rFonts w:ascii="Times New Roman;serif" w:hAnsi="Times New Roman;serif"/>
          <w:b w:val="false"/>
          <w:color w:val="000000"/>
          <w:sz w:val="20"/>
        </w:rPr>
        <w:t xml:space="preserve">including our ability to </w:t>
      </w:r>
      <w:r>
        <w:rPr>
          <w:rFonts w:ascii="Times New Roman;serif" w:hAnsi="Times New Roman;serif"/>
          <w:b w:val="false"/>
          <w:color w:val="000000"/>
          <w:sz w:val="20"/>
          <w:shd w:fill="FFFFFF" w:val="clear"/>
        </w:rPr>
        <w:t>maintain adequate coverage and reimbursement for Xywav; increased rebates required to maintain access to our products; challenges to our intellectual property around Xyrem and/or Xywav</w:t>
      </w:r>
      <w:r>
        <w:rPr>
          <w:rFonts w:ascii="Times New Roman;serif" w:hAnsi="Times New Roman;serif"/>
          <w:b w:val="false"/>
          <w:color w:val="000000"/>
          <w:sz w:val="20"/>
        </w:rPr>
        <w:t xml:space="preserve">, including from pending antitrust and intellectual property litigation;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continued acceptance of Xywav by physicians and patients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In addition, a wholly owned subsidiary of Hikma launched its AG version of high-sodium oxybate in January 2023 and Amneal launched its AG version of high-sodium oxybate in July 2023. For a discussion of risks associated with maintaining the AG royalty revenue from these AG products, see the risk factor below titled “</w:t>
      </w:r>
      <w:r>
        <w:rPr>
          <w:rFonts w:ascii="Times New Roman;serif" w:hAnsi="Times New Roman;serif"/>
          <w:b w:val="false"/>
          <w:i/>
          <w:color w:val="000000"/>
          <w:sz w:val="20"/>
        </w:rPr>
        <w:t>The introduction of new products in the U.S. market that compete with, or otherwise disrupt the market for, our oxybate products has adversely affected and may continue to adversely affect sales of our oxybate products</w:t>
      </w:r>
      <w:r>
        <w:rPr>
          <w:rFonts w:ascii="Times New Roman;serif" w:hAnsi="Times New Roman;serif"/>
          <w:b w:val="false"/>
          <w:color w:val="000000"/>
          <w:sz w:val="20"/>
        </w:rPr>
        <w:t xml:space="preserve">.” We have seen a negative impact and expect to see a further negative impact on our oxybate revenues as a result of these AG products and Avadel’s Lumryz and any generic products and new branded products that may compete with our oxybate products. </w:t>
      </w:r>
      <w:r>
        <w:rPr>
          <w:rFonts w:ascii="Times New Roman;serif" w:hAnsi="Times New Roman;serif"/>
          <w:b w:val="false"/>
          <w:color w:val="000000"/>
          <w:sz w:val="20"/>
          <w:shd w:fill="FFFFFF" w:val="clear"/>
        </w:rPr>
        <w:t xml:space="preserve">A substantial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introduction of new products in the U.S. market that compete with, or otherwise disrupt the market for, our oxybate products has adversely affected and may continue to adversely affect sales of our oxybate products.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New treatment options for cataplexy and EDS in narcolepsy have been commercially launched and, in the future, other products may be launched that are competitive with or disrupt the market for our oxybate products, Xywav and Xyrem.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Ten companies have sent us notices that they had filed ANDAs seeking approval to market a generic version of Xyrem. We filed patent lawsuits against all ten companies and have settled with all ten of the companies. To date, FDA has approved or tentatively approved four of these ANDAs, and we believe that it is likely that FDA will approve or tentatively approve some or all of the others. Pursuant to our patent litigation settlement with the first filer, Hikma launched its AG version of high-sodium oxybate in the U.S. beginning on January 1, 2023. Accordingly, beginning in January 2023, Xywav and Xyrem face competition from an AG version of high-sodium oxybate. We also granted Hikma a license to launch its own generic high-sodium oxybate product but, if it elects to launch its own generic product, Hikma will no longer have the right to sell the Hikma AG product. In our settlements with Amneal, Lupin, and Par, we granted each party the right to sell a limited volume of an AG product in the U.S. beginning on July 1, 2023 and ending on December 31, 2025, with royalties to be paid to us. Amneal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launched its AG version of high-sodium oxybate in July 2023. At this time, Amneal has rights to sell a low-single-digit percentage of historical Xyrem sales over each 6-month sales period. At this time, Lupin and Par have elected not to launch an AG product. AG products are distributed through the same REMS as Xywav and Xyrem. We also granted each of Amneal, Lupin and Par a license to launch its own generic high-sodium oxybate product under its ANDA on or after December 31, 2025, or earlier under certain circumstances, including the circumstance where Hikma elects to launch its own generic product. In September 2025, Amneal received FDA approval for a generic version of high-sodium oxybate. If Amneal, Lupin or Par elects to launch its own generic product under such circumstance, it will no longer have the right to sell an AG product. In our settlements with each of six other ANDA filers, we granted each a license to launch its own generic high-sodium oxybate product under its ANDA on or after December 31, 2025, or earlier under certain circumstances, including circumstances where Hikma launches its own generic high-sodium oxybate product. It is possible that additional companies may file ANDAs seeking to market a generic version of Xyrem which could lead to additional patent litigation or challenges with respect to Xyrem and/or additional competition for our oxybate products.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Any ANDA holder launching an AG product or another generic high-sodium oxybate product will independently establish the price of the AG product and/or its own generic high-sodium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WAC. In this regard, Hikma and Amneal launched their AG products in 2023 at a WAC that was less than 15% lower than the WAC for Xyrem. After any introduction of a generic product, whether or not it is an AG product, a significant percentage of the prescriptions written for Xyrem have been, and will likely continue to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We continue to receive royalties and other revenue based on sales of AG products in accordance with the terms of our settlement agreements.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companies may develop sodium oxybate products for the treatment of narcolepsy, using an alternative formulation or a different delivery technology, and seek approval in the U.S. using an NDA approval pathway under Section 505(b)(2) and referencing the safety and efficacy data for Xyrem. For example, we face competition from branded products for treatment of cataplexy and/or EDS in narcolepsy, such as Avadel’s Lumryz. On May 1, 2023, Avadel announced that it had received FDA approval and ODE through May 1, 2030 for Lumryz, a fixed-dose, high-sodium oxybate which uses its proprietary technology for the treatment of EDS and cataplexy in patients with narcolepsy. Xyrem and Xywav also face increased competition from other branded entrants to treat EDS in narcolepsy such as Wakix and Sunosi. Other companies have announced that they have product candidates in various phases of development to treat the symptoms of narcolepsy, such as Axsome’s reboxetine, and various companies are performing research and development on orexin agonists for the treatment of sleep disorders, including Takeda Pharmaceutical Company Limited and Alkermes plc.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expect that Xywav for the treatment of both cataplexy and EDS in patients with narcolepsy will continue to face competition from generic or AG high-sodium oxybate products or branded entrants in narcolepsy, such as Avadel’s Lumryz, notwithstanding FDA recognizing ODE for Xywav. For example, we received notices in June 2021 and February 2023, that Lupin and Teva, respectively, filed ANDAs for generic versions of Xywav. On October 13, 2023, Lupin announced that it has received tentative approval for its application to market a generic version of Xywav. In addition, in July 2025, we received notice from Granules that it has filed with FDA an ANDA for a generic version of Xywav. We have filed patent infringement suits against these ANDA filers. For additional information see “</w:t>
      </w:r>
      <w:r>
        <w:rPr>
          <w:rFonts w:ascii="Times New Roman;serif" w:hAnsi="Times New Roman;serif"/>
          <w:b w:val="false"/>
          <w:i/>
          <w:color w:val="000000"/>
          <w:sz w:val="20"/>
        </w:rPr>
        <w:t>Xywav Patent Litigation</w:t>
      </w:r>
      <w:r>
        <w:rPr>
          <w:color w:val="000000"/>
        </w:rPr>
        <w:t xml:space="preserve">” </w:t>
      </w:r>
      <w:r>
        <w:rPr>
          <w:rFonts w:ascii="Times New Roman;serif" w:hAnsi="Times New Roman;serif"/>
          <w:b w:val="false"/>
          <w:color w:val="000000"/>
          <w:sz w:val="20"/>
        </w:rPr>
        <w:t>in Note 10, Commitments and Contingencies—Legal Proceedings of the Notes to Consolidated Financial Statements, included in Part I of this Quarterly Report on Form 10</w:t>
        <w:noBreakHyphen/>
        <w:t xml:space="preserve">Q. Additional companies may file ANDAs seeking to market a generic version of Xywav which could lead to additional patent litigation or challenges with respect to Xywav and/or additional competition.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Moreover, generic or AG high-sodium oxybate products or branded high-sodium oxybate entrants in narcolepsy, such as Avadel’s Lumryz, as well as non-oxybate products intended for the treatment of EDS or cataplexy in narcolepsy or IH including new market entrants, even if not directly competitive with Xywav or Xyrem, have had and may continue to have the effect of changing treatment regimens and payor or formulary coverage of Xywav or Xyrem in favor of other products, and indirectly adversely affect sales of Xywav and Xyrem. Examples of such new market entrants of non-oxybate products include Wakix (pitolisant), a drug that was approved by FDA in 2019 for the treatment of EDS in adult patients with narcolepsy and approved by FDA in 2020 for an adult cataplexy indication in the U.S. Wakix has also been approved and marketed in Europe to treat adult patients with narcolepsy, with or without cataplexy, and to treat EDS in obstructive sleep apnea. Harmony Biosciences has announced a phase 3 study for pitolisant for IH after receiving a refusal to file from FDA in February 2025. In addition, we are also aware that prescribers often prescribe branded or generic medications for cataplexy and IH, before or instead of prescribing oxybate therapy including Xywav and Xyrem, and that payors often require patients to try such medications before they will cover Xywav or Xyrem, even if they are not approved for this use. Examples of such products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described in “Business—Competition” in Part I, Item 1 of our Annual Report on Form 10</w:t>
        <w:noBreakHyphen/>
        <w:t>K for the year ended December</w:t>
      </w:r>
      <w:r>
        <w:rPr>
          <w:color w:val="000000"/>
        </w:rPr>
        <w:t> </w:t>
      </w:r>
      <w:r>
        <w:rPr>
          <w:rFonts w:ascii="Times New Roman;serif" w:hAnsi="Times New Roman;serif"/>
          <w:b w:val="false"/>
          <w:color w:val="000000"/>
          <w:sz w:val="20"/>
        </w:rPr>
        <w:t>31,</w:t>
      </w:r>
      <w:r>
        <w:rPr>
          <w:color w:val="000000"/>
        </w:rPr>
        <w:t> </w:t>
      </w:r>
      <w:r>
        <w:rPr>
          <w:rFonts w:ascii="Times New Roman;serif" w:hAnsi="Times New Roman;serif"/>
          <w:b w:val="false"/>
          <w:color w:val="000000"/>
          <w:sz w:val="20"/>
        </w:rPr>
        <w:t>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Recent executive and judicial changes and flux in the regulatory landscape creates uncertainty for us and our industry.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current administration is pursuing policies to reduce regulations and expenditures across government including at HHS, FDA, CMS and related agencies. These actions, primarily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have included directives and actions to reduce agency workforce, program cuts, rescinding a Biden administration executive order tasking the Center for Medicare &amp; Medicaid Innovation to consider new payment and healthcare models to limit drug spending, eliminating the Biden administration’s executive order that directed HHS to establish an AI task force and develop a strategic plan and directing certain federal agencies to enforce existing law regarding hospital and price plan transparency and by standardizing prices across hospitals and health plans and, as part of the Make America Healthy Again (also referred to as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w:t>
      </w:r>
      <w:r>
        <w:rPr>
          <w:rFonts w:ascii="Times New Roman;serif" w:hAnsi="Times New Roman;serif"/>
          <w:b w:val="false"/>
          <w:i/>
          <w:color w:val="000000"/>
          <w:sz w:val="20"/>
        </w:rPr>
        <w:t>Loper Bright</w:t>
      </w:r>
      <w:r>
        <w:rPr>
          <w:rFonts w:ascii="Times New Roman;serif" w:hAnsi="Times New Roman;serif"/>
          <w:b w:val="false"/>
          <w:color w:val="000000"/>
          <w:sz w:val="20"/>
        </w:rPr>
        <w:t xml:space="preserve">, the U.S. Supreme Court 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under which courts were required to give deference to regulatory agencies’ reasonable interpretations of ambiguous federal statutes. The </w:t>
      </w:r>
      <w:r>
        <w:rPr>
          <w:rFonts w:ascii="Times New Roman;serif" w:hAnsi="Times New Roman;serif"/>
          <w:b w:val="false"/>
          <w:i/>
          <w:color w:val="000000"/>
          <w:sz w:val="20"/>
        </w:rPr>
        <w:t>Loper Bright</w:t>
      </w:r>
      <w:r>
        <w:rPr>
          <w:color w:val="000000"/>
        </w:rPr>
        <w:t xml:space="preserve"> </w:t>
      </w:r>
      <w:r>
        <w:rPr>
          <w:rFonts w:ascii="Times New Roman;serif" w:hAnsi="Times New Roman;serif"/>
          <w:b w:val="false"/>
          <w:color w:val="000000"/>
          <w:sz w:val="20"/>
        </w:rPr>
        <w:t>decision could result in additional legal challenges to current regulations and guidance issued by federal agencies applicable to our operations, including those issued by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In addition, policymakers and federal agencies, including the Centers for Medicare &amp; Medicaid Innovation, have signaled interest in testing or advancing new drug pricing models—such as so-called “most favored nation” or international reference pricing approaches—that would tie U.S. reimbursement levels to prices in foreign markets. Any such initiatives, if implemented, could reduce reimbursement for certain products, exert downward pricing pressure, and adversely affect our revenues and profitability.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the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CMS has issued final guidance implementing the Drug Price Negotiation Program in which it finalized certain policies governing the selection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drugs for negotiation. Among other things, CMS finalized definitions of “qualifying single source drug” and “marketed” that, especially if they persist, could further disincentivize innovation. In addition, under the Medicaid Drug Rebate Program, rebates owed by manufacturers are no longer subject to a cap on the rebate amount effective January 1, 2024, which may adversely affect our rebate liability. The foregoing may negatively impact our overall rebate and discount liability, which would have a negative adverse effect on our revenues.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On July 4, 2025, President Trump signed into law H.R.1, a budget bill, which includes significant reforms to Medicaid, Medicare, and </w:t>
      </w:r>
      <w:r>
        <w:rPr>
          <w:rFonts w:ascii="Times New Roman;serif" w:hAnsi="Times New Roman;serif"/>
          <w:b w:val="false"/>
          <w:color w:val="000000"/>
          <w:sz w:val="20"/>
        </w:rPr>
        <w:t>Affordable Care Act</w:t>
      </w:r>
      <w:r>
        <w:rPr>
          <w:color w:val="000000"/>
          <w:shd w:fill="FFFFFF" w:val="clear"/>
        </w:rPr>
        <w:t xml:space="preserve"> </w:t>
      </w:r>
      <w:r>
        <w:rPr>
          <w:rFonts w:ascii="Times New Roman;serif" w:hAnsi="Times New Roman;serif"/>
          <w:b w:val="false"/>
          <w:color w:val="000000"/>
          <w:sz w:val="20"/>
          <w:shd w:fill="FFFFFF" w:val="clear"/>
        </w:rPr>
        <w:t>premium tax credits. Among other things, these reforms are anticipated to significantly decrease Medicaid spending, which could reduce access to and reimbursement for our products, which could have a negative adverse effect on our revenues.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 Moreover, on April 15, 2025, the White House issued an executive order announcing a number of initiatives seeking to lower drug pricing. In addition, there has been recent interest in incorporating so-called Most Favored Nation pricing into the U.S. healthcare system, under which prices for drugs in the United States could be tied to foreign reference prices through a mechanism that is not yet defined, announced in a second executive order dated May</w:t>
      </w:r>
      <w:r>
        <w:rPr>
          <w:color w:val="000000"/>
        </w:rPr>
        <w:t> </w:t>
      </w:r>
      <w:r>
        <w:rPr>
          <w:rFonts w:ascii="Times New Roman;serif" w:hAnsi="Times New Roman;serif"/>
          <w:b w:val="false"/>
          <w:color w:val="000000"/>
          <w:sz w:val="20"/>
        </w:rPr>
        <w:t>12,</w:t>
      </w:r>
      <w:r>
        <w:rPr>
          <w:color w:val="000000"/>
        </w:rPr>
        <w:t> </w:t>
      </w:r>
      <w:r>
        <w:rPr>
          <w:rFonts w:ascii="Times New Roman;serif" w:hAnsi="Times New Roman;serif"/>
          <w:b w:val="false"/>
          <w:color w:val="000000"/>
          <w:sz w:val="20"/>
        </w:rPr>
        <w:t>2025.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2025, and there is no guarantee that we will not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Times New Roman;serif" w:hAnsi="Times New Roman;serif"/>
          <w:b w:val="false"/>
          <w:i/>
          <w:color w:val="000000"/>
          <w:sz w:val="20"/>
        </w:rPr>
        <w:t>We are subject to significant ongoing regulatory obligations and oversight, which may subject us to civil or criminal proceedings, investigations, or penalties and may result in significant additional expense and limit our ability to commercialize our products</w:t>
      </w:r>
      <w:r>
        <w:rPr>
          <w:color w:val="000000"/>
        </w:rPr>
        <w:t xml:space="preserve">” </w:t>
      </w:r>
      <w:r>
        <w:rPr>
          <w:rFonts w:ascii="Times New Roman;serif" w:hAnsi="Times New Roman;serif"/>
          <w:b w:val="false"/>
          <w:color w:val="000000"/>
          <w:sz w:val="20"/>
        </w:rPr>
        <w:t>in Part I, Item 1A of our Annual Report on Form 10-K for year ended December 31,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reimbursement price of medicinal products to be assessed against the relative price and cost of treatment of existing standard of care and competitor products, which may hinder the inclusion of newer innovative products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reimbursement lists. On April 26, 2023, the EC adopted proposals for a new Directive and a new Regulation, which revise and replace the existing EU general pharmaceutical legislation. This proposal includes increased transparency on research and development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The European Parliament and the Council of the European Union are currently engaged in interinstitutional negotiations to agree on the final version of the pharmaceutical legislation.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we are an Irish company headquartered in Dublin, Ireland, we derive the majority of our revenues from sales of our products in the U.S. We conduct business globally and our operations, including third-party suppliers, span numerous countries outside the U.S. In particular,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In addition, we rely on our supplier in China for the manufacture of Ziihera.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ongoing trade tensions between the U.S. and other jurisdictions have resulted in multiple rounds of tariffs and anticipated tariffs affecting pharmaceuticals and pharmaceutical ingredients, including finished drug products, manufacturing equipment, and related supplies. Such tariffs may significantly increase our costs for certain products.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Should current tariffs hold or additional tariffs be imposed specifically targeting pharmaceutical imports, such tariffs will result in additional costs on our business, including costs with respect to APIs and other raw materials upon which our business depends and will generally increase our manufacturing costs. In addition, such tariffs will increase our supply chain complexity and could also potentially disrupt our existing supply chain. Moreover, other governments have imposed and may continue to impose retaliatory tariffs, trade restrictions or trade barriers on our products, which may impose additional costs and complexity on our business. In addition,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cannot at this time predict the ultimate impact of such tariffs, we anticipate that that our margins could be adversely affected beginning as early as fiscal 2026, depending on the ultimate scope and duration of tariffs imposed. Additionally, it is possible that such tariffs could affect imports of APIs and other raw materials used in our products, or our business may be adversely impacted by retaliatory trade measures taken by other countries, including restricted access to APIs or other raw materials used in our products, further disrupting our supply chain and increasing our costs. Given the nature of our products, relocating the manufacturing supply in response to tariffs and other trade restrictions would be a complex, costly and time-consuming process making it difficult for us to react quickly to a rapidly changing environment. In this regard, it would take a significant amount of time and expense to implement and execute the necessary technology transfer to, and to qualify, new suppliers for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continued threats of new or increased tariffs, sanctions, trade restrictions and trade barriers as well as ongoing changes in U.S. and foreign government trade policies, including potential modifications to existing trade agreements, have had and may continue to have a generally disruptive impact on the global economy and, therefore, negatively impact revenues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sales of our products. Given the volatility and uncertainty regarding the scope and duration of such tariffs and other aspects of U.S. and foreign government trade policies, the ultimate impact on our operations and financial results is uncertain and could be significant. In any event, further trade restrictions and export regulations, or new or increased tariffs, including further retaliatory measures, could increase our supply chain complexity and our manufacturing costs, decrease our margins, reduce the competitiveness of our products, or restrict our ability to sell our products, provide services or purchase necessary equipment and supplies. Any of these factors could have a material adverse effect on our business, financial condition, results of operations and growth prospects.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realize the anticipated benefits from our acquisition of Chimerix.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21, 2025, we completed the acquisition of all the outstanding shares of Chimerix Common Stock. As a result of this, Chimerix became an indirect wholly owned subsidiary of the Company. The success of the acquisition will depend, in part, on our ability to realize the anticipated benefits from successfully combining our and Chimerix’s operations and we plan on devoting management attention and resources to integrating our business practices and operations with Chimerix’s so that we can fully realize the anticipated benefits of the acquisition. In addition, Modeyso, which we acquired in the acquisition, may not be successful or may require significantly greater resources and investments than originally anticipated. The transaction could also result in the assumption of unknown or contingent liabilities. In addition, difficulties may arise during the process of combining the operations of our companies that could result in the failure to achieve revenue that we anticipate, the loss of key employees that may be difficult to replace in the very competitive pharmaceutical field, the failure to harmonize both companies’ corporate cultures, the disruption of each company’s ongoing businesses or inconsistencies in standards, controls, procedures and policies that adversely affect our ability to maintain relationships with suppliers,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serif" w:hAnsi="Times New Roman;serif"/>
          <w:b w:val="false"/>
          <w:color w:val="212529"/>
          <w:sz w:val="20"/>
        </w:rPr>
        <w:t xml:space="preserve">we may be unable to identify or consummate </w:t>
      </w:r>
      <w:r>
        <w:rPr>
          <w:rFonts w:ascii="Times New Roman;serif" w:hAnsi="Times New Roman;serif"/>
          <w:b w:val="false"/>
          <w:color w:val="000000"/>
          <w:sz w:val="20"/>
        </w:rPr>
        <w:t xml:space="preserve">suitable acquisition or in-licensing opportunities, and </w:t>
      </w:r>
      <w:r>
        <w:rPr>
          <w:rFonts w:ascii="Times New Roman;serif" w:hAnsi="Times New Roman;serif"/>
          <w:b w:val="false"/>
          <w:color w:val="212529"/>
          <w:sz w:val="20"/>
        </w:rPr>
        <w:t xml:space="preserve">this inability could impair our ability to grow our business. </w:t>
      </w:r>
      <w:r>
        <w:rPr>
          <w:rFonts w:ascii="Times New Roman;serif" w:hAnsi="Times New Roman;serif"/>
          <w:b w:val="false"/>
          <w:color w:val="000000"/>
          <w:sz w:val="20"/>
        </w:rPr>
        <w:t xml:space="preserve">Other companies, many of which may have substantially greater financial, sales and marketing resources, compete with us for these opportunities. Even if appropriate opportunities are available, we may not be able to successfully identify them, or we may not have the financial resources necessary to pursue them.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w:t>
      </w:r>
      <w:r>
        <w:rPr>
          <w:rFonts w:ascii="Times New Roman;serif" w:hAnsi="Times New Roman;serif"/>
          <w:b w:val="false"/>
          <w:color w:val="212529"/>
          <w:sz w:val="20"/>
        </w:rPr>
        <w:t xml:space="preserve">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Times New Roman;serif" w:hAnsi="Times New Roman;serif"/>
          <w:b w:val="false"/>
          <w:color w:val="000000"/>
          <w:sz w:val="20"/>
        </w:rPr>
        <w:t>In addition, product and product candidate acquisitions, 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need to incur substantial debt and/or engage in dilutive issuances of equity securities to pay for acquisitions;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need to comply with regulatory requirements, including in some cases clearance from the FTC;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need to secure shareholder approval of the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disruption of our historical core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strain on, and need to continue to expand, our existing operational, technical, financial and administrative infrastructure;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12529"/>
          <w:sz w:val="20"/>
        </w:rPr>
        <w:t>the difficulties in integrating acquired products and product candidates into our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difficulties in assimilating employees and corporate cultures;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failure to retain key managers and other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need to write down assets or recognize impairment charges;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diversion of our management’s attention to integration of operations and corporate and administrative infrastructures;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unanticipated liabilities for activities of or related to the acquired business or its operations, products or product candidates.</w:t>
      </w:r>
    </w:p>
    <w:p>
      <w:pPr>
        <w:pStyle w:val="TextBody"/>
        <w:bidi w:val="0"/>
        <w:spacing w:lineRule="auto" w:line="288" w:before="120" w:after="283"/>
        <w:ind w:left="0" w:right="0" w:firstLine="495"/>
        <w:jc w:val="left"/>
        <w:rPr/>
      </w:pPr>
      <w:r>
        <w:rPr>
          <w:rFonts w:ascii="Times New Roman;serif" w:hAnsi="Times New Roman;serif"/>
          <w:b w:val="false"/>
          <w:color w:val="212529"/>
          <w:sz w:val="20"/>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Times New Roman;serif" w:hAnsi="Times New Roman;serif"/>
          <w:b w:val="false"/>
          <w:color w:val="000000"/>
          <w:sz w:val="20"/>
        </w:rPr>
        <w:t xml:space="preserve">For example, in May 2021, we made a substantial investment in Epidiolex and certain other products and technologies acquired in our acquisition of GW. </w:t>
      </w:r>
      <w:r>
        <w:rPr>
          <w:rFonts w:ascii="Times New Roman;serif" w:hAnsi="Times New Roman;serif"/>
          <w:b w:val="false"/>
          <w:color w:val="000000"/>
          <w:sz w:val="20"/>
          <w:shd w:fill="FFFFFF" w:val="clear"/>
        </w:rPr>
        <w:t>The total consideration paid by us for the entire issued share capital of GW was $7.2 billion.</w:t>
      </w:r>
      <w:r>
        <w:rPr>
          <w:color w:val="000000"/>
        </w:rPr>
        <w:t xml:space="preserve"> </w:t>
      </w:r>
      <w:r>
        <w:rPr>
          <w:rFonts w:ascii="Times New Roman;serif" w:hAnsi="Times New Roman;serif"/>
          <w:b w:val="false"/>
          <w:color w:val="000000"/>
          <w:sz w:val="20"/>
        </w:rPr>
        <w:t>Additionally, in April 2025, we completed our acquisition of Chimerix, a biopharmaceutical company the lead asset of which was Modeyso, a novel first-in-class small molecule treatment of adult and pediatric patients 1 year of age and older for H3 K27M-mutant diffuse glioma, a rare, high-grade brain tumor that most commonly affects children and young adults. The total consideration paid by us for the outstanding shares of Chimerix Common Stock was $944.2 million. T</w:t>
      </w:r>
      <w:r>
        <w:rPr>
          <w:rFonts w:ascii="Times New Roman;serif" w:hAnsi="Times New Roman;serif"/>
          <w:b w:val="false"/>
          <w:color w:val="000000"/>
          <w:sz w:val="20"/>
          <w:shd w:fill="FFFFFF" w:val="clear"/>
        </w:rPr>
        <w:t xml:space="preserve">he success of our acquisition of GW and Chimerix will depend, in part, on our ability to realize the anticipated benefits from each of the acquisitions, which benefits may not be realized at the expected levels within the expected timeframe, or at all, or may take longer to realize or cost more than expected, which could materially and adversely affect our business, financial condition, results of operations and growth prospects. </w:t>
      </w:r>
      <w:r>
        <w:rPr>
          <w:rFonts w:ascii="Times New Roman;serif" w:hAnsi="Times New Roman;serif"/>
          <w:b w:val="false"/>
          <w:color w:val="000000"/>
          <w:sz w:val="20"/>
        </w:rPr>
        <w:t>In this regard, in the third quarter of 2022, we recorded a $133.6 million asset impairment charge as a result of the decision to discontinue the nabiximols program that we acquired as part of our acquisition of GW. In any event, f</w:t>
      </w:r>
      <w:r>
        <w:rPr>
          <w:rFonts w:ascii="Times New Roman;serif" w:hAnsi="Times New Roman;serif"/>
          <w:b w:val="false"/>
          <w:color w:val="212529"/>
          <w:sz w:val="20"/>
        </w:rPr>
        <w:t xml:space="preserve">ailure to manage effectively our growth through acquisitions or in-licensing transactions could adversely affect our growth prospects, business, results of operations and financial condition.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It is difficult and costly to protect our proprietary rights, and we may not be able to ensure their protection.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degree of protection to be afforded by our proprietary rights is difficult to predict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patent applications, or those of our licensors or partners, may not result in issued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issued patents, or those of our licensors or partners, may be held invalid or unenforceable as a result of legal challenges by third parties or may be vulnerable to legal challenges as a result of changes in applicable law;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patents covering certain aspects of our products or the use thereof could be delisted from FDA's Orange Book as a result of challenges by third parties before FDA or the courts;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competitors may manufacture products in countries where we have not applied for patent protection or that have a different scope of patent protection or that do not respect our patents;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issued patents that prevent the sale of our products or require licensing and the payment of significant fees or royalties.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For additional information on litigation involving these matters, see Note 10, Commitments and Contingencies—Legal Proceedings of the Notes to Consolidated Financial Statements, included in Part I of this Quarterly Report on Form 10-Q.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Since Xyrem’s regulatory exclusivity has expired in the EU, we are aware that generic or hybrid generic applications have been approved by various EU regulatory authorities, and additional generic or hybrid generic applications may be submitted and approved.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Notwithstanding our patents listed in FDA’s Orange Book for Epidiolex and settlement agreements, additional third parties may also attempt to introduce generic versions of Epidiolex that design around our patents or assert that our patents are invalid or otherwise unenforceable.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For additional information on litigation involving this matter, see Note 10, Commitments and Contingencies—Legal Proceedings of the Notes to Consolidated Financial Statements, included in Part I of this Quarterly Report on Form 10-Q.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have entered into a settlement agreement with Avadel involving, among other matters, our patent infringement suit against Avadel and several of its corporate affiliates in the United States District Court for the District of Delaware. For additional information on litigation involving this matter, see “</w:t>
      </w:r>
      <w:r>
        <w:rPr>
          <w:rFonts w:ascii="Times New Roman;serif" w:hAnsi="Times New Roman;serif"/>
          <w:b w:val="false"/>
          <w:i/>
          <w:color w:val="000000"/>
          <w:sz w:val="20"/>
        </w:rPr>
        <w:t>Avadel Litigation</w:t>
      </w:r>
      <w:r>
        <w:rPr>
          <w:color w:val="000000"/>
        </w:rPr>
        <w:t xml:space="preserve">” </w:t>
      </w:r>
      <w:r>
        <w:rPr>
          <w:rFonts w:ascii="Times New Roman;serif" w:hAnsi="Times New Roman;serif"/>
          <w:b w:val="false"/>
          <w:color w:val="000000"/>
          <w:sz w:val="20"/>
        </w:rPr>
        <w:t>in Note 10, Commitments and Contingencies—Legal Proceedings of the Notes to Consolidated Financial Statements, included in Part I of this Quarterly Report on Form 10</w:t>
        <w:noBreakHyphen/>
        <w:t xml:space="preserve">Q.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July and August 2024, Zepzelca ANDA filers sent us notices that they had filed ANDAs seeking approval to market a generic version of Zepzelca (lurbinectedin), which notices each included a paragraph IV certification with respect to our Orange Book listed patent for Zepzelca on the date of the receipt of the applicable notice. In September 2024, we filed patent infringement suits against these ANDA filers. For additional information on litigation involving this matter, see “</w:t>
      </w:r>
      <w:r>
        <w:rPr>
          <w:rFonts w:ascii="Times New Roman;serif" w:hAnsi="Times New Roman;serif"/>
          <w:b w:val="false"/>
          <w:i/>
          <w:color w:val="000000"/>
          <w:sz w:val="20"/>
        </w:rPr>
        <w:t>Zepzelca Patent Litigation</w:t>
      </w:r>
      <w:r>
        <w:rPr>
          <w:color w:val="000000"/>
        </w:rPr>
        <w:t xml:space="preserve">” </w:t>
      </w:r>
      <w:r>
        <w:rPr>
          <w:rFonts w:ascii="Times New Roman;serif" w:hAnsi="Times New Roman;serif"/>
          <w:b w:val="false"/>
          <w:color w:val="000000"/>
          <w:sz w:val="20"/>
        </w:rPr>
        <w:t>in Note 10, Commitments and Contingencies—Legal Proceedings of the Notes to Consolidated Financial Statements, included in Part I of this Quarterly Report on Form 10</w:t>
        <w:noBreakHyphen/>
        <w:t xml:space="preserve">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Disruptions at FDA, the SEC and other government agencies and regulatory authorities including due to a reduction in such agencies’ workforces, inadequate funding or the current and potential future government shutdowns, could prevent those agencies from performing normal functions on which our business relies, which could negatively impact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FDA to review and approve new products or review other regulatory submissions can be affected by a variety of factors, including statutory, regulatory and policy changes, inadequate government budget and funding levels, government shutdowns,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the SEC and other government agencies and regulatory authorities on which our operations may rely. For example, in October 2025, the U.S. government shut down and certain regulatory agencies, including FDA, had to furlough critical employees and stop critical activities. If the current government shutdown is prolonged, or a prolonged government shutdown occurs in the future, it could significantly impact the ability of FDA to review and process our regulatory submissions, which could have a material adverse effect on our business. It is unclear how these executive actions or other potential actions by the Trump Administration or other parts of the federal government will impact FDA, the SEC or other regulatory authorities that oversee our business. The reductions in FDA’s workforce and budgetary pressures could significantly impact the ability of FDA to timely review and process our regulatory submissions or take other actions critical to the marketing of our products which could have a material adverse effect on our business.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to tax laws relating to multinational corporations could adversely affect 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U.S. Congress, the EU, the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One example is the OECD’s initiative in the area of “base erosion and profit shifting,” including the 15% global minimum tax under Pillar Two. In December 2022, the EU agreed to implement this global minimum tax rate for EU member states by the start of 2024. In accordance with the EU directive, Ireland adopted legislation implementing Pillar Two on December 18, 2023, with effect from the start of 2024. Other jurisdictions in which we do business have also adopted legislation implementing certain key aspects of Pillar Two. Pillar Two legislation could have an adverse impact on our effective tax rate, tax liabilities, and cash tax and may increase our compliance costs.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Further, the IRA, among other things, introduced new tax provisions, including a 15% corporate alternative minimum tax for certain large corporations, and a 1% excise tax on certain share repurchases by publicly traded corporations, including certain repurchases by specified domestic affiliates of publicly traded foreign corporations. These provisions became effective in 2023. The IRS has issued limited guidance on the corporate alternative minimum tax, the excise tax and the other tax provisions in the IRA, and much of this guidance has yet to be finalized. Final guidance under the IRA could adversely affect our tax provision, cash tax liability and effective tax rate.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U.S. and other jurisdictions in which we operate continue to consider other changes in tax laws and regulations that apply to multinationals, including proposed legislation and guidance with respect to research and development expenditures and other guidance under the 2017 Tax Cuts and Jobs Act. On July 4, 2025, the U.S. adopted legislation that extended certain provisions of the 2017 Tax Cuts and Jobs Act, which would otherwise have expired on December 31, 2025, and introduced a number of other changes to U.S. tax laws, including immediate expensing of domestic research and experimentation expenditures. The new legislation also introduced certain amendments to the foreign-derived intangible income provisions, with effect as of 2026. We are still evaluating the effect of the new legislation on our tax provision, cash tax liability and effective tax rate.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Use of Proceeds, and Issuer Purchases of Equity Securities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2024, we announced that our board of directors had authorized the New Repurchase Program pursuant to which our board of directors authorized us to repurchase our ordinary shares for up to an aggregate purchase price of $500.0 million, exclusive of any brokerage commissions. Under the New Repurchase Program, which has no expiration date, we may repurchase our ordinary shares from time to time by any methods and/or structures permitted by applicable law. During the three months ended September 30, 2025, we did not repurchase any of our ordinary shares. As of September 30, 2025, the remaining amount authorized under the New Repurchase Program was $225.0 million.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New Repurchase Program may be modified, suspended or discontinued at any time without our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270"/>
        <w:gridCol w:w="238"/>
        <w:gridCol w:w="239"/>
        <w:gridCol w:w="2860"/>
        <w:gridCol w:w="2808"/>
        <w:gridCol w:w="3790"/>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w:t>
              <w:br/>
              <w:t>Number</w:t>
            </w:r>
          </w:p>
        </w:tc>
        <w:tc>
          <w:tcPr>
            <w:tcW w:w="9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Document</w:t>
            </w:r>
          </w:p>
        </w:tc>
      </w:tr>
      <w:tr>
        <w:trPr/>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Transaction Agreement, dated as of February 3, 2021, by and among Jazz Pharmaceuticals UK Holdings Limited, Jazz Pharmaceuticals Public Limited Company and GW Pharmaceuticals PLC (incorporated herein by reference to Exhibit 2.1 in Jazz Pharmaceuticals plc’s Current Report on Form 8-K (File No. 001-33500), as filed with the SEC on February 4, 2021).</w:t>
              </w:r>
            </w:hyperlink>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March 4, 2025, by and among Chimerix, Inc, Jazz Pharmaceuticals Public Limited Company, and Pinetree Acquisition Sub, Inc. (incorporated by reference to Exhibit 2.1 in Jazz Pharmaceuticals plc’s Current Report on Form 8-K (File No. 001-33500), as filed with the SEC on March 5, 2025).</w:t>
              </w:r>
            </w:hyperlink>
          </w:p>
        </w:tc>
      </w:tr>
      <w:tr>
        <w:trPr/>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Memorandum and Articles of Association of Jazz Pharmaceuticals plc, as amended on August 4, 2016 (incorporated herein by reference to Exhibit 3.1 in Jazz Pharmaceuticals plc’s Quarterly Report on Form 10-Q (File No. 001-33500) for the period ended June 30, 2016, as filed with the SEC on August 9, 2016).</w:t>
              </w:r>
            </w:hyperlink>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jazzq32025ex101.htm">
              <w:r>
                <w:rPr>
                  <w:rStyle w:val="InternetLink"/>
                  <w:rFonts w:ascii="Times New Roman;serif" w:hAnsi="Times New Roman;serif"/>
                  <w:b w:val="false"/>
                  <w:color w:val="0000FF"/>
                  <w:sz w:val="20"/>
                  <w:u w:val="single"/>
                </w:rPr>
                <w:t>Amended and Restated Non-Employee Director Compensation Policy (approved October 23, 2025).</w:t>
              </w:r>
            </w:hyperlink>
          </w:p>
        </w:tc>
      </w:tr>
      <w:tr>
        <w:trPr/>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jazzq32025ex311.htm">
              <w:r>
                <w:rPr>
                  <w:rStyle w:val="InternetLink"/>
                  <w:rFonts w:ascii="Times New Roman;serif" w:hAnsi="Times New Roman;serif"/>
                  <w:b w:val="false"/>
                  <w:color w:val="0000FF"/>
                  <w:sz w:val="20"/>
                  <w:u w:val="single"/>
                </w:rPr>
                <w:t>Certification of Chief Executive Officer pursuant to Rules 13a-14(a) and 15d-14(a) promulgated under the Securities Exchange Act of 1934, as amended.</w:t>
              </w:r>
            </w:hyperlink>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jazzq32025ex312.htm">
              <w:r>
                <w:rPr>
                  <w:rStyle w:val="InternetLink"/>
                  <w:rFonts w:ascii="Times New Roman;serif" w:hAnsi="Times New Roman;serif"/>
                  <w:b w:val="false"/>
                  <w:color w:val="0000FF"/>
                  <w:sz w:val="20"/>
                  <w:u w:val="single"/>
                </w:rPr>
                <w:t>Certification of Chief Financial Officer pursuant to Rules 13a-14(a) and 15d-14(a) promulgated under the Securities Exchange Act of 1934, as amended.</w:t>
              </w:r>
            </w:hyperlink>
          </w:p>
        </w:tc>
      </w:tr>
      <w:tr>
        <w:trPr/>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jazzq32025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w:t>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0"/>
        <w:jc w:val="left"/>
        <w:rPr/>
      </w:pPr>
      <w:r>
        <w:rPr/>
      </w:r>
    </w:p>
    <w:p>
      <w:pPr>
        <w:pStyle w:val="TextBody"/>
        <w:bidi w:val="0"/>
        <w:spacing w:lineRule="auto" w:line="240"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Certain portions of this exhibit have been omitted pursuant to Item 601(b)(2) of Regulation S-K.</w:t>
      </w:r>
    </w:p>
    <w:p>
      <w:pPr>
        <w:pStyle w:val="TextBody"/>
        <w:bidi w:val="0"/>
        <w:spacing w:before="0" w:after="60"/>
        <w:ind w:left="0" w:right="0" w:hanging="540"/>
        <w:jc w:val="left"/>
        <w:rPr/>
      </w:pPr>
      <w:r>
        <w:rPr/>
      </w:r>
    </w:p>
    <w:p>
      <w:pPr>
        <w:pStyle w:val="TextBody"/>
        <w:bidi w:val="0"/>
        <w:spacing w:lineRule="auto" w:line="312"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before="0" w:after="0"/>
        <w:ind w:left="0" w:right="0" w:hanging="540"/>
        <w:jc w:val="left"/>
        <w:rPr/>
      </w:pPr>
      <w:r>
        <w:rPr/>
      </w:r>
    </w:p>
    <w:p>
      <w:pPr>
        <w:pStyle w:val="TextBody"/>
        <w:bidi w:val="0"/>
        <w:spacing w:lineRule="auto" w:line="288"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accompanies this Quarterly Report on Form 10</w:t>
        <w:noBreakHyphen/>
        <w:t>Q pursuant to 18 U.S.C. Section 1350, as adopted pursuant to Section 906 of the Sarbanes-Oxley Act of 2002, and shall not be deemed “filed” by the Registrant for purposes of Section 18 of the Securities Exchange Act of 1934, as amended.</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9dd33b7df0e41ce97d31d564413af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p>
      <w:pPr>
        <w:pStyle w:val="TextBody"/>
        <w:bidi w:val="0"/>
        <w:spacing w:lineRule="auto" w:line="288" w:before="0" w:after="0"/>
        <w:jc w:val="left"/>
        <w:rPr>
          <w:color w:val="000000"/>
        </w:rPr>
      </w:pPr>
      <w:r>
        <w:rPr>
          <w:color w:val="000000"/>
        </w:rPr>
        <w:t> </w:t>
      </w:r>
    </w:p>
    <w:tbl>
      <w:tblPr>
        <w:tblW w:w="5429" w:type="dxa"/>
        <w:jc w:val="right"/>
        <w:tblInd w:w="0" w:type="dxa"/>
        <w:tblLayout w:type="fixed"/>
        <w:tblCellMar>
          <w:top w:w="28" w:type="dxa"/>
          <w:left w:w="28" w:type="dxa"/>
          <w:bottom w:w="28" w:type="dxa"/>
          <w:right w:w="28" w:type="dxa"/>
        </w:tblCellMar>
      </w:tblPr>
      <w:tblGrid>
        <w:gridCol w:w="1738"/>
        <w:gridCol w:w="1528"/>
        <w:gridCol w:w="2163"/>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JAZZ PHARMACEUTICALS PUBLIC LIMITED COMPANY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Renée Galá</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Renée Galá</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President and Chief Executive Officer and Director</w:t>
              <w:br/>
              <w:t>(Principal Executive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L. Johnson</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br/>
              <w:t>(Principal Financial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Carr</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Carr</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240"/>
        <w:jc w:val="center"/>
        <w:rPr/>
      </w:pPr>
      <w:r>
        <w:rPr/>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JAZZ PHARMACEUTICALS PLC</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NON-EMPLOYEE DIRECTOR COMPENSATION POLICY</w:t>
      </w:r>
    </w:p>
    <w:p>
      <w:pPr>
        <w:pStyle w:val="TextBody"/>
        <w:bidi w:val="0"/>
        <w:spacing w:lineRule="auto" w:line="333" w:before="0" w:after="200"/>
        <w:ind w:left="0" w:right="0" w:firstLine="720"/>
        <w:jc w:val="left"/>
        <w:rPr/>
      </w:pPr>
      <w:r>
        <w:rPr>
          <w:rFonts w:ascii="Times New Roman;serif" w:hAnsi="Times New Roman;serif"/>
          <w:b w:val="false"/>
          <w:color w:val="000000"/>
          <w:sz w:val="22"/>
        </w:rPr>
        <w:t>Non-employee members of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of Jazz Pharmaceuticals plc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shall be eligible to receive cash and equity compensation as set forth in this Non-Employee Director Compensation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Times New Roman;serif" w:hAnsi="Times New Roman;serif"/>
          <w:b/>
          <w:i/>
          <w:color w:val="000000"/>
          <w:sz w:val="22"/>
        </w:rPr>
        <w:t>Non-Employee Director</w:t>
      </w:r>
      <w:r>
        <w:rPr>
          <w:color w:val="000000"/>
        </w:rPr>
        <w:t>”</w:t>
      </w:r>
      <w:r>
        <w:rPr>
          <w:rFonts w:ascii="Times New Roman;serif" w:hAnsi="Times New Roman;serif"/>
          <w:b w:val="false"/>
          <w:color w:val="000000"/>
          <w:sz w:val="22"/>
        </w:rPr>
        <w:t>) who may be eligible to receive such cash compensation or equity grants, unless such Non-Employee Director declines the receipt of such cash compensation or equity grants by written notice to the Company. This Policy shall remain in effect until it is revised or rescinded by further action of the Board.</w:t>
      </w:r>
    </w:p>
    <w:p>
      <w:pPr>
        <w:pStyle w:val="TextBody"/>
        <w:bidi w:val="0"/>
        <w:spacing w:lineRule="auto" w:line="333" w:before="0" w:after="200"/>
        <w:ind w:left="0" w:right="0" w:hanging="360"/>
        <w:jc w:val="left"/>
        <w:rPr/>
      </w:pPr>
      <w:r>
        <w:rPr>
          <w:rFonts w:ascii="Times New Roman;serif" w:hAnsi="Times New Roman;serif"/>
          <w:b w:val="false"/>
          <w:color w:val="000000"/>
          <w:sz w:val="22"/>
        </w:rPr>
        <w:t xml:space="preserve">1. </w:t>
      </w:r>
      <w:r>
        <w:rPr>
          <w:rFonts w:ascii="Times New Roman;serif" w:hAnsi="Times New Roman;serif"/>
          <w:b w:val="false"/>
          <w:color w:val="000000"/>
          <w:sz w:val="22"/>
          <w:u w:val="single"/>
        </w:rPr>
        <w:t>Cash Compensation</w:t>
      </w:r>
      <w:r>
        <w:rPr>
          <w:rFonts w:ascii="Times New Roman;serif" w:hAnsi="Times New Roman;serif"/>
          <w:b w:val="false"/>
          <w:color w:val="000000"/>
          <w:sz w:val="22"/>
        </w:rPr>
        <w:t>.</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Subject to Section 1(b) and Section 3 below, each Non-Employee Director shall be eligible to receive cash compensation of $75,000 for service on the Board. In addition, a Non-Employee Director serving as:</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 lead independent director of the Board shall be eligible to receive additional cash compensation of $50,000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 chairperson of the Board shall be eligible to receive additional cash compensation of $100,000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(iii) chairperson of the Audit Committee shall be eligible to receive additional cash compensation of $25,000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(iv) members (other than the chairperson) of the Audit Committee shall be eligible to receive additional cash compensation of $15,000 per year for such service;</w:t>
      </w:r>
    </w:p>
    <w:p>
      <w:pPr>
        <w:pStyle w:val="TextBody"/>
        <w:bidi w:val="0"/>
        <w:spacing w:lineRule="auto" w:line="333" w:before="0" w:after="200"/>
        <w:ind w:left="0" w:right="0" w:hanging="720"/>
        <w:jc w:val="left"/>
        <w:rPr/>
      </w:pPr>
      <w:r>
        <w:rPr>
          <w:rFonts w:ascii="Times New Roman;serif" w:hAnsi="Times New Roman;serif"/>
          <w:b w:val="false"/>
          <w:color w:val="000000"/>
          <w:sz w:val="22"/>
        </w:rPr>
        <w:t>(v) chairperson of the Compensation &amp; Management Development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shall be eligible to receive additional cash compensation of $25,000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(vi) members (other than the chairperson) of the Compensation Committee shall be eligible to receive additional cash compensation of $12,500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(vii) chairperson of the Nominating and Corporate Governance Committee shall be eligible to receive additional cash compensation of $20,000 per year for such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(viii) members (other than the chairperson) of the Nominating and Corporate Governance Committee shall be eligible to receive additional cash compensation of $10,000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(ix) chairperson of the Science &amp; Medicine Committee shall be eligible to receive additional cash compensation of $25,000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(x) members (other than the chairperson of the Science &amp; Medicine Committee) shall be eligible to receive additional cash compensation of $12,500 per year for such service;</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(xi) chairperson of the Transaction Committee shall be eligible to receive additional cash compensation of $5,000 per meeting up to $20,000 per year for such service; and</w:t>
      </w:r>
    </w:p>
    <w:p>
      <w:pPr>
        <w:pStyle w:val="TextBody"/>
        <w:bidi w:val="0"/>
        <w:spacing w:lineRule="auto" w:line="333" w:before="0" w:after="20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(xii) members (other than the chairperson) of the Transaction Committee shall be eligible to receive additional cash compensation of $2,500 per meeting up to $10,000 per year for such service.</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additional cash compensation for the Non-Employee Director’s service on the Committees other than the Transaction Committee shall be paid in four equal quarterly installments, earned upon the completion of service in each calendar quarter. The additional cash compensation for the Non-Employee Director’s service on the Transaction Committee shall be paid in four quarterly installments, earned upon the completion of services in each calendar quarter.</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pStyle w:val="TextBody"/>
        <w:bidi w:val="0"/>
        <w:spacing w:lineRule="auto" w:line="333" w:before="0" w:after="200"/>
        <w:ind w:left="0" w:right="0" w:firstLine="720"/>
        <w:jc w:val="left"/>
        <w:rPr/>
      </w:pPr>
      <w:r>
        <w:rPr>
          <w:rFonts w:ascii="Times New Roman;serif" w:hAnsi="Times New Roman;serif"/>
          <w:b w:val="false"/>
          <w:color w:val="000000"/>
          <w:sz w:val="22"/>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Times New Roman;serif" w:hAnsi="Times New Roman;serif"/>
          <w:b/>
          <w:i/>
          <w:color w:val="000000"/>
          <w:sz w:val="22"/>
        </w:rPr>
        <w:t>Revenue</w:t>
      </w:r>
      <w:r>
        <w:rPr>
          <w:color w:val="000000"/>
        </w:rPr>
        <w:t>”</w:t>
      </w:r>
      <w:r>
        <w:rPr>
          <w:rFonts w:ascii="Times New Roman;serif" w:hAnsi="Times New Roman;serif"/>
          <w:b w:val="false"/>
          <w:color w:val="000000"/>
          <w:sz w:val="22"/>
        </w:rPr>
        <w:t>), each Non-Employee Director will be entitled to a payment, up to an amount (“</w:t>
      </w:r>
      <w:r>
        <w:rPr>
          <w:rFonts w:ascii="Times New Roman;serif" w:hAnsi="Times New Roman;serif"/>
          <w:b/>
          <w:i/>
          <w:color w:val="000000"/>
          <w:sz w:val="22"/>
        </w:rPr>
        <w:t>Tax Reimbursement Payment</w:t>
      </w:r>
      <w:r>
        <w:rPr>
          <w:color w:val="000000"/>
        </w:rPr>
        <w:t>”</w:t>
      </w:r>
      <w:r>
        <w:rPr>
          <w:rFonts w:ascii="Times New Roman;serif" w:hAnsi="Times New Roman;serif"/>
          <w:b w:val="false"/>
          <w:color w:val="000000"/>
          <w:sz w:val="22"/>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pStyle w:val="TextBody"/>
        <w:bidi w:val="0"/>
        <w:spacing w:lineRule="auto" w:line="333" w:before="0" w:after="200"/>
        <w:jc w:val="left"/>
        <w:rPr/>
      </w:pPr>
      <w:r>
        <w:rPr>
          <w:rFonts w:ascii="Times New Roman;serif" w:hAnsi="Times New Roman;serif"/>
          <w:b w:val="false"/>
          <w:color w:val="000000"/>
          <w:sz w:val="22"/>
        </w:rPr>
        <w:t xml:space="preserve">2. </w:t>
      </w:r>
      <w:r>
        <w:rPr>
          <w:rFonts w:ascii="Times New Roman;serif" w:hAnsi="Times New Roman;serif"/>
          <w:b w:val="false"/>
          <w:color w:val="000000"/>
          <w:sz w:val="22"/>
          <w:u w:val="single"/>
        </w:rPr>
        <w:t>Equity Compensation</w:t>
      </w:r>
      <w:r>
        <w:rPr>
          <w:rFonts w:ascii="Times New Roman;serif" w:hAnsi="Times New Roman;serif"/>
          <w:b w:val="false"/>
          <w:color w:val="000000"/>
          <w:sz w:val="22"/>
        </w:rPr>
        <w:t>. The restricted stock unit (“</w:t>
      </w:r>
      <w:r>
        <w:rPr>
          <w:rFonts w:ascii="Times New Roman;serif" w:hAnsi="Times New Roman;serif"/>
          <w:b/>
          <w:i/>
          <w:color w:val="000000"/>
          <w:sz w:val="22"/>
        </w:rPr>
        <w:t>RSU</w:t>
      </w:r>
      <w:r>
        <w:rPr>
          <w:color w:val="000000"/>
        </w:rPr>
        <w:t>”</w:t>
      </w:r>
      <w:r>
        <w:rPr>
          <w:rFonts w:ascii="Times New Roman;serif" w:hAnsi="Times New Roman;serif"/>
          <w:b w:val="false"/>
          <w:color w:val="000000"/>
          <w:sz w:val="22"/>
        </w:rPr>
        <w:t>) awards described below shall be granted under and shall be subject to the terms and provisions of the Company’s Amended and Restated 2007 Non-Employee Directors Stock Award Plan (the “</w:t>
      </w:r>
      <w:r>
        <w:rPr>
          <w:rFonts w:ascii="Times New Roman;serif" w:hAnsi="Times New Roman;serif"/>
          <w:b/>
          <w:i/>
          <w:color w:val="000000"/>
          <w:sz w:val="22"/>
        </w:rPr>
        <w:t>NEDSAP</w:t>
      </w:r>
      <w:r>
        <w:rPr>
          <w:color w:val="000000"/>
        </w:rPr>
        <w:t>”</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Eligibility</w:t>
      </w:r>
      <w:r>
        <w:rPr>
          <w:rFonts w:ascii="Times New Roman;serif" w:hAnsi="Times New Roman;serif"/>
          <w:b w:val="false"/>
          <w:color w:val="000000"/>
          <w:sz w:val="22"/>
        </w:rPr>
        <w:t>. Subject to Section 3 below, beginning with the annual general meeting of the Company’s shareholders (an “</w:t>
      </w:r>
      <w:r>
        <w:rPr>
          <w:rFonts w:ascii="Times New Roman;serif" w:hAnsi="Times New Roman;serif"/>
          <w:b/>
          <w:i/>
          <w:color w:val="000000"/>
          <w:sz w:val="22"/>
        </w:rPr>
        <w:t>AGM</w:t>
      </w:r>
      <w:r>
        <w:rPr>
          <w:color w:val="000000"/>
        </w:rPr>
        <w:t>”</w:t>
      </w:r>
      <w:r>
        <w:rPr>
          <w:rFonts w:ascii="Times New Roman;serif" w:hAnsi="Times New Roman;serif"/>
          <w:b w:val="false"/>
          <w:color w:val="000000"/>
          <w:sz w:val="22"/>
        </w:rPr>
        <w:t>) held in 2021, each person who is a Non-Employee Director at an AGM and who continues as a Non-Employee Director following such meeting automatically shall be granted an RSU award (an “</w:t>
      </w:r>
      <w:r>
        <w:rPr>
          <w:rFonts w:ascii="Times New Roman;serif" w:hAnsi="Times New Roman;serif"/>
          <w:b/>
          <w:i/>
          <w:color w:val="000000"/>
          <w:sz w:val="22"/>
        </w:rPr>
        <w:t>Annual Grant</w:t>
      </w:r>
      <w:r>
        <w:rPr>
          <w:color w:val="000000"/>
        </w:rPr>
        <w:t>”</w:t>
      </w:r>
      <w:r>
        <w:rPr>
          <w:rFonts w:ascii="Times New Roman;serif" w:hAnsi="Times New Roman;serif"/>
          <w:b w:val="false"/>
          <w:color w:val="000000"/>
          <w:sz w:val="22"/>
        </w:rPr>
        <w:t>) on the grant date set forth in Section 2(b) below. In addition, subject to Section 3 below, each person who is elected or appointed to be a Non-Employee Director for the first time other than at an AGM and after the AGM held in 2021, automatically shall be granted a prorated RSU award (a “</w:t>
      </w:r>
      <w:r>
        <w:rPr>
          <w:rFonts w:ascii="Times New Roman;serif" w:hAnsi="Times New Roman;serif"/>
          <w:b/>
          <w:i/>
          <w:color w:val="000000"/>
          <w:sz w:val="22"/>
        </w:rPr>
        <w:t>Prorated Annual Grant</w:t>
      </w:r>
      <w:r>
        <w:rPr>
          <w:color w:val="000000"/>
        </w:rPr>
        <w:t>”</w:t>
      </w:r>
      <w:r>
        <w:rPr>
          <w:rFonts w:ascii="Times New Roman;serif" w:hAnsi="Times New Roman;serif"/>
          <w:b w:val="false"/>
          <w:color w:val="000000"/>
          <w:sz w:val="22"/>
        </w:rPr>
        <w:t xml:space="preserve">) on the grant date set forth in Section 2(b) below, provided that such person is a Non-Employee Director on such grant date. </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Grant Date</w:t>
      </w:r>
      <w:r>
        <w:rPr>
          <w:rFonts w:ascii="Times New Roman;serif" w:hAnsi="Times New Roman;serif"/>
          <w:b w:val="false"/>
          <w:color w:val="000000"/>
          <w:sz w:val="22"/>
        </w:rPr>
        <w:t xml:space="preserve">. The grant date of each Annual Grant shall be the </w:t>
      </w:r>
      <w:r>
        <w:rPr>
          <w:rFonts w:ascii="Times New Roman;serif" w:hAnsi="Times New Roman;serif"/>
          <w:b w:val="false"/>
          <w:color w:val="000000"/>
          <w:sz w:val="23"/>
        </w:rPr>
        <w:t>second trading day after the date on which the Company publicly releases its next quarterly or annual report filed under the Securities Exchange Act of 1934, as amended</w:t>
      </w:r>
      <w:r>
        <w:rPr>
          <w:rFonts w:ascii="Times New Roman;serif" w:hAnsi="Times New Roman;serif"/>
          <w:b w:val="false"/>
          <w:color w:val="000000"/>
          <w:sz w:val="22"/>
        </w:rPr>
        <w:t>,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Grant Date Value</w:t>
      </w:r>
      <w:r>
        <w:rPr>
          <w:rFonts w:ascii="Times New Roman;serif" w:hAnsi="Times New Roman;serif"/>
          <w:b w:val="false"/>
          <w:color w:val="000000"/>
          <w:sz w:val="22"/>
        </w:rPr>
        <w:t>. The grant date value of each Annual Grant shall be equal to approximately $400,000. The grant date value of each Prorated Annual Grant shall be prorated to reflect the shortened 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Number of Ordinary Shares</w:t>
      </w:r>
      <w:r>
        <w:rPr>
          <w:rFonts w:ascii="Times New Roman;serif" w:hAnsi="Times New Roman;serif"/>
          <w:b w:val="false"/>
          <w:color w:val="000000"/>
          <w:sz w:val="22"/>
        </w:rPr>
        <w:t>. The number of ordinary shares of the Company (“</w:t>
      </w:r>
      <w:r>
        <w:rPr>
          <w:rFonts w:ascii="Times New Roman;serif" w:hAnsi="Times New Roman;serif"/>
          <w:b/>
          <w:i/>
          <w:color w:val="000000"/>
          <w:sz w:val="22"/>
        </w:rPr>
        <w:t>Ordinary Shares</w:t>
      </w:r>
      <w:r>
        <w:rPr>
          <w:color w:val="000000"/>
        </w:rPr>
        <w:t>”</w:t>
      </w:r>
      <w:r>
        <w:rPr>
          <w:rFonts w:ascii="Times New Roman;serif" w:hAnsi="Times New Roman;serif"/>
          <w:b w:val="false"/>
          <w:color w:val="000000"/>
          <w:sz w:val="22"/>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and including the grant date, rounded to the nearest share by application of regular rounding</w:t>
      </w:r>
      <w:r>
        <w:rPr>
          <w:rFonts w:ascii="Times New Roman;serif" w:hAnsi="Times New Roman;serif"/>
          <w:b w:val="false"/>
          <w:color w:val="000000"/>
          <w:sz w:val="22"/>
          <w:shd w:fill="FFFFFF" w:val="clear"/>
        </w:rPr>
        <w:t>.</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Vesting</w:t>
      </w:r>
      <w:r>
        <w:rPr>
          <w:rFonts w:ascii="Times New Roman;serif" w:hAnsi="Times New Roman;serif"/>
          <w:b w:val="false"/>
          <w:color w:val="000000"/>
          <w:sz w:val="22"/>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 initial election or appointment, in each case subject to the Non-Employee Director’s Continuous Service (as defined in the NEDSAP) through such vesting date.</w:t>
      </w:r>
      <w:r>
        <w:rPr>
          <w:color w:val="000000"/>
        </w:rPr>
        <w:t xml:space="preserve"> </w:t>
      </w:r>
      <w:r>
        <w:rPr>
          <w:rFonts w:ascii="Times New Roman;serif" w:hAnsi="Times New Roman;serif"/>
          <w:b w:val="false"/>
          <w:color w:val="000000"/>
          <w:sz w:val="22"/>
        </w:rPr>
        <w:t>Notwithstanding the foregoing, if a Non-Employee Director does not stand for reelection at an AGM in the year in which his or her term expires or otherwise resigns effective at an AGM and, in either case, the Non-Employee Director’s Continuous Service terminates at such AGM, then effective as of the date of such AGM,</w:t>
      </w:r>
      <w:r>
        <w:rPr>
          <w:color w:val="000000"/>
        </w:rPr>
        <w:t xml:space="preserve"> </w:t>
      </w:r>
      <w:r>
        <w:rPr>
          <w:rFonts w:ascii="Times New Roman;serif" w:hAnsi="Times New Roman;serif"/>
          <w:b w:val="false"/>
          <w:color w:val="000000"/>
          <w:sz w:val="22"/>
        </w:rPr>
        <w:t>the unvested portion, if any, of such Non-Employee Director’s Annual Grant or Prorated Annual Grant shall become vested in full.</w:t>
      </w:r>
    </w:p>
    <w:p>
      <w:pPr>
        <w:pStyle w:val="TextBody"/>
        <w:bidi w:val="0"/>
        <w:spacing w:lineRule="auto" w:line="333" w:before="0" w:after="200"/>
        <w:ind w:left="0" w:right="0" w:firstLine="720"/>
        <w:jc w:val="left"/>
        <w:rPr/>
      </w:pPr>
      <w:r>
        <w:rPr>
          <w:rFonts w:ascii="Times New Roman;serif" w:hAnsi="Times New Roman;serif"/>
          <w:b w:val="false"/>
          <w:color w:val="000000"/>
          <w:sz w:val="22"/>
          <w:u w:val="single"/>
        </w:rPr>
        <w:t>(f) Terms and Conditions</w:t>
      </w:r>
      <w:r>
        <w:rPr>
          <w:rFonts w:ascii="Times New Roman;serif" w:hAnsi="Times New Roman;serif"/>
          <w:b w:val="false"/>
          <w:color w:val="000000"/>
          <w:sz w:val="22"/>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dotted" w:sz="24" w:space="0" w:color="000000"/>
            </w:tcBorders>
            <w:tcMar>
              <w:top w:w="0" w:type="dxa"/>
              <w:left w:w="0" w:type="dxa"/>
              <w:bottom w:w="30" w:type="dxa"/>
              <w:right w:w="0" w:type="dxa"/>
            </w:tcMar>
            <w:vAlign w:val="center"/>
          </w:tcPr>
          <w:p>
            <w:pPr>
              <w:pStyle w:val="TableContents"/>
              <w:bidi w:val="0"/>
              <w:spacing w:lineRule="auto" w:line="333" w:before="0" w:after="240"/>
              <w:jc w:val="left"/>
              <w:rPr/>
            </w:pPr>
            <w:r>
              <w:rPr>
                <w:rFonts w:ascii="Times New Roman;serif" w:hAnsi="Times New Roman;serif"/>
                <w:b w:val="false"/>
                <w:color w:val="000000"/>
                <w:sz w:val="22"/>
              </w:rPr>
              <w:t xml:space="preserve">3. </w:t>
            </w:r>
            <w:r>
              <w:rPr>
                <w:rFonts w:ascii="Times New Roman;serif" w:hAnsi="Times New Roman;serif"/>
                <w:b w:val="false"/>
                <w:color w:val="000000"/>
                <w:sz w:val="22"/>
                <w:u w:val="single"/>
              </w:rPr>
              <w:t>Non-Employee Director Compensation Limit</w:t>
            </w:r>
            <w:r>
              <w:rPr>
                <w:rFonts w:ascii="Times New Roman;serif" w:hAnsi="Times New Roman;serif"/>
                <w:b w:val="false"/>
                <w:color w:val="000000"/>
                <w:sz w:val="22"/>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Times New Roman;serif" w:hAnsi="Times New Roman;serif"/>
                <w:b/>
                <w:i/>
                <w:color w:val="000000"/>
                <w:sz w:val="22"/>
              </w:rPr>
              <w:t>Annual Period</w:t>
            </w:r>
            <w:r>
              <w:rPr>
                <w:color w:val="000000"/>
              </w:rPr>
              <w:t>”</w:t>
            </w:r>
            <w:r>
              <w:rPr>
                <w:rFonts w:ascii="Times New Roman;serif" w:hAnsi="Times New Roman;serif"/>
                <w:b w:val="false"/>
                <w:color w:val="000000"/>
                <w:sz w:val="22"/>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tc>
      </w:tr>
    </w:tbl>
    <w:p>
      <w:pPr>
        <w:pStyle w:val="TextBody"/>
        <w:bidi w:val="0"/>
        <w:spacing w:before="0" w:after="240"/>
        <w:jc w:val="left"/>
        <w:rPr/>
      </w:pPr>
      <w:r>
        <w:rPr/>
      </w:r>
    </w:p>
    <w:p>
      <w:pPr>
        <w:pStyle w:val="TextBody"/>
        <w:bidi w:val="0"/>
        <w:spacing w:lineRule="auto" w:line="333" w:before="0" w:after="120"/>
        <w:jc w:val="center"/>
        <w:rPr>
          <w:rFonts w:ascii="Times New Roman;serif" w:hAnsi="Times New Roman;serif"/>
          <w:b/>
          <w:i/>
          <w:color w:val="000000"/>
          <w:sz w:val="22"/>
        </w:rPr>
      </w:pPr>
      <w:r>
        <w:rPr>
          <w:rFonts w:ascii="Times New Roman;serif" w:hAnsi="Times New Roman;serif"/>
          <w:b/>
          <w:i/>
          <w:color w:val="000000"/>
          <w:sz w:val="22"/>
        </w:rPr>
        <w:t>*****</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Adopted by the Board of Directors of Jazz Pharmaceuticals plc on 2 May 2013.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1 August 2013.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1 May 2014.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30 October 2014.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30 April 2015.</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4 May 2016.</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 May 2018.</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21 July 2020.</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28 April 2021.</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29 July 2021.</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28 April 2022.</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4 May 2023.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25 April 2024.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23 October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Renée Galá, certify that: </w: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37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131"/>
        <w:gridCol w:w="1131"/>
        <w:gridCol w:w="160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Renée Galá</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Renée Galá</w:t>
              <w:br/>
              <w:t>President and Chief Executive Officer and Director</w:t>
              <w:br/>
              <w:t>(Principal Executive Officer)</w:t>
              <w:b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Philip L. Johnson,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color w:val="000000"/>
        </w:rPr>
        <w: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478"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164"/>
        <w:gridCol w:w="1164"/>
        <w:gridCol w:w="164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br/>
              <w:t>Executive Vice President and Chief Financial Officer</w:t>
              <w:br/>
              <w:t xml:space="preserve">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pPr>
      <w:r>
        <w:rPr>
          <w:rFonts w:ascii="Times New Roman;serif" w:hAnsi="Times New Roman;serif"/>
          <w:b/>
          <w:color w:val="000000"/>
          <w:sz w:val="20"/>
        </w:rPr>
        <w:t>CERTIFICATION</w:t>
      </w:r>
      <w:r>
        <w:rPr>
          <w:rFonts w:ascii="Times New Roman;serif" w:hAnsi="Times New Roman;serif"/>
          <w:b/>
          <w:color w:val="000000"/>
          <w:sz w:val="13"/>
        </w:rPr>
        <w:t>(1)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Section 1350), Renée Galá, President and Chief Executive Officer of Jazz Pharmaceuticals public limited company (the “Company”), and Philip L. Johnson, Executive Vice President and Chief Financial Officer of the Company, each hereby certifies that, to the best of her/his knowledge: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p>
      <w:pPr>
        <w:pStyle w:val="TextBody"/>
        <w:bidi w:val="0"/>
        <w:spacing w:lineRule="auto" w:line="288" w:before="0" w:after="0"/>
        <w:jc w:val="left"/>
        <w:rPr>
          <w:color w:val="000000"/>
        </w:rPr>
      </w:pPr>
      <w:r>
        <w:rPr>
          <w:color w:val="000000"/>
        </w:rPr>
        <w:t> </w:t>
      </w:r>
    </w:p>
    <w:tbl>
      <w:tblPr>
        <w:tblW w:w="3990" w:type="dxa"/>
        <w:jc w:val="left"/>
        <w:tblInd w:w="0" w:type="dxa"/>
        <w:tblLayout w:type="fixed"/>
        <w:tblCellMar>
          <w:top w:w="28" w:type="dxa"/>
          <w:left w:w="28" w:type="dxa"/>
          <w:bottom w:w="28" w:type="dxa"/>
          <w:right w:w="28" w:type="dxa"/>
        </w:tblCellMar>
      </w:tblPr>
      <w:tblGrid>
        <w:gridCol w:w="1276"/>
        <w:gridCol w:w="1121"/>
        <w:gridCol w:w="1593"/>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Renée Galá</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Renée Galá</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 and Director</w:t>
              <w:br/>
              <w:t> (Principal Executive Officer)</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br/>
              <w:t>(Principal Financial Officer)</w:t>
            </w:r>
          </w:p>
        </w:tc>
      </w:tr>
    </w:tbl>
    <w:p>
      <w:pPr>
        <w:pStyle w:val="TextBody"/>
        <w:bidi w:val="0"/>
        <w:spacing w:lineRule="auto" w:line="240" w:before="0" w:after="4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2524/000119312521027577/d117870dex21.htm" TargetMode="External"/><Relationship Id="rId3" Type="http://schemas.openxmlformats.org/officeDocument/2006/relationships/hyperlink" Target="https://www.sec.gov/Archives/edgar/data/1232524/000119312525046226/d927269dex21.htm" TargetMode="External"/><Relationship Id="rId4" Type="http://schemas.openxmlformats.org/officeDocument/2006/relationships/hyperlink" Target="https://www.sec.gov/Archives/edgar/data/1232524/000123252416000303/jazzq22016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42582</Words>
  <Characters>238953</Characters>
  <CharactersWithSpaces>279907</CharactersWithSpaces>
  <Paragraphs>3529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