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0001232524</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JAZZ PHARMACEUTICALS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JAZZ PHARMACEUTICALS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3180 PORTER DRIVE</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PALO ALTO</w:t>
      </w:r>
      <w:r>
        <w:rPr>
          <w:sz w:val="20"/>
          <w:szCs w:val="20"/>
          <w:color w:val="auto"/>
        </w:rPr>
        <w:tab/>
      </w:r>
      <w:r>
        <w:rPr>
          <w:rFonts w:ascii="Times New Roman" w:cs="Times New Roman" w:eastAsia="Times New Roman" w:hAnsi="Times New Roman"/>
          <w:sz w:val="21"/>
          <w:szCs w:val="21"/>
          <w:color w:val="auto"/>
        </w:rPr>
        <w:t>CA</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94304</w:t>
      </w:r>
      <w:r>
        <w:rPr>
          <w:sz w:val="20"/>
          <w:szCs w:val="20"/>
          <w:color w:val="auto"/>
        </w:rPr>
        <w:tab/>
      </w:r>
      <w:r>
        <w:rPr>
          <w:rFonts w:ascii="Times New Roman" w:cs="Times New Roman" w:eastAsia="Times New Roman" w:hAnsi="Times New Roman"/>
          <w:sz w:val="22"/>
          <w:szCs w:val="22"/>
          <w:color w:val="auto"/>
        </w:rPr>
        <w:t>650-496-3777</w:t>
      </w:r>
    </w:p>
    <w:p>
      <w:pPr>
        <w:spacing w:after="0" w:line="699"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04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Cozadd</w:t>
            </w:r>
          </w:p>
        </w:tc>
        <w:tc>
          <w:tcPr>
            <w:tcW w:w="11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Bruce</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w:t>
            </w:r>
          </w:p>
        </w:tc>
      </w:tr>
      <w:tr>
        <w:trPr>
          <w:trHeight w:val="297"/>
        </w:trPr>
        <w:tc>
          <w:tcPr>
            <w:tcW w:w="304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Jazz Pharmaceuticals, Inc.</w:t>
            </w:r>
          </w:p>
        </w:tc>
        <w:tc>
          <w:tcPr>
            <w:tcW w:w="35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3180 Porter Drive</w:t>
            </w:r>
          </w:p>
        </w:tc>
        <w:tc>
          <w:tcPr>
            <w:tcW w:w="4880" w:type="dxa"/>
            <w:vAlign w:val="bottom"/>
          </w:tcPr>
          <w:p>
            <w:pPr>
              <w:spacing w:after="0"/>
              <w:rPr>
                <w:sz w:val="24"/>
                <w:szCs w:val="24"/>
                <w:color w:val="auto"/>
              </w:rPr>
            </w:pPr>
          </w:p>
        </w:tc>
      </w:tr>
      <w:tr>
        <w:trPr>
          <w:trHeight w:val="297"/>
        </w:trPr>
        <w:tc>
          <w:tcPr>
            <w:tcW w:w="304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0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1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CA</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94304</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0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04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Myers</w:t>
            </w:r>
          </w:p>
        </w:tc>
        <w:tc>
          <w:tcPr>
            <w:tcW w:w="11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Robert</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w:t>
            </w:r>
          </w:p>
        </w:tc>
      </w:tr>
      <w:tr>
        <w:trPr>
          <w:trHeight w:val="297"/>
        </w:trPr>
        <w:tc>
          <w:tcPr>
            <w:tcW w:w="304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Jazz Pharmaceuticals, Inc.</w:t>
            </w:r>
          </w:p>
        </w:tc>
        <w:tc>
          <w:tcPr>
            <w:tcW w:w="35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3180 Porter Drive</w:t>
            </w:r>
          </w:p>
        </w:tc>
        <w:tc>
          <w:tcPr>
            <w:tcW w:w="4880" w:type="dxa"/>
            <w:vAlign w:val="bottom"/>
          </w:tcPr>
          <w:p>
            <w:pPr>
              <w:spacing w:after="0"/>
              <w:rPr>
                <w:sz w:val="24"/>
                <w:szCs w:val="24"/>
                <w:color w:val="auto"/>
              </w:rPr>
            </w:pPr>
          </w:p>
        </w:tc>
      </w:tr>
      <w:tr>
        <w:trPr>
          <w:trHeight w:val="297"/>
        </w:trPr>
        <w:tc>
          <w:tcPr>
            <w:tcW w:w="304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0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1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CA</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94304</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Colella</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Samuel</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w:t>
            </w:r>
          </w:p>
        </w:tc>
      </w:tr>
      <w:tr>
        <w:trPr>
          <w:trHeight w:val="297"/>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Versant Ventures</w:t>
            </w: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3000 Sand Hill Road, #4-210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94025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Michelson</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Michael</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w:t>
            </w:r>
          </w:p>
        </w:tc>
      </w:tr>
      <w:tr>
        <w:trPr>
          <w:trHeight w:val="297"/>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Kohlberg Kravis Roberts &amp; Co.</w:t>
            </w: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94025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Momtazee</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w:t>
            </w:r>
          </w:p>
        </w:tc>
      </w:tr>
      <w:tr>
        <w:trPr>
          <w:trHeight w:val="297"/>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Kohlberg Kravis Roberts &amp; Co.</w:t>
            </w: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94025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Zilkha</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Nathaniel</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w:t>
            </w:r>
          </w:p>
        </w:tc>
      </w:tr>
      <w:tr>
        <w:trPr>
          <w:trHeight w:val="297"/>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Kohlberg Kravis Roberts &amp; Co.</w:t>
            </w: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94025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Enright</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Patrick</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328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Longitude Capital</w:t>
            </w: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800 El Camino Real, Suite 220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94025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-7043420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-7043420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-5173980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-5173980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9" w:right="239" w:bottom="0" w:gutter="0" w:footer="0" w:header="0"/>
        </w:sectPr>
      </w:pPr>
    </w:p>
    <w:p>
      <w:pPr>
        <w:spacing w:after="0" w:line="37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Last Name</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O'Keefe</w:t>
      </w:r>
    </w:p>
    <w:p>
      <w:pPr>
        <w:spacing w:after="0" w:line="4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0"/>
          <w:szCs w:val="20"/>
          <w:color w:val="auto"/>
        </w:rPr>
      </w:pPr>
    </w:p>
    <w:p>
      <w:pPr>
        <w:ind w:left="40" w:right="140"/>
        <w:spacing w:after="0" w:line="254" w:lineRule="auto"/>
        <w:rPr>
          <w:sz w:val="20"/>
          <w:szCs w:val="20"/>
          <w:color w:val="auto"/>
        </w:rPr>
      </w:pPr>
      <w:r>
        <w:rPr>
          <w:rFonts w:ascii="Times New Roman" w:cs="Times New Roman" w:eastAsia="Times New Roman" w:hAnsi="Times New Roman"/>
          <w:sz w:val="22"/>
          <w:szCs w:val="22"/>
          <w:color w:val="auto"/>
        </w:rPr>
        <w:t>c/o Beecken Petty O'Keefe &amp; Company, LLC</w:t>
      </w:r>
    </w:p>
    <w:p>
      <w:pPr>
        <w:spacing w:after="0" w:line="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City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1160"/>
        <w:spacing w:after="0"/>
        <w:tabs>
          <w:tab w:leader="none" w:pos="4440" w:val="left"/>
        </w:tabs>
        <w:rPr>
          <w:sz w:val="20"/>
          <w:szCs w:val="20"/>
          <w:color w:val="auto"/>
        </w:rPr>
      </w:pP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2"/>
          <w:szCs w:val="22"/>
          <w:color w:val="auto"/>
        </w:rPr>
        <w:t>Kenneth</w:t>
      </w:r>
      <w:r>
        <w:rPr>
          <w:sz w:val="20"/>
          <w:szCs w:val="20"/>
          <w:color w:val="auto"/>
        </w:rPr>
        <w:tab/>
      </w:r>
      <w:r>
        <w:rPr>
          <w:rFonts w:ascii="Times New Roman" w:cs="Times New Roman" w:eastAsia="Times New Roman" w:hAnsi="Times New Roman"/>
          <w:sz w:val="22"/>
          <w:szCs w:val="22"/>
          <w:color w:val="auto"/>
        </w:rPr>
        <w:t>W.</w:t>
      </w:r>
    </w:p>
    <w:p>
      <w:pPr>
        <w:spacing w:after="0" w:line="40"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21"/>
          <w:szCs w:val="21"/>
          <w:color w:val="auto"/>
        </w:rPr>
        <w:t>131 South Dearborn Street, Suite 2800</w:t>
      </w:r>
    </w:p>
    <w:p>
      <w:pPr>
        <w:spacing w:after="0" w:line="173" w:lineRule="exact"/>
        <w:rPr>
          <w:sz w:val="20"/>
          <w:szCs w:val="20"/>
          <w:color w:val="auto"/>
        </w:rPr>
      </w:pPr>
    </w:p>
    <w:p>
      <w:pPr>
        <w:jc w:val="both"/>
        <w:ind w:left="580"/>
        <w:spacing w:after="0"/>
        <w:tabs>
          <w:tab w:leader="none" w:pos="4340" w:val="left"/>
        </w:tabs>
        <w:rPr>
          <w:sz w:val="20"/>
          <w:szCs w:val="20"/>
          <w:color w:val="auto"/>
        </w:rPr>
      </w:pP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2"/>
          <w:szCs w:val="22"/>
          <w:b w:val="1"/>
          <w:bCs w:val="1"/>
          <w:color w:val="auto"/>
        </w:rPr>
        <w:t>ZIP/PostalCode</w:t>
      </w:r>
    </w:p>
    <w:p>
      <w:pPr>
        <w:sectPr>
          <w:pgSz w:w="11900" w:h="16838" w:orient="portrait"/>
          <w:cols w:equalWidth="0" w:num="2">
            <w:col w:w="2740" w:space="720"/>
            <w:col w:w="7960"/>
          </w:cols>
          <w:pgMar w:left="240" w:top="149"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IL</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60603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Tananbaum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James</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Prospect Venture Partners</w:t>
            </w:r>
          </w:p>
        </w:tc>
        <w:tc>
          <w:tcPr>
            <w:tcW w:w="35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435 Tasso Street, Suite 200</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94301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Sebulsky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Alan</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Apothecary Capital LLC</w:t>
            </w:r>
          </w:p>
        </w:tc>
        <w:tc>
          <w:tcPr>
            <w:tcW w:w="35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 North Wacker Drive, Suite 3950</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IL</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60606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Cressey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Bryan</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c/o Thoma Cressey Bravo</w:t>
            </w:r>
          </w:p>
        </w:tc>
        <w:tc>
          <w:tcPr>
            <w:tcW w:w="35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Sears Tower, 92nd Fl., 22 S. Wacker</w:t>
            </w:r>
          </w:p>
        </w:tc>
        <w:tc>
          <w:tcPr>
            <w:tcW w:w="4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200" w:type="dxa"/>
            <w:vAlign w:val="bottom"/>
            <w:gridSpan w:val="2"/>
            <w:vMerge w:val="continue"/>
          </w:tcPr>
          <w:p>
            <w:pPr>
              <w:spacing w:after="0"/>
              <w:rPr>
                <w:sz w:val="13"/>
                <w:szCs w:val="13"/>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Dr.</w:t>
            </w:r>
          </w:p>
        </w:tc>
        <w:tc>
          <w:tcPr>
            <w:tcW w:w="27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IL</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60606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Gamble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Carol</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Jazz Pharmaceuticals, Inc.</w:t>
            </w:r>
          </w:p>
        </w:tc>
        <w:tc>
          <w:tcPr>
            <w:tcW w:w="35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3180 Porter Drive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46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Wissel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Janne</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L.T.</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Jazz Pharmaceuticals, Inc.</w:t>
            </w:r>
          </w:p>
        </w:tc>
        <w:tc>
          <w:tcPr>
            <w:tcW w:w="35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3180 Porter Drive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0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8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w:t>
            </w:r>
          </w:p>
        </w:tc>
        <w:tc>
          <w:tcPr>
            <w:tcW w:w="270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-9067165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-9067165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-7197725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-7197725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-5328285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-5328285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21" w:gutter="0" w:footer="0" w:header="0"/>
        </w:sectPr>
      </w:pPr>
    </w:p>
    <w:bookmarkStart w:id="3" w:name="page4"/>
    <w:bookmarkEnd w:id="3"/>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9" w:lineRule="exact"/>
        <w:rPr>
          <w:sz w:val="20"/>
          <w:szCs w:val="20"/>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Colligan</w:t>
      </w:r>
      <w:r>
        <w:rPr>
          <w:sz w:val="20"/>
          <w:szCs w:val="20"/>
          <w:color w:val="auto"/>
        </w:rPr>
        <w:tab/>
      </w:r>
      <w:r>
        <w:rPr>
          <w:rFonts w:ascii="Times New Roman" w:cs="Times New Roman" w:eastAsia="Times New Roman" w:hAnsi="Times New Roman"/>
          <w:sz w:val="22"/>
          <w:szCs w:val="22"/>
          <w:color w:val="auto"/>
        </w:rPr>
        <w:t>Joan</w:t>
      </w:r>
      <w:r>
        <w:rPr>
          <w:sz w:val="20"/>
          <w:szCs w:val="20"/>
          <w:color w:val="auto"/>
        </w:rPr>
        <w:tab/>
      </w:r>
      <w:r>
        <w:rPr>
          <w:rFonts w:ascii="Times New Roman" w:cs="Times New Roman" w:eastAsia="Times New Roman" w:hAnsi="Times New Roman"/>
          <w:sz w:val="22"/>
          <w:szCs w:val="22"/>
          <w:color w:val="auto"/>
        </w:rPr>
        <w:t>E.</w:t>
      </w:r>
    </w:p>
    <w:p>
      <w:pPr>
        <w:spacing w:after="0" w:line="40" w:lineRule="exact"/>
        <w:rPr>
          <w:sz w:val="20"/>
          <w:szCs w:val="20"/>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c/o Jazz Pharmaceuticals, Inc.</w:t>
      </w:r>
      <w:r>
        <w:rPr>
          <w:sz w:val="20"/>
          <w:szCs w:val="20"/>
          <w:color w:val="auto"/>
        </w:rPr>
        <w:tab/>
      </w:r>
      <w:r>
        <w:rPr>
          <w:rFonts w:ascii="Times New Roman" w:cs="Times New Roman" w:eastAsia="Times New Roman" w:hAnsi="Times New Roman"/>
          <w:sz w:val="21"/>
          <w:szCs w:val="21"/>
          <w:color w:val="auto"/>
        </w:rPr>
        <w:t>3180 Porter Drive</w:t>
      </w:r>
    </w:p>
    <w:p>
      <w:pPr>
        <w:spacing w:after="0" w:line="40"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0"/>
          <w:szCs w:val="20"/>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Palo Alto</w:t>
      </w:r>
      <w:r>
        <w:rPr>
          <w:sz w:val="20"/>
          <w:szCs w:val="20"/>
          <w:color w:val="auto"/>
        </w:rPr>
        <w:tab/>
      </w:r>
      <w:r>
        <w:rPr>
          <w:rFonts w:ascii="Times New Roman" w:cs="Times New Roman" w:eastAsia="Times New Roman" w:hAnsi="Times New Roman"/>
          <w:sz w:val="22"/>
          <w:szCs w:val="22"/>
          <w:color w:val="auto"/>
        </w:rPr>
        <w:t>CA</w:t>
      </w:r>
      <w:r>
        <w:rPr>
          <w:sz w:val="20"/>
          <w:szCs w:val="20"/>
          <w:color w:val="auto"/>
        </w:rPr>
        <w:tab/>
      </w:r>
      <w:r>
        <w:rPr>
          <w:rFonts w:ascii="Times New Roman" w:cs="Times New Roman" w:eastAsia="Times New Roman" w:hAnsi="Times New Roman"/>
          <w:sz w:val="21"/>
          <w:szCs w:val="21"/>
          <w:color w:val="auto"/>
        </w:rPr>
        <w:t>94304</w:t>
      </w:r>
    </w:p>
    <w:p>
      <w:pPr>
        <w:spacing w:after="0" w:line="67" w:lineRule="exact"/>
        <w:rPr>
          <w:sz w:val="20"/>
          <w:szCs w:val="20"/>
          <w:color w:val="auto"/>
        </w:rPr>
      </w:pPr>
    </w:p>
    <w:p>
      <w:pPr>
        <w:ind w:left="60"/>
        <w:spacing w:after="0"/>
        <w:tabs>
          <w:tab w:leader="none" w:pos="3300" w:val="left"/>
          <w:tab w:leader="none" w:pos="424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r>
        <w:rPr>
          <w:sz w:val="20"/>
          <w:szCs w:val="20"/>
          <w:color w:val="auto"/>
        </w:rPr>
        <w:tab/>
      </w:r>
      <w:r>
        <w:rPr>
          <w:rFonts w:ascii="Times New Roman" w:cs="Times New Roman" w:eastAsia="Times New Roman" w:hAnsi="Times New Roman"/>
          <w:sz w:val="22"/>
          <w:szCs w:val="22"/>
          <w:color w:val="auto"/>
        </w:rPr>
        <w:t>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0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919"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0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83"/>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6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Rule 505</w:t>
            </w:r>
          </w:p>
        </w:tc>
        <w:tc>
          <w:tcPr>
            <w:tcW w:w="178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w w:val="97"/>
              </w:rPr>
              <w:t>Rule 504</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w:t>
            </w:r>
          </w:p>
        </w:tc>
        <w:tc>
          <w:tcPr>
            <w:tcW w:w="26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X Rule 506</w:t>
            </w:r>
          </w:p>
        </w:tc>
        <w:tc>
          <w:tcPr>
            <w:tcW w:w="178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w w:val="97"/>
              </w:rPr>
              <w:t>Rule 504</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w:t>
            </w:r>
          </w:p>
        </w:tc>
        <w:tc>
          <w:tcPr>
            <w:tcW w:w="438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w w:val="97"/>
              </w:rPr>
              <w:t>Rule 504</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(b)(1)(iii)</w:t>
            </w:r>
          </w:p>
        </w:tc>
        <w:tc>
          <w:tcPr>
            <w:tcW w:w="438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Section 3(c)(1)</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Section 3(c)(9)</w:t>
            </w:r>
          </w:p>
        </w:tc>
      </w:tr>
    </w:tbl>
    <w:p>
      <w:pPr>
        <w:sectPr>
          <w:pgSz w:w="11900" w:h="16838" w:orient="portrait"/>
          <w:cols w:equalWidth="0" w:num="1">
            <w:col w:w="10219"/>
          </w:cols>
          <w:pgMar w:left="240" w:top="108"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580" w:type="dxa"/>
        <w:tblCellMar>
          <w:top w:w="0" w:type="dxa"/>
          <w:left w:w="0" w:type="dxa"/>
          <w:bottom w:w="0" w:type="dxa"/>
          <w:right w:w="0" w:type="dxa"/>
        </w:tblCellMar>
      </w:tblPr>
      <w:tr>
        <w:trPr>
          <w:trHeight w:val="283"/>
        </w:trPr>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3(c)(2)</w:t>
            </w:r>
          </w:p>
        </w:tc>
        <w:tc>
          <w:tcPr>
            <w:tcW w:w="19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8"/>
              </w:rPr>
              <w:t>Section 3(c)(10)</w:t>
            </w:r>
          </w:p>
        </w:tc>
      </w:tr>
      <w:tr>
        <w:trPr>
          <w:trHeight w:val="378"/>
        </w:trPr>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3(c)(3)</w:t>
            </w:r>
          </w:p>
        </w:tc>
        <w:tc>
          <w:tcPr>
            <w:tcW w:w="190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3(c)(4)</w:t>
            </w:r>
          </w:p>
        </w:tc>
        <w:tc>
          <w:tcPr>
            <w:tcW w:w="19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8"/>
              </w:rPr>
              <w:t>Section 3(c)(12)</w:t>
            </w:r>
          </w:p>
        </w:tc>
      </w:tr>
      <w:tr>
        <w:trPr>
          <w:trHeight w:val="378"/>
        </w:trPr>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3(c)(5)</w:t>
            </w:r>
          </w:p>
        </w:tc>
        <w:tc>
          <w:tcPr>
            <w:tcW w:w="19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8"/>
              </w:rPr>
              <w:t>Section 3(c)(13)</w:t>
            </w:r>
          </w:p>
        </w:tc>
      </w:tr>
      <w:tr>
        <w:trPr>
          <w:trHeight w:val="378"/>
        </w:trPr>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3(c)(6)</w:t>
            </w:r>
          </w:p>
        </w:tc>
        <w:tc>
          <w:tcPr>
            <w:tcW w:w="19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8"/>
              </w:rPr>
              <w:t>Section 3(c)(14)</w:t>
            </w:r>
          </w:p>
        </w:tc>
      </w:tr>
      <w:tr>
        <w:trPr>
          <w:trHeight w:val="378"/>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spacing w:after="0"/>
        <w:tabs>
          <w:tab w:leader="none" w:pos="4300" w:val="left"/>
        </w:tabs>
        <w:rPr>
          <w:sz w:val="20"/>
          <w:szCs w:val="20"/>
          <w:color w:val="auto"/>
        </w:rPr>
      </w:pPr>
      <w:r>
        <w:rPr>
          <w:rFonts w:ascii="Times New Roman" w:cs="Times New Roman" w:eastAsia="Times New Roman" w:hAnsi="Times New Roman"/>
          <w:sz w:val="22"/>
          <w:szCs w:val="22"/>
          <w:color w:val="auto"/>
        </w:rPr>
        <w:t>New Notice  Date of First Sale 2008-05-07</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4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1380"/>
          </w:cols>
          <w:pgMar w:left="240" w:top="126" w:right="279" w:bottom="0" w:gutter="0" w:footer="0" w:header="0"/>
        </w:sectPr>
      </w:pP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X Option, Warrant or Other Right to Acquire Another Security</w:t>
      </w:r>
    </w:p>
    <w:p>
      <w:pPr>
        <w:spacing w:after="0" w:line="41" w:lineRule="exact"/>
        <w:rPr>
          <w:sz w:val="20"/>
          <w:szCs w:val="20"/>
          <w:color w:val="auto"/>
        </w:rPr>
      </w:pPr>
    </w:p>
    <w:p>
      <w:pPr>
        <w:ind w:left="260" w:hanging="215"/>
        <w:spacing w:after="0" w:line="181" w:lineRule="auto"/>
        <w:rPr>
          <w:sz w:val="20"/>
          <w:szCs w:val="20"/>
          <w:color w:val="auto"/>
        </w:rPr>
      </w:pPr>
      <w:r>
        <w:rPr>
          <w:rFonts w:ascii="Times New Roman" w:cs="Times New Roman" w:eastAsia="Times New Roman" w:hAnsi="Times New Roman"/>
          <w:sz w:val="41"/>
          <w:szCs w:val="41"/>
          <w:color w:val="auto"/>
          <w:vertAlign w:val="subscript"/>
        </w:rPr>
        <w:t>X</w:t>
      </w:r>
      <w:r>
        <w:rPr>
          <w:rFonts w:ascii="Times New Roman" w:cs="Times New Roman" w:eastAsia="Times New Roman" w:hAnsi="Times New Roman"/>
          <w:sz w:val="21"/>
          <w:szCs w:val="21"/>
          <w:color w:val="auto"/>
        </w:rPr>
        <w:t xml:space="preserve">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540"/>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Offering of a warrant to purchase 220,000 shares of Common Stock ("Warrant") and the underlying shares of Common Stock issuable upon exercise of Warrant.</w:t>
      </w:r>
    </w:p>
    <w:p>
      <w:pPr>
        <w:spacing w:after="0" w:line="200" w:lineRule="exact"/>
        <w:rPr>
          <w:sz w:val="20"/>
          <w:szCs w:val="20"/>
          <w:color w:val="auto"/>
        </w:rPr>
      </w:pPr>
    </w:p>
    <w:p>
      <w:pPr>
        <w:sectPr>
          <w:pgSz w:w="11900" w:h="16838" w:orient="portrait"/>
          <w:cols w:equalWidth="0" w:num="2">
            <w:col w:w="5580" w:space="160"/>
            <w:col w:w="5640"/>
          </w:cols>
          <w:pgMar w:left="240" w:top="126" w:right="279" w:bottom="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0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7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4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40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5440" w:type="dxa"/>
            <w:vAlign w:val="bottom"/>
            <w:gridSpan w:val="2"/>
          </w:tcPr>
          <w:p>
            <w:pPr>
              <w:ind w:left="2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380"/>
          </w:cols>
          <w:pgMar w:left="240" w:top="126" w:right="2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126"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$2,024,000</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 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Total Remaining to be Sold $2,024,000</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13(a) represents the aggregate exercise price of the Warrant. The original exercise price of the Warrant was $11.20 per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November 20, 2009, the Warrant was amended to reduce the exercise price of the Warrant to $9.20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ectPr>
          <w:pgSz w:w="11900" w:h="16838" w:orient="portrait"/>
          <w:cols w:equalWidth="0" w:num="1">
            <w:col w:w="11380"/>
          </w:cols>
          <w:pgMar w:left="240" w:top="126" w:right="279" w:bottom="0" w:gutter="0" w:footer="0" w:header="0"/>
          <w:type w:val="continuous"/>
        </w:sectPr>
      </w:pPr>
    </w:p>
    <w:bookmarkStart w:id="5" w:name="page6"/>
    <w:bookmarkEnd w:id="5"/>
    <w:p>
      <w:pPr>
        <w:ind w:left="300" w:right="18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-323850</wp:posOffset>
            </wp:positionV>
            <wp:extent cx="883285" cy="64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3285" cy="641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1" w:right="239" w:bottom="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1" w:right="2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1" w:right="23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40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779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77978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880" w:type="dxa"/>
            <w:vAlign w:val="bottom"/>
            <w:tcBorders>
              <w:top w:val="single" w:sz="8" w:color="2C2C2C"/>
            </w:tcBorders>
            <w:vMerge w:val="restart"/>
          </w:tcPr>
          <w:p>
            <w:pPr>
              <w:ind w:left="11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0"/>
                <w:szCs w:val="20"/>
                <w:color w:val="auto"/>
              </w:rPr>
            </w:pPr>
          </w:p>
        </w:tc>
        <w:tc>
          <w:tcPr>
            <w:tcW w:w="1620" w:type="dxa"/>
            <w:vAlign w:val="bottom"/>
            <w:tcBorders>
              <w:top w:val="single" w:sz="8" w:color="2C2C2C"/>
            </w:tcBorders>
            <w:vMerge w:val="restart"/>
          </w:tcPr>
          <w:p>
            <w:pPr>
              <w:ind w:left="3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0"/>
                <w:szCs w:val="20"/>
                <w:color w:val="auto"/>
              </w:rPr>
            </w:pPr>
          </w:p>
        </w:tc>
        <w:tc>
          <w:tcPr>
            <w:tcW w:w="1400" w:type="dxa"/>
            <w:vAlign w:val="bottom"/>
            <w:tcBorders>
              <w:top w:val="single" w:sz="8" w:color="2C2C2C"/>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Name of</w:t>
            </w:r>
          </w:p>
        </w:tc>
        <w:tc>
          <w:tcPr>
            <w:tcW w:w="20" w:type="dxa"/>
            <w:vAlign w:val="bottom"/>
          </w:tcPr>
          <w:p>
            <w:pPr>
              <w:spacing w:after="0"/>
              <w:rPr>
                <w:sz w:val="20"/>
                <w:szCs w:val="20"/>
                <w:color w:val="auto"/>
              </w:rPr>
            </w:pPr>
          </w:p>
        </w:tc>
        <w:tc>
          <w:tcPr>
            <w:tcW w:w="4320" w:type="dxa"/>
            <w:vAlign w:val="bottom"/>
            <w:tcBorders>
              <w:top w:val="single" w:sz="8" w:color="2C2C2C"/>
            </w:tcBorders>
            <w:vMerge w:val="restart"/>
          </w:tcPr>
          <w:p>
            <w:pPr>
              <w:ind w:left="19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0"/>
                <w:szCs w:val="20"/>
                <w:color w:val="auto"/>
              </w:rPr>
            </w:pPr>
          </w:p>
        </w:tc>
        <w:tc>
          <w:tcPr>
            <w:tcW w:w="98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Signer</w:t>
            </w:r>
          </w:p>
        </w:tc>
        <w:tc>
          <w:tcPr>
            <w:tcW w:w="20" w:type="dxa"/>
            <w:vAlign w:val="bottom"/>
          </w:tcPr>
          <w:p>
            <w:pPr>
              <w:spacing w:after="0"/>
              <w:rPr>
                <w:sz w:val="14"/>
                <w:szCs w:val="14"/>
                <w:color w:val="auto"/>
              </w:rPr>
            </w:pPr>
          </w:p>
        </w:tc>
        <w:tc>
          <w:tcPr>
            <w:tcW w:w="43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88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JAZZ PHARMACEUTICALS</w:t>
            </w:r>
          </w:p>
        </w:tc>
        <w:tc>
          <w:tcPr>
            <w:tcW w:w="40" w:type="dxa"/>
            <w:vAlign w:val="bottom"/>
          </w:tcPr>
          <w:p>
            <w:pPr>
              <w:spacing w:after="0"/>
              <w:rPr>
                <w:sz w:val="19"/>
                <w:szCs w:val="19"/>
                <w:color w:val="auto"/>
              </w:rPr>
            </w:pPr>
          </w:p>
        </w:tc>
        <w:tc>
          <w:tcPr>
            <w:tcW w:w="162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/s/ Carol A.</w:t>
            </w:r>
          </w:p>
        </w:tc>
        <w:tc>
          <w:tcPr>
            <w:tcW w:w="40" w:type="dxa"/>
            <w:vAlign w:val="bottom"/>
          </w:tcPr>
          <w:p>
            <w:pPr>
              <w:spacing w:after="0"/>
              <w:rPr>
                <w:sz w:val="19"/>
                <w:szCs w:val="19"/>
                <w:color w:val="auto"/>
              </w:rPr>
            </w:pPr>
          </w:p>
        </w:tc>
        <w:tc>
          <w:tcPr>
            <w:tcW w:w="140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Carol A.</w:t>
            </w:r>
          </w:p>
        </w:tc>
        <w:tc>
          <w:tcPr>
            <w:tcW w:w="20" w:type="dxa"/>
            <w:vAlign w:val="bottom"/>
          </w:tcPr>
          <w:p>
            <w:pPr>
              <w:spacing w:after="0"/>
              <w:rPr>
                <w:sz w:val="19"/>
                <w:szCs w:val="19"/>
                <w:color w:val="auto"/>
              </w:rPr>
            </w:pPr>
          </w:p>
        </w:tc>
        <w:tc>
          <w:tcPr>
            <w:tcW w:w="432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Senior Vice President, General Counsel and</w:t>
            </w:r>
          </w:p>
        </w:tc>
        <w:tc>
          <w:tcPr>
            <w:tcW w:w="40" w:type="dxa"/>
            <w:vAlign w:val="bottom"/>
            <w:vMerge w:val="continue"/>
          </w:tcPr>
          <w:p>
            <w:pPr>
              <w:spacing w:after="0"/>
              <w:rPr>
                <w:sz w:val="19"/>
                <w:szCs w:val="19"/>
                <w:color w:val="auto"/>
              </w:rPr>
            </w:pPr>
          </w:p>
        </w:tc>
        <w:tc>
          <w:tcPr>
            <w:tcW w:w="98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2009-11-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Gamble</w:t>
            </w:r>
          </w:p>
        </w:tc>
        <w:tc>
          <w:tcPr>
            <w:tcW w:w="4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Gamble</w:t>
            </w:r>
          </w:p>
        </w:tc>
        <w:tc>
          <w:tcPr>
            <w:tcW w:w="2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Secretary</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3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480" w:firstLine="8"/>
        <w:spacing w:after="0" w:line="282" w:lineRule="auto"/>
        <w:tabs>
          <w:tab w:leader="none" w:pos="16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38" w:orient="portrait"/>
          <w:cols w:equalWidth="0" w:num="1">
            <w:col w:w="11420"/>
          </w:cols>
          <w:pgMar w:left="240" w:top="111" w:right="2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2" Type="http://schemas.openxmlformats.org/officeDocument/2006/relationships/hyperlink" Target="http://www.sec.gov/cgi-bin/browse-edgar?action=getcompany&amp;CIK=0001232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2019-12-15T08:25:20Z</dcterms:created>
  <dcterms:modified xsi:type="dcterms:W3CDTF">2019-12-15T08:25:20Z</dcterms:modified>
</cp:coreProperties>
</file>